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 w:line="240" w:lineRule="auto"/>
      </w:pPr>
      <w:r>
        <w:rPr>
          <w:b/>
          <w:bCs/>
        </w:rPr>
        <w:t xml:space="preserve">Министерство науки и высшего образования Российской Федерации</w:t>
      </w:r>
    </w:p>
    <w:p>
      <w:pPr>
        <w:jc w:val="center"/>
        <w:spacing w:before="0" w:after="50" w:line="240" w:lineRule="auto"/>
      </w:pPr>
      <w:r>
        <w:rPr>
          <w:b/>
          <w:bCs/>
        </w:rPr>
        <w:t xml:space="preserve">Федеральное государственное бюджетное образовательное учреждение</w:t>
      </w:r>
    </w:p>
    <w:p>
      <w:pPr>
        <w:jc w:val="center"/>
        <w:spacing w:before="0" w:after="50" w:line="240" w:lineRule="auto"/>
      </w:pPr>
      <w:r>
        <w:rPr>
          <w:b/>
          <w:bCs/>
        </w:rPr>
        <w:t xml:space="preserve">высшего образования</w:t>
      </w:r>
    </w:p>
    <w:p>
      <w:pPr>
        <w:jc w:val="center"/>
        <w:spacing w:before="0" w:after="50" w:line="240" w:lineRule="auto"/>
      </w:pPr>
      <w:r>
        <w:rPr>
          <w:b/>
          <w:bCs/>
        </w:rPr>
        <w:t xml:space="preserve">«ИРКУТСКИЙ НАЦИОНАЛЬНЫЙ ИССЛЕДОВАТЕЛЬСКИЙ</w:t>
      </w:r>
    </w:p>
    <w:p>
      <w:pPr>
        <w:jc w:val="center"/>
        <w:spacing w:before="0" w:after="230" w:line="240" w:lineRule="auto"/>
      </w:pPr>
      <w:r>
        <w:rPr>
          <w:b/>
          <w:bCs/>
        </w:rPr>
        <w:t xml:space="preserve">ТЕХНИЧЕСКИЙ УНИВЕРСИТЕТ»</w:t>
      </w:r>
    </w:p>
    <w:p>
      <w:pPr>
        <w:jc w:val="center"/>
        <w:spacing w:before="0" w:after="200" w:line="255" w:lineRule="auto"/>
      </w:pPr>
      <w:r>
        <w:rPr/>
        <w:t xml:space="preserve">Кафедра Вычислительной техники</w:t>
      </w:r>
    </w:p>
    <w:p>
      <w:pPr>
        <w:jc w:val="right"/>
        <w:spacing w:before="0" w:after="0" w:line="276" w:lineRule="auto"/>
      </w:pPr>
      <w:r>
        <w:rPr>
          <w:b/>
          <w:bCs/>
          <w:caps/>
        </w:rPr>
        <w:t xml:space="preserve">утверждена:</w:t>
      </w:r>
    </w:p>
    <w:p>
      <w:pPr>
        <w:jc w:val="right"/>
        <w:spacing w:before="0" w:after="0" w:line="276" w:lineRule="auto"/>
      </w:pPr>
      <w:r>
        <w:rPr/>
        <w:t xml:space="preserve">на заседании кафедры</w:t>
      </w:r>
    </w:p>
    <w:p>
      <w:pPr>
        <w:jc w:val="right"/>
        <w:spacing w:before="0" w:after="0" w:line="276" w:lineRule="auto"/>
      </w:pPr>
      <w:r>
        <w:rPr>
          <w:highlight w:val="yellow"/>
        </w:rPr>
        <w:t xml:space="preserve">Протокол №___ от «____» ____ 2018 г.</w:t>
      </w:r>
    </w:p>
    <w:p>
      <w:pPr>
        <w:jc w:val="center"/>
        <w:spacing w:before="450" w:after="170" w:line="300" w:lineRule="auto"/>
      </w:pPr>
      <w:r>
        <w:rPr>
          <w:sz w:val="28"/>
          <w:szCs w:val="28"/>
          <w:b/>
          <w:bCs/>
        </w:rPr>
        <w:t xml:space="preserve">Рабочая программа дисциплины</w:t>
      </w:r>
    </w:p>
    <w:tbl>
      <w:tblGrid>
        <w:gridCol w:w="12000" w:type="dxa"/>
      </w:tblGrid>
      <w:tblPr>
        <w:tblW w:w="0" w:type="auto"/>
        <w:tblBorders>
          <w:bottom w:val="single" w:sz="15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caps/>
              </w:rPr>
              <w:t xml:space="preserve">«Вычислительные системы»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Направление: 09.04.01 Информатика и вычислительная техника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Программа: Сети ЭВМ и телекоммуникации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Квалификация: Магистр</w:t>
            </w:r>
          </w:p>
        </w:tc>
      </w:tr>
    </w:tbl>
    <w:p>
      <w:pPr>
        <w:jc w:val="center"/>
        <w:spacing w:before="0" w:after="0" w:line="285" w:lineRule="auto"/>
      </w:pPr>
      <w:r>
        <w:rPr>
          <w:sz w:val="32"/>
          <w:szCs w:val="32"/>
          <w:i/>
          <w:iCs/>
          <w:vertAlign w:val="superscript"/>
        </w:rPr>
        <w:t xml:space="preserve"/>
      </w:r>
    </w:p>
    <w:tbl>
      <w:tblGrid>
        <w:gridCol w:w="12000" w:type="dxa"/>
      </w:tblGrid>
      <w:tblPr>
        <w:tblW w:w="0" w:type="auto"/>
        <w:tblBorders>
          <w:bottom w:val="single" w:sz="6" w:color="000000"/>
        </w:tblBorders>
      </w:tblPr>
      <w:tr>
        <w:trPr>
          <w:trHeight w:val="100" w:hRule="atLeast"/>
        </w:trPr>
        <w:tc>
          <w:tcPr>
            <w:tcW w:w="1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Форма обучения: очная</w:t>
            </w:r>
          </w:p>
        </w:tc>
      </w:tr>
    </w:tbl>
    <w:p>
      <w:pPr>
        <w:jc w:val="left"/>
        <w:spacing w:before="850" w:after="150" w:line="300" w:lineRule="auto"/>
      </w:pPr>
      <w:r>
        <w:rPr>
          <w:b/>
          <w:bCs/>
        </w:rPr>
        <w:t xml:space="preserve">Составитель программы:</w:t>
      </w:r>
    </w:p>
    <w:p>
      <w:pPr/>
      <w:r>
        <w:rPr>
          <w:highlight w:val="yellow"/>
        </w:rPr>
        <w:t xml:space="preserve">_____________________ / _________. /  “____”______ 201_ г</w:t>
      </w:r>
    </w:p>
    <w:p>
      <w:pPr>
        <w:jc w:val="left"/>
        <w:spacing w:before="350" w:after="150" w:line="300" w:lineRule="auto"/>
      </w:pPr>
      <w:r>
        <w:rPr>
          <w:b/>
          <w:bCs/>
        </w:rPr>
        <w:t xml:space="preserve">Зав. кафедрой: </w:t>
      </w:r>
    </w:p>
    <w:p>
      <w:pPr/>
      <w:r>
        <w:rPr>
          <w:highlight w:val="yellow"/>
        </w:rPr>
        <w:t xml:space="preserve">_____________________ / _________. /  “____”______ 201_ г</w:t>
      </w:r>
    </w:p>
    <w:p>
      <w:pPr>
        <w:jc w:val="center"/>
        <w:spacing w:before="3000" w:after="0" w:line="276" w:lineRule="auto"/>
      </w:pPr>
      <w:r>
        <w:rPr>
          <w:highlight w:val="yellow"/>
        </w:rPr>
        <w:t xml:space="preserve">Год набора - </w:t>
      </w:r>
    </w:p>
    <w:p>
      <w:pPr>
        <w:jc w:val="center"/>
        <w:spacing w:before="100" w:after="0" w:line="276" w:lineRule="auto"/>
      </w:pPr>
      <w:r>
        <w:rPr/>
        <w:t xml:space="preserve">Иркутск, 2018 г.</w:t>
      </w:r>
    </w:p>
    <w:p>
      <w:r>
        <w:br w:type="page"/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1.	Перечень планируемых результатов обучения по дисциплине, соотнесённых с планируемыми результатами освоения образовательной программы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1.1	Дисциплина «Вычислительные системы» обеспечивает формирование следующих компетенций с учётом этапа</w:t>
      </w:r>
    </w:p>
    <w:tbl>
      <w:tblGrid>
        <w:gridCol w:w="9000" w:type="dxa"/>
        <w:gridCol w:w="3000" w:type="dxa"/>
      </w:tblGrid>
      <w:tblPr>
        <w:tblStyle w:val="Colspan Rowspan"/>
      </w:tblPr>
      <w:tr>
        <w:trPr>
          <w:trHeight w:val="100" w:hRule="atLeast"/>
        </w:trPr>
        <w:tc>
          <w:tcPr>
            <w:tcW w:w="9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Код, наименование компетенции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Код, этапа освоения компетенции</w:t>
            </w:r>
          </w:p>
        </w:tc>
      </w:tr>
      <w:tr>
        <w:trPr>
          <w:trHeight w:val="100" w:hRule="atLeast"/>
        </w:trPr>
        <w:tc>
          <w:tcPr>
            <w:tcW w:w="9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ОК-2 способностью понимать роль науки в развитии цивилизации, соотношение науки и техники, иметь представление о связанных с ними современных социальных и этических проблемах, понимать ценность научной рациональности и ее исторических типов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  <w:tr>
        <w:trPr>
          <w:trHeight w:val="100" w:hRule="atLeast"/>
        </w:trPr>
        <w:tc>
          <w:tcPr>
            <w:tcW w:w="9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ОК-8 способностью к профессиональной эксплуатации современного оборудования и приборов</w:t>
            </w:r>
          </w:p>
        </w:tc>
        <w:tc>
          <w:tcPr>
            <w:tcW w:w="3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1.2 В результате освоения дисциплины у обучающихся должны быть сформированы</w:t>
      </w:r>
    </w:p>
    <w:tbl>
      <w:tblGrid>
        <w:gridCol w:w="6500" w:type="dxa"/>
        <w:gridCol w:w="2000" w:type="dxa"/>
        <w:gridCol w:w="3500" w:type="dxa"/>
      </w:tblGrid>
      <w:tblPr>
        <w:tblStyle w:val="Colspan Rowspan"/>
      </w:tblP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Обобщенные трудовые функции / Трудовые функции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 этапа освоения компетенции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Результат обучения</w:t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500" w:type="dxa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Знать</w:t>
            </w:r>
            <w:br/>
            <w:r>
              <w:rPr>
                <w:highlight w:val="yellow"/>
              </w:rPr>
              <w:t xml:space="preserve">Уметь</w:t>
            </w:r>
            <w:br/>
            <w:r>
              <w:rPr>
                <w:highlight w:val="yellow"/>
              </w:rPr>
              <w:t xml:space="preserve">Владеть</w:t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500" w:type="dxa"/>
          </w:tcPr>
          <w:p>
            <w:pPr>
              <w:jc w:val="both"/>
              <w:spacing w:before="0" w:after="0" w:line="240" w:lineRule="auto"/>
            </w:pPr>
            <w:r>
              <w:rPr>
                <w:highlight w:val="yellow"/>
              </w:rPr>
              <w:t xml:space="preserve">Знать</w:t>
            </w:r>
            <w:br/>
            <w:r>
              <w:rPr>
                <w:highlight w:val="yellow"/>
              </w:rPr>
              <w:t xml:space="preserve">Уметь</w:t>
            </w:r>
            <w:br/>
            <w:r>
              <w:rPr>
                <w:highlight w:val="yellow"/>
              </w:rPr>
              <w:t xml:space="preserve">Владеть</w:t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>
          <w:trHeight w:val="100" w:hRule="atLeast"/>
        </w:trPr>
        <w:tc>
          <w:tcPr>
            <w:tcW w:w="6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35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2.	Место дисциплины в структуре ООП</w:t>
      </w:r>
    </w:p>
    <w:p>
      <w:pPr>
        <w:jc w:val="both"/>
        <w:spacing w:before="0" w:after="0" w:line="240" w:lineRule="auto"/>
      </w:pPr>
      <w:r>
        <w:rPr/>
        <w:t xml:space="preserve">	Изучение дисциплины «Вычислительные системы» базируется на результатах освоения следующих дисциплин: «Современные проблемы информатики и вычислительной техники», «Философские проблемы естественных, гуманитарных и технических наук»</w:t>
      </w:r>
    </w:p>
    <w:p>
      <w:pPr>
        <w:jc w:val="both"/>
        <w:spacing w:before="0" w:after="0" w:line="240" w:lineRule="auto"/>
      </w:pPr>
      <w:r>
        <w:rPr/>
        <w:t xml:space="preserve">	Дисциплина является предшествующей для дисциплин: «Компьютерные технологии в науке и образовании», «История и методология информатики и вычислительной техники», «Информационная безопасность и защита данных», «Архитектура сетей и систем телекоммуникаций», «Администрирование в телекоммуникационных системах».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3.	Объем дисциплины</w:t>
      </w:r>
    </w:p>
    <w:p>
      <w:pPr>
        <w:jc w:val="both"/>
        <w:spacing w:before="0" w:after="0" w:line="240" w:lineRule="auto"/>
      </w:pPr>
      <w:r>
        <w:rPr/>
        <w:t xml:space="preserve">Объем дисциплины составляет - 3 ЗЕТ</w:t>
      </w:r>
    </w:p>
    <w:tbl>
      <w:tblGrid>
        <w:gridCol/>
        <w:gridCol w:w="2500" w:type="dxa"/>
        <w:gridCol w:w="2500" w:type="dxa"/>
      </w:tblGrid>
      <w:tblPr>
        <w:tblStyle w:val="Colspan Rowspan"/>
      </w:tblPr>
      <w:tr>
        <w:trPr>
          <w:trHeight w:val="100" w:hRule="atLeast"/>
        </w:trPr>
        <w:tc>
          <w:tcPr>
            <w:tcW w:w="70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Вид учебной работы</w:t>
            </w:r>
          </w:p>
        </w:tc>
        <w:tc>
          <w:tcPr>
            <w:tcW w:w="50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Трудоемкость в академических часах </w:t>
            </w:r>
            <w:r>
              <w:rPr>
                <w:sz w:val="16"/>
                <w:szCs w:val="16"/>
              </w:rPr>
              <w:t xml:space="preserve">(Один академический час соответствует 45 минутам астрономического часа)</w:t>
            </w:r>
          </w:p>
        </w:tc>
      </w:tr>
      <w:tr>
        <w:trPr>
          <w:trHeight w:val="100" w:hRule="atLeast"/>
        </w:trPr>
        <w:tc>
          <w:tcPr>
            <w:vMerge w:val="continue"/>
          </w:tcPr>
          <w:p/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Всего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Семестр №1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Общая трудоемкость дисциплины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108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108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Аудиторные занятия, в том числе: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36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36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лекции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12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лабораторные работы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24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24</w:t>
            </w:r>
          </w:p>
        </w:tc>
      </w:tr>
      <w:tr>
        <w:trPr/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практические/семинарские занятия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Самостоятельная работа (в т.ч. курсовое проектирование)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72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72</w:t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Трудоемкость промежуточной аттестации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</w:tr>
      <w:tr>
        <w:trPr>
          <w:trHeight w:val="100" w:hRule="atLeast"/>
        </w:trPr>
        <w:tc>
          <w:tcPr>
            <w:tcW w:w="7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Вид промежуточной аттестации (итогового контроля по дисциплине)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Зачет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Зачет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	Структура и содержание дисциплины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4.1	Сводные данные по содержанию дисциплины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№1</w:t>
      </w:r>
    </w:p>
    <w:tbl>
      <w:tblGrid>
        <w:gridCol/>
        <w:gridCol/>
        <w:gridCol w:w="700" w:type="dxa"/>
        <w:gridCol w:w="1200" w:type="dxa"/>
        <w:gridCol w:w="700" w:type="dxa"/>
        <w:gridCol w:w="1200" w:type="dxa"/>
        <w:gridCol w:w="700" w:type="dxa"/>
        <w:gridCol w:w="1200" w:type="dxa"/>
        <w:gridCol w:w="700" w:type="dxa"/>
        <w:gridCol w:w="1200" w:type="dxa"/>
        <w:gridCol w:w="2000" w:type="dxa"/>
      </w:tblGrid>
      <w:tblPr>
        <w:tblStyle w:val="Colspan Rowspan"/>
      </w:tblPr>
      <w:tr>
        <w:trPr>
          <w:trHeight w:val="100" w:hRule="atLeast"/>
        </w:trPr>
        <w:tc>
          <w:tcPr>
            <w:tcW w:w="6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№ п/п</w:t>
            </w:r>
          </w:p>
        </w:tc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Наименование раздела и темы дисциплины</w:t>
            </w:r>
          </w:p>
        </w:tc>
        <w:tc>
          <w:tcPr>
            <w:tcW w:w="7600" w:type="dxa"/>
            <w:vAlign w:val="center"/>
            <w:gridSpan w:val="8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Вид контактной работы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  <w:b/>
                <w:bCs/>
              </w:rPr>
              <w:t xml:space="preserve">Форма текущего контроля и вид промежуточной аттестации</w:t>
            </w:r>
          </w:p>
        </w:tc>
      </w:tr>
      <w:tr>
        <w:trPr>
          <w:trHeight w:val="100" w:hRule="atLeast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Лекции</w:t>
            </w:r>
          </w:p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ЛР</w:t>
            </w:r>
          </w:p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ПЗ(СЕМ)</w:t>
            </w:r>
          </w:p>
        </w:tc>
        <w:tc>
          <w:tcPr>
            <w:tcW w:w="1900" w:type="dxa"/>
            <w:vAlign w:val="center"/>
            <w:gridSpan w:val="2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СРС</w:t>
            </w:r>
          </w:p>
        </w:tc>
        <w:tc>
          <w:tcPr>
            <w:tcW w:w="2000" w:type="dxa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100" w:hRule="atLeast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№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Кол. час.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11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Аппаратные архитектуры современных вычислительных средств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1, 1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Устный опрос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Отчет по лабораторной работе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Процессоры Intel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Отчет по лабораторной работе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24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Отчет по лабораторной работе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Библиотеки и программные среды высокого уровня для разработки параллельных программ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Устный опрос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Обработка данных на многоядерных вычислительных архитектурах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Устный опрос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Промежуточная аттестация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Зачет</w:t>
            </w:r>
          </w:p>
        </w:tc>
      </w:tr>
      <w:tr>
        <w:trPr>
          <w:trHeight w:val="100" w:hRule="atLeast"/>
        </w:trPr>
        <w:tc>
          <w:tcPr>
            <w:tcW w:w="6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Всего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24</w:t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2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>72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sz w:val="20"/>
                <w:szCs w:val="20"/>
              </w:rPr>
              <w:t xml:space="preserve"/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4.2	Краткое содержание разделов и тем занятий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№1</w:t>
      </w:r>
    </w:p>
    <w:tbl>
      <w:tblGrid>
        <w:gridCol w:w="700" w:type="dxa"/>
        <w:gridCol w:w="4000" w:type="dxa"/>
        <w:gridCol w:w="7300" w:type="dxa"/>
      </w:tblGrid>
      <w:tblPr>
        <w:tblStyle w:val="Colspan Rowspan"/>
      </w:tblP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№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Тема</w:t>
            </w:r>
          </w:p>
        </w:tc>
        <w:tc>
          <w:tcPr>
            <w:tcW w:w="73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Краткое содержание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Аппаратные архитектуры современных вычислительных средств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История эволюционирования компьютерных архитектур. Классификации архитектур. Архитектуры CISC, RISC и WLIW.Внутрипроцессорный обмен информацией, системные шины. Архитектуры Intel, PowerPC, ARMv7, MIPS, AVR. Специализированные и графические процессоры GPU/CUDA.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Структуры данных: интенсивный подход к повышению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Записи и тегирование. Ассоциативные массивы. Мультиотображения. Списки. Множества и мультимножества. Очереди и приоритетные очереди. Стек. Деревья и их разновидности. B -деревья. Хэш-таблицы. Кучи. Графы. Таблица ссылок. Управление динамической памятью. Сборка мусора. Библиотека GC.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Процессоры Intel и оптимизация исходного кода: экстенсивное повышение производительности вычислительных систем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История развития. Конвейер команд и гипертрейдинг. Архитектура процессоров Core i7. Набор инструкций обработки векторных данных. Средства компилятора GCC для представления циклических операций в виде векторных инструкций.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Разработка компилятора языка программирования высокого уровня: языки описания предметной области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Структура компилятора: лексический анализатор, синтаксический анализатор. Грамматики. Классификация грамматик по Ноаму Хомскому. Представления грамматик в форме БНФ. Компилятор компиляторов ANTLR4. Компиляция JIT, AOT, виртуальные машины Java, CIL, Parrot, LLVM. Библиотека LLVM. Язык Оберон и его грамматика. Синтаксические структуры языка Оберон. Оптимизация сгенерированного кода. Сборка запускаемых модулей. Форматы файлов ELF, EXE (MZ). Представление отладочной информации.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5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Библиотеки и программные среды высокого уровня для разработки параллельных программ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Структуры данных для распределенных и параллельных воспроизводительных вычислений. Библиотеки BLAS, ATLAS, LAPACK, ScaLAPACK. Средства параллельного программирования Intel. Библиотека Intel Threading Building Box. пользование библиотека в системах анализа данных R, Matlab и др. Средства программирования NVIDIA GPU Cuda OpenCL.</w:t>
            </w:r>
          </w:p>
        </w:tc>
      </w:tr>
      <w:tr>
        <w:trPr>
          <w:trHeight w:val="100" w:hRule="atLeast"/>
        </w:trPr>
        <w:tc>
          <w:tcPr>
            <w:tcW w:w="7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</w:t>
            </w:r>
          </w:p>
        </w:tc>
        <w:tc>
          <w:tcPr>
            <w:tcW w:w="40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Обработка данных на многоядерных вычислительных архитектурах</w:t>
            </w:r>
          </w:p>
        </w:tc>
        <w:tc>
          <w:tcPr>
            <w:tcW w:w="7300" w:type="dxa"/>
            <w:vAlign w:val="center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Многоядерные процессорные архитектуры SMP и NUMA. Инструментальные средства программирования SMP-архитектур OpenMP. Многопоточные приложения. Суперкомпьютеры, кластеры, гриды и облачные вычисления. Метакопьютинг. Библиотека программирования кластерных ВС MPI и ее реализации. Системы MOSIX.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4.3	Перечень лабораторных работ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№1</w:t>
      </w:r>
    </w:p>
    <w:tbl>
      <w:tblGrid>
        <w:gridCol w:w="600" w:type="dxa"/>
        <w:gridCol w:w="10000" w:type="dxa"/>
        <w:gridCol w:w="1400" w:type="dxa"/>
      </w:tblGrid>
      <w:tblPr>
        <w:tblStyle w:val="Colspan Rowspan"/>
      </w:tblP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№ п/п</w:t>
            </w:r>
          </w:p>
        </w:tc>
        <w:tc>
          <w:tcPr>
            <w:tcW w:w="100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Наименование лабораторной работы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Кол-во акад. часов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Исследование компилятора GCC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Эвристический поиск в графе пространства состояний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3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Разработка компилятора языка Оберон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Разработка компилятора языка Оберон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5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Параллельная обработка массива при помощи технологии OpenMP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4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    Разработка параллельной программы для кластерного вычислительного устройства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6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10000" w:type="dxa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Итого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24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4.4	Перечень практических занятий</w:t>
      </w:r>
    </w:p>
    <w:p>
      <w:pPr>
        <w:jc w:val="both"/>
        <w:spacing w:before="0" w:after="0" w:line="240" w:lineRule="auto"/>
      </w:pPr>
      <w:r>
        <w:rPr/>
        <w:t xml:space="preserve">	Практических занятий не предусмотрено.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4.5	Самостоятельная работа 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Семестр №1</w:t>
      </w:r>
    </w:p>
    <w:tbl>
      <w:tblGrid>
        <w:gridCol w:w="600" w:type="dxa"/>
        <w:gridCol w:w="10000" w:type="dxa"/>
        <w:gridCol w:w="1400" w:type="dxa"/>
      </w:tblGrid>
      <w:tblPr>
        <w:tblStyle w:val="Colspan Rowspan"/>
      </w:tblP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№ п/п</w:t>
            </w:r>
          </w:p>
        </w:tc>
        <w:tc>
          <w:tcPr>
            <w:tcW w:w="100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Вид СРС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Кол-во акад. часов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1</w:t>
            </w:r>
          </w:p>
        </w:tc>
        <w:tc>
          <w:tcPr>
            <w:tcW w:w="10000" w:type="dxa"/>
          </w:tcPr>
          <w:p>
            <w:pPr>
              <w:jc w:val="both"/>
              <w:spacing w:before="0" w:after="0" w:line="240" w:lineRule="auto"/>
            </w:pPr>
            <w:r>
              <w:rPr/>
              <w:t xml:space="preserve">Подготовка к практическим занятиям (лабораторным работам)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72</w:t>
            </w:r>
          </w:p>
        </w:tc>
      </w:tr>
      <w:tr>
        <w:trPr>
          <w:trHeight w:val="100" w:hRule="atLeast"/>
        </w:trPr>
        <w:tc>
          <w:tcPr>
            <w:tcW w:w="6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/>
            </w:r>
          </w:p>
        </w:tc>
        <w:tc>
          <w:tcPr>
            <w:tcW w:w="10000" w:type="dxa"/>
          </w:tcPr>
          <w:p>
            <w:pPr>
              <w:jc w:val="right"/>
              <w:spacing w:before="0" w:after="0" w:line="240" w:lineRule="auto"/>
            </w:pPr>
            <w:r>
              <w:rPr/>
              <w:t xml:space="preserve">Итого</w:t>
            </w:r>
          </w:p>
        </w:tc>
        <w:tc>
          <w:tcPr>
            <w:tcW w:w="1400" w:type="dxa"/>
          </w:tcPr>
          <w:p>
            <w:pPr>
              <w:jc w:val="center"/>
              <w:spacing w:before="0" w:after="0" w:line="240" w:lineRule="auto"/>
            </w:pPr>
            <w:r>
              <w:rPr/>
              <w:t xml:space="preserve">72</w:t>
            </w:r>
          </w:p>
        </w:tc>
      </w:tr>
    </w:tbl>
    <w:p>
      <w:pPr>
        <w:jc w:val="both"/>
        <w:spacing w:before="0" w:after="0" w:line="240" w:lineRule="auto"/>
      </w:pPr>
      <w:r>
        <w:rPr>
          <w:highlight w:val="yellow"/>
        </w:rPr>
        <w:t xml:space="preserve">В ходе проведения лекций, практических и лабораторных работ используются следующие интерактивные 
методы обучения ________________________________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	Перечень учебно-методического обеспечения дисциплины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5.1	Методические указания для обучающихся по освоению дисциплины: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5.1.1	Методические указания для обучающихся по лабораторным работам: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5.1.2	Методические указания для обучающихся по самостоятельной работе: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	Фонд оценочных средств для контроля текущей успеваемости и проведения промежуточной аттестации по дисциплине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	Оценочные средства для проведения текущего контроля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6.1.1	Входной контроль (ВК)</w:t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Описание процедуры: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Пример: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i/>
          <w:iCs/>
          <w:highlight w:val="yellow"/>
        </w:rPr>
        <w:t xml:space="preserve">Критерии оценки: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6.1.2 Отчет по лабораторной работе</w:t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Тема (раздел)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Описание процедуры: 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Вопросы для контроля: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i/>
          <w:iCs/>
          <w:highlight w:val="yellow"/>
        </w:rPr>
        <w:t xml:space="preserve">Критерии оценки: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6.1.3 Устный опрос</w:t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Тема (раздел)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Описание процедуры: 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u w:val="single"/>
          <w:highlight w:val="yellow"/>
        </w:rPr>
        <w:t xml:space="preserve">Вопросы для контроля:</w:t>
      </w:r>
    </w:p>
    <w:p>
      <w:pPr>
        <w:jc w:val="both"/>
        <w:spacing w:before="0" w:after="0" w:line="240" w:lineRule="auto"/>
      </w:pPr>
      <w:r>
        <w:rPr/>
        <w:t xml:space="preserve"/>
      </w:r>
    </w:p>
    <w:p>
      <w:pPr>
        <w:jc w:val="both"/>
        <w:spacing w:before="0" w:after="0" w:line="240" w:lineRule="auto"/>
      </w:pPr>
      <w:r>
        <w:rPr>
          <w:i/>
          <w:iCs/>
          <w:highlight w:val="yellow"/>
        </w:rPr>
        <w:t xml:space="preserve">Критерии оценки: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 Оценочные средства промежуточной аттестации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6.2.1	Показатели и критерии оценивания компетенций на этапах их формирования</w:t>
      </w:r>
    </w:p>
    <w:tbl>
      <w:tblGrid>
        <w:gridCol w:w="3000" w:type="dxa"/>
        <w:gridCol w:w="3000" w:type="dxa"/>
        <w:gridCol w:w="3000" w:type="dxa"/>
        <w:gridCol w:w="3000" w:type="dxa"/>
      </w:tblGrid>
      <w:tblPr>
        <w:tblStyle w:val="Colspan Rowspan"/>
      </w:tblPr>
      <w:tr>
        <w:trPr>
          <w:trHeight w:val="100" w:hRule="atLeast"/>
        </w:trPr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Код этапа освоения компетенции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Показатель оценивания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Критерий оценивания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Средства (методы) оценивания промежуточной аттестации </w:t>
            </w:r>
          </w:p>
        </w:tc>
      </w:tr>
      <w:tr>
        <w:trPr>
          <w:trHeight w:val="100" w:hRule="atLeast"/>
        </w:trPr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6.2.2	Типовые оценочные средства промежуточной аттестации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6.2.2.1	Типовые оценочные средства для проведения зачета по дисциплине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6.2.2.1.1	Описание процедуры зачета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6.2.2.1.2	Критерии оценивания</w:t>
      </w:r>
    </w:p>
    <w:tbl>
      <w:tblGrid>
        <w:gridCol w:w="6000" w:type="dxa"/>
        <w:gridCol w:w="6000" w:type="dxa"/>
      </w:tblGrid>
      <w:tblPr>
        <w:tblStyle w:val="Colspan Rowspan"/>
      </w:tblPr>
      <w:tr>
        <w:trPr>
          <w:trHeight w:val="100" w:hRule="atLeast"/>
        </w:trPr>
        <w:tc>
          <w:tcPr>
            <w:tcW w:w="6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Зачтено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b/>
                <w:bCs/>
              </w:rPr>
              <w:t xml:space="preserve">Не зачтено</w:t>
            </w:r>
          </w:p>
        </w:tc>
      </w:tr>
      <w:tr>
        <w:trPr>
          <w:trHeight w:val="500" w:hRule="atLeast"/>
        </w:trPr>
        <w:tc>
          <w:tcPr>
            <w:tcW w:w="6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  <w:tc>
          <w:tcPr>
            <w:tcW w:w="6000" w:type="dxa"/>
            <w:vAlign w:val="center"/>
          </w:tcPr>
          <w:p>
            <w:pPr>
              <w:jc w:val="center"/>
              <w:spacing w:before="0" w:after="0" w:line="240" w:lineRule="auto"/>
            </w:pPr>
            <w:r>
              <w:rPr>
                <w:highlight w:val="yellow"/>
              </w:rPr>
              <w:t xml:space="preserve">необходимо заполнить</w:t>
            </w:r>
          </w:p>
        </w:tc>
      </w:tr>
    </w:tbl>
    <w:p>
      <w:pPr>
        <w:jc w:val="both"/>
        <w:spacing w:before="200" w:after="200" w:line="240" w:lineRule="auto"/>
      </w:pPr>
      <w:r>
        <w:rPr>
          <w:b/>
          <w:bCs/>
        </w:rPr>
        <w:t xml:space="preserve">7.	Основная учебная литература</w:t>
      </w:r>
    </w:p>
    <w:p>
      <w:pPr>
        <w:jc w:val="both"/>
        <w:spacing w:before="0" w:after="0" w:line="240" w:lineRule="auto"/>
      </w:pPr>
      <w:r>
        <w:rPr/>
        <w:t xml:space="preserve">1. Вирт Никлаус. Алгоритмы и структуры данных / Никлаус Вирт; Пеp. с англ. Д. Б. Подшивалова, 1989. - 360.</w:t>
      </w:r>
    </w:p>
    <w:p>
      <w:pPr>
        <w:jc w:val="both"/>
        <w:spacing w:before="0" w:after="0" w:line="240" w:lineRule="auto"/>
      </w:pPr>
      <w:r>
        <w:rPr/>
        <w:t xml:space="preserve">2. Ахо А. В. Построение и анализ вычислительных алгоритмов / А. В. Ахо, Дж. Э. Хопкрофт, Д. Д. Ульман, 1979. - 536.</w:t>
      </w:r>
    </w:p>
    <w:p>
      <w:pPr>
        <w:jc w:val="both"/>
        <w:spacing w:before="0" w:after="0" w:line="240" w:lineRule="auto"/>
      </w:pPr>
      <w:r>
        <w:rPr/>
        <w:t xml:space="preserve">3. Гагарина Л. Г. Введение в теорию алгоритмических языков и компиляторов : учебное пособие для вузов по направлению 230100 "Информатика и вычислительная техника" / Л. Г. Гагарина , Е. В. Кокорева, 2011. - 175.</w:t>
      </w:r>
    </w:p>
    <w:p>
      <w:pPr>
        <w:jc w:val="both"/>
        <w:spacing w:before="0" w:after="0" w:line="240" w:lineRule="auto"/>
      </w:pPr>
      <w:r>
        <w:rPr/>
        <w:t xml:space="preserve">4. Ахо А. В. Структуры данных и алгоритмы [Электронный ресурс]  : пер. с англ. / А. В. Ахо, Д. Э. Хопкрофт, Д. У. Ульман ; ред. А. А. Минько, 2000. - 384.</w:t>
      </w:r>
    </w:p>
    <w:p>
      <w:pPr>
        <w:jc w:val="both"/>
        <w:spacing w:before="0" w:after="0" w:line="240" w:lineRule="auto"/>
      </w:pPr>
      <w:r>
        <w:rPr/>
        <w:t xml:space="preserve">5. Малявко А. А. Параллельное программирование на основе технологий OpenMP, MPI, CUDA : учебное пособие для академического бакалавриата / А. А. Малявко, 2018. - 115.</w:t>
      </w:r>
    </w:p>
    <w:p>
      <w:pPr>
        <w:jc w:val="both"/>
        <w:spacing w:before="0" w:after="0" w:line="240" w:lineRule="auto"/>
      </w:pPr>
      <w:r>
        <w:rPr/>
        <w:t xml:space="preserve">6. Малявко А. А. Формальные языки и компиляторы : Учебное пособие / Малявко А.А., 2018. - 429.</w:t>
      </w:r>
    </w:p>
    <w:p>
      <w:pPr>
        <w:jc w:val="both"/>
        <w:spacing w:before="0" w:after="0" w:line="240" w:lineRule="auto"/>
      </w:pPr>
      <w:r>
        <w:rPr/>
        <w:t xml:space="preserve">7. Тюкачев Н. А. C#. Алгоритмы и структуры данных : учебное пособие / Н. А. Тюкачев, В. Г. Хлебостроев, 2018. - 232.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8.	Дополнительная учебная и справочная литература</w:t>
      </w:r>
    </w:p>
    <w:p>
      <w:pPr>
        <w:jc w:val="both"/>
        <w:spacing w:before="0" w:after="0" w:line="240" w:lineRule="auto"/>
      </w:pPr>
      <w:r>
        <w:rPr/>
        <w:t xml:space="preserve">1. Вирт Никлаус. Алгоритмы + структуры данных = программы / Никлаус Вирт; Пеp. с англ. Л. Ю. Йоффе, 1985. - 406.</w:t>
      </w:r>
    </w:p>
    <w:p>
      <w:pPr>
        <w:jc w:val="both"/>
        <w:spacing w:before="0" w:after="0" w:line="240" w:lineRule="auto"/>
      </w:pPr>
      <w:r>
        <w:rPr/>
        <w:t xml:space="preserve">2. Фролов Александр Вячеславович. Защищенный режим процессоров Intel 80286/80386/80486 : практ. рук. по использованию защищ. режима / Александр Вячеславович Фролов, Григорий Вячеславович Фролов, 1993. - 234.</w:t>
      </w:r>
    </w:p>
    <w:p>
      <w:pPr>
        <w:jc w:val="both"/>
        <w:spacing w:before="0" w:after="0" w:line="240" w:lineRule="auto"/>
      </w:pPr>
      <w:r>
        <w:rPr/>
        <w:t xml:space="preserve">3. Шагурин И. И. Процессоры семейства Intel Р6 Pentium II, Pentium III, Celeron и др. : архитектура, программирование, интерфейс: [Справочник] / И. И. Шагурин, Е. М. Бердышев, 2000. - 244.</w:t>
      </w:r>
    </w:p>
    <w:p>
      <w:pPr>
        <w:jc w:val="both"/>
        <w:spacing w:before="0" w:after="0" w:line="240" w:lineRule="auto"/>
      </w:pPr>
      <w:r>
        <w:rPr/>
        <w:t xml:space="preserve">4. Ахо Альфред В. Структуры данных и алгоритмы : [Пер. с англ.] / Альфред В. Ахо, Джон Э. Хопкрофт, Джеффри Д. Ульман, 2001. - 382.</w:t>
      </w:r>
    </w:p>
    <w:p>
      <w:pPr>
        <w:jc w:val="both"/>
        <w:spacing w:before="0" w:after="0" w:line="240" w:lineRule="auto"/>
      </w:pPr>
      <w:r>
        <w:rPr/>
        <w:t xml:space="preserve">5. Ирвин Кип Р. Язык ассемблера для процессоров Intel : пер с. англ. / Кип Р. Ирвин, 2002. - 614.</w:t>
      </w:r>
    </w:p>
    <w:p>
      <w:pPr>
        <w:jc w:val="both"/>
        <w:spacing w:before="0" w:after="0" w:line="240" w:lineRule="auto"/>
      </w:pPr>
      <w:r>
        <w:rPr/>
        <w:t xml:space="preserve">6. Вирт Н. Построение компиляторов : учебное пособие / Н. Вирт; пер. с англ. Е. В. Борисова, Л. Н. Чернышова, 2010. - 192.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9.	Ресурсы сети Интернет</w:t>
      </w:r>
    </w:p>
    <w:p>
      <w:pPr>
        <w:jc w:val="both"/>
        <w:spacing w:before="0" w:after="0" w:line="240" w:lineRule="auto"/>
      </w:pPr>
      <w:r>
        <w:rPr/>
        <w:t xml:space="preserve">1. http://library.istu.edu/</w:t>
      </w:r>
    </w:p>
    <w:p>
      <w:pPr>
        <w:jc w:val="both"/>
        <w:spacing w:before="0" w:after="0" w:line="240" w:lineRule="auto"/>
      </w:pPr>
      <w:r>
        <w:rPr/>
        <w:t xml:space="preserve">2. https://e.lanbook.com/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10.	Перечень информационных технологий, лицензионных и свободно распространяемых специализированных программных средств, 
информационных справочных систем</w:t>
      </w:r>
    </w:p>
    <w:p>
      <w:pPr>
        <w:jc w:val="both"/>
        <w:spacing w:before="0" w:after="0" w:line="240" w:lineRule="auto"/>
      </w:pPr>
      <w:r>
        <w:rPr/>
        <w:t xml:space="preserve">1. Microsoft Windows (Подписка DreamSpark Premium Electronic Software Delivery (3 years).
                   Сублицензионный договор  №14527/МОС2957 от 18.08.16г.)</w:t>
      </w:r>
    </w:p>
    <w:p>
      <w:pPr>
        <w:jc w:val="both"/>
        <w:spacing w:before="0" w:after="0" w:line="240" w:lineRule="auto"/>
      </w:pPr>
      <w:r>
        <w:rPr/>
        <w:t xml:space="preserve">2. Microsoft Office</w:t>
      </w:r>
    </w:p>
    <w:p>
      <w:pPr>
        <w:jc w:val="both"/>
        <w:spacing w:before="200" w:after="200" w:line="240" w:lineRule="auto"/>
      </w:pPr>
      <w:r>
        <w:rPr>
          <w:b/>
          <w:bCs/>
        </w:rPr>
        <w:t xml:space="preserve">11.	 Материально-техническое обеспечение дисциплины</w:t>
      </w:r>
    </w:p>
    <w:p>
      <w:pPr>
        <w:jc w:val="both"/>
        <w:spacing w:before="0" w:after="0" w:line="240" w:lineRule="auto"/>
      </w:pPr>
      <w:r>
        <w:rPr>
          <w:highlight w:val="yellow"/>
        </w:rPr>
        <w:t xml:space="preserve">необходимо заполнить</w:t>
      </w:r>
    </w:p>
    <w:sectPr>
      <w:pgSz w:orient="portrait" w:w="11905.511811024" w:h="16837.795275591"/>
      <w:pgMar w:top="1133" w:right="850" w:bottom="1133" w:left="1700" w:header="720" w:footer="720" w:gutter="0"/>
      <w:cols w:num="1" w:space="720"/>
      <w:pgNumType w:start="1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Colspan Rowspan">
    <w:name w:val="Colspan Rowspan"/>
    <w:uiPriority w:val="99"/>
    <w:tblPr>
      <w:tblW w:w="0" w:type="auto"/>
      <w:tblCellMar>
        <w:left w:w="100" w:type="dxa"/>
        <w:right w:w="10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  <w:style w:type="table" w:customStyle="1" w:styleId="">
    <w:name w:val=""/>
    <w:uiPriority w:val="99"/>
    <w:tblPr>
      <w:tblW w:w="0" w:type="auto"/>
      <w:tblCellMar>
        <w:left w:w="100" w:type="dxa"/>
        <w:right w:w="100" w:type="dxa"/>
      </w:tblCellMar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LENA</dc:creator>
  <dc:title/>
  <dc:description/>
  <dc:subject/>
  <cp:keywords/>
  <cp:category/>
  <cp:lastModifiedBy/>
  <dcterms:created xsi:type="dcterms:W3CDTF">2018-07-04T14:17:47+08:00</dcterms:created>
  <dcterms:modified xsi:type="dcterms:W3CDTF">2018-07-04T14:17:47+08:00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