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 w:line="240" w:lineRule="auto"/>
      </w:pPr>
      <w:r>
        <w:rPr>
          <w:b/>
          <w:bCs/>
        </w:rPr>
        <w:t xml:space="preserve">Министерство науки и высшего образования Российской Федерации</w:t>
      </w:r>
    </w:p>
    <w:p>
      <w:pPr>
        <w:jc w:val="center"/>
        <w:spacing w:before="0" w:after="50" w:line="240" w:lineRule="auto"/>
      </w:pPr>
      <w:r>
        <w:rPr>
          <w:b/>
          <w:bCs/>
        </w:rPr>
        <w:t xml:space="preserve">Федеральное государственное бюджетное образовательное учреждение</w:t>
      </w:r>
    </w:p>
    <w:p>
      <w:pPr>
        <w:jc w:val="center"/>
        <w:spacing w:before="0" w:after="50" w:line="240" w:lineRule="auto"/>
      </w:pPr>
      <w:r>
        <w:rPr>
          <w:b/>
          <w:bCs/>
        </w:rPr>
        <w:t xml:space="preserve">высшего образования</w:t>
      </w:r>
    </w:p>
    <w:p>
      <w:pPr>
        <w:jc w:val="center"/>
        <w:spacing w:before="0" w:after="50" w:line="240" w:lineRule="auto"/>
      </w:pPr>
      <w:r>
        <w:rPr>
          <w:b/>
          <w:bCs/>
        </w:rPr>
        <w:t xml:space="preserve">«ИРКУТСКИЙ НАЦИОНАЛЬНЫЙ ИССЛЕДОВАТЕЛЬСКИЙ</w:t>
      </w:r>
    </w:p>
    <w:p>
      <w:pPr>
        <w:jc w:val="center"/>
        <w:spacing w:before="0" w:after="230" w:line="240" w:lineRule="auto"/>
      </w:pPr>
      <w:r>
        <w:rPr>
          <w:b/>
          <w:bCs/>
        </w:rPr>
        <w:t xml:space="preserve">ТЕХНИЧЕСКИЙ УНИВЕРСИТЕТ»</w:t>
      </w:r>
    </w:p>
    <w:p>
      <w:pPr>
        <w:jc w:val="center"/>
        <w:spacing w:before="0" w:after="200" w:line="255" w:lineRule="auto"/>
      </w:pPr>
      <w:r>
        <w:rPr/>
        <w:t xml:space="preserve">Кафедра Вычислительной техники</w:t>
      </w:r>
    </w:p>
    <w:p>
      <w:pPr>
        <w:jc w:val="right"/>
        <w:spacing w:before="0" w:after="0" w:line="276" w:lineRule="auto"/>
      </w:pPr>
      <w:r>
        <w:rPr>
          <w:b/>
          <w:bCs/>
          <w:caps/>
        </w:rPr>
        <w:t xml:space="preserve">утверждена:</w:t>
      </w:r>
    </w:p>
    <w:p>
      <w:pPr>
        <w:jc w:val="right"/>
        <w:spacing w:before="0" w:after="0" w:line="276" w:lineRule="auto"/>
      </w:pPr>
      <w:r>
        <w:rPr/>
        <w:t xml:space="preserve">на заседании кафедры</w:t>
      </w:r>
    </w:p>
    <w:p>
      <w:pPr>
        <w:jc w:val="right"/>
        <w:spacing w:before="0" w:after="0" w:line="276" w:lineRule="auto"/>
      </w:pPr>
      <w:r>
        <w:rPr>
          <w:highlight w:val="yellow"/>
        </w:rPr>
        <w:t xml:space="preserve">Протокол №___ от «____» ____ 2018 г.</w:t>
      </w:r>
    </w:p>
    <w:p>
      <w:pPr>
        <w:jc w:val="center"/>
        <w:spacing w:before="450" w:after="170" w:line="300" w:lineRule="auto"/>
      </w:pPr>
      <w:r>
        <w:rPr>
          <w:sz w:val="28"/>
          <w:szCs w:val="28"/>
          <w:b/>
          <w:bCs/>
        </w:rPr>
        <w:t xml:space="preserve">Рабочая программа дисциплины</w:t>
      </w:r>
    </w:p>
    <w:tbl>
      <w:tblGrid>
        <w:gridCol w:w="12000" w:type="dxa"/>
      </w:tblGrid>
      <w:tblPr>
        <w:tblW w:w="0" w:type="auto"/>
        <w:tblBorders>
          <w:bottom w:val="single" w:sz="15" w:color="000000"/>
        </w:tblBorders>
      </w:tblPr>
      <w:tr>
        <w:trPr>
          <w:trHeight w:val="100" w:hRule="atLeast"/>
        </w:trPr>
        <w:tc>
          <w:tcPr>
            <w:tcW w:w="1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caps/>
              </w:rPr>
              <w:t xml:space="preserve">«Сетевые операционные системы»</w:t>
            </w:r>
          </w:p>
        </w:tc>
      </w:tr>
    </w:tbl>
    <w:p>
      <w:pPr>
        <w:jc w:val="center"/>
        <w:spacing w:before="0" w:after="0" w:line="285" w:lineRule="auto"/>
      </w:pPr>
      <w:r>
        <w:rPr>
          <w:sz w:val="32"/>
          <w:szCs w:val="32"/>
          <w:i/>
          <w:iCs/>
          <w:vertAlign w:val="superscript"/>
        </w:rPr>
        <w:t xml:space="preserve"/>
      </w:r>
    </w:p>
    <w:tbl>
      <w:tblGrid>
        <w:gridCol w:w="12000" w:type="dxa"/>
      </w:tblGrid>
      <w:tblPr>
        <w:tblW w:w="0" w:type="auto"/>
        <w:tblBorders>
          <w:bottom w:val="single" w:sz="6" w:color="000000"/>
        </w:tblBorders>
      </w:tblPr>
      <w:tr>
        <w:trPr>
          <w:trHeight w:val="100" w:hRule="atLeast"/>
        </w:trPr>
        <w:tc>
          <w:tcPr>
            <w:tcW w:w="1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Направление: 09.04.01 Информатика и вычислительная техника</w:t>
            </w:r>
          </w:p>
        </w:tc>
      </w:tr>
    </w:tbl>
    <w:p>
      <w:pPr>
        <w:jc w:val="center"/>
        <w:spacing w:before="0" w:after="0" w:line="285" w:lineRule="auto"/>
      </w:pPr>
      <w:r>
        <w:rPr>
          <w:sz w:val="32"/>
          <w:szCs w:val="32"/>
          <w:i/>
          <w:iCs/>
          <w:vertAlign w:val="superscript"/>
        </w:rPr>
        <w:t xml:space="preserve"/>
      </w:r>
    </w:p>
    <w:tbl>
      <w:tblGrid>
        <w:gridCol w:w="12000" w:type="dxa"/>
      </w:tblGrid>
      <w:tblPr>
        <w:tblW w:w="0" w:type="auto"/>
        <w:tblBorders>
          <w:bottom w:val="single" w:sz="6" w:color="000000"/>
        </w:tblBorders>
      </w:tblPr>
      <w:tr>
        <w:trPr>
          <w:trHeight w:val="100" w:hRule="atLeast"/>
        </w:trPr>
        <w:tc>
          <w:tcPr>
            <w:tcW w:w="1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Программа: Сети ЭВМ и телекоммуникации</w:t>
            </w:r>
          </w:p>
        </w:tc>
      </w:tr>
    </w:tbl>
    <w:p>
      <w:pPr>
        <w:jc w:val="center"/>
        <w:spacing w:before="0" w:after="0" w:line="285" w:lineRule="auto"/>
      </w:pPr>
      <w:r>
        <w:rPr>
          <w:sz w:val="32"/>
          <w:szCs w:val="32"/>
          <w:i/>
          <w:iCs/>
          <w:vertAlign w:val="superscript"/>
        </w:rPr>
        <w:t xml:space="preserve"/>
      </w:r>
    </w:p>
    <w:tbl>
      <w:tblGrid>
        <w:gridCol w:w="12000" w:type="dxa"/>
      </w:tblGrid>
      <w:tblPr>
        <w:tblW w:w="0" w:type="auto"/>
        <w:tblBorders>
          <w:bottom w:val="single" w:sz="6" w:color="000000"/>
        </w:tblBorders>
      </w:tblPr>
      <w:tr>
        <w:trPr>
          <w:trHeight w:val="100" w:hRule="atLeast"/>
        </w:trPr>
        <w:tc>
          <w:tcPr>
            <w:tcW w:w="1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Квалификация: Магистр</w:t>
            </w:r>
          </w:p>
        </w:tc>
      </w:tr>
    </w:tbl>
    <w:p>
      <w:pPr>
        <w:jc w:val="center"/>
        <w:spacing w:before="0" w:after="0" w:line="285" w:lineRule="auto"/>
      </w:pPr>
      <w:r>
        <w:rPr>
          <w:sz w:val="32"/>
          <w:szCs w:val="32"/>
          <w:i/>
          <w:iCs/>
          <w:vertAlign w:val="superscript"/>
        </w:rPr>
        <w:t xml:space="preserve"/>
      </w:r>
    </w:p>
    <w:tbl>
      <w:tblGrid>
        <w:gridCol w:w="12000" w:type="dxa"/>
      </w:tblGrid>
      <w:tblPr>
        <w:tblW w:w="0" w:type="auto"/>
        <w:tblBorders>
          <w:bottom w:val="single" w:sz="6" w:color="000000"/>
        </w:tblBorders>
      </w:tblPr>
      <w:tr>
        <w:trPr>
          <w:trHeight w:val="100" w:hRule="atLeast"/>
        </w:trPr>
        <w:tc>
          <w:tcPr>
            <w:tcW w:w="1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Форма обучения: очная</w:t>
            </w:r>
          </w:p>
        </w:tc>
      </w:tr>
    </w:tbl>
    <w:p>
      <w:pPr>
        <w:jc w:val="left"/>
        <w:spacing w:before="850" w:after="150" w:line="300" w:lineRule="auto"/>
      </w:pPr>
      <w:r>
        <w:rPr>
          <w:b/>
          <w:bCs/>
        </w:rPr>
        <w:t xml:space="preserve">Составитель программы:</w:t>
      </w:r>
    </w:p>
    <w:p>
      <w:pPr/>
      <w:r>
        <w:rPr>
          <w:highlight w:val="yellow"/>
        </w:rPr>
        <w:t xml:space="preserve">_____________________ / _________. /  “____”______ 201_ г</w:t>
      </w:r>
    </w:p>
    <w:p>
      <w:pPr>
        <w:jc w:val="left"/>
        <w:spacing w:before="350" w:after="150" w:line="300" w:lineRule="auto"/>
      </w:pPr>
      <w:r>
        <w:rPr>
          <w:b/>
          <w:bCs/>
        </w:rPr>
        <w:t xml:space="preserve">Зав. кафедрой: </w:t>
      </w:r>
    </w:p>
    <w:p>
      <w:pPr/>
      <w:r>
        <w:rPr>
          <w:highlight w:val="yellow"/>
        </w:rPr>
        <w:t xml:space="preserve">_____________________ / _________. /  “____”______ 201_ г</w:t>
      </w:r>
    </w:p>
    <w:p>
      <w:pPr>
        <w:jc w:val="center"/>
        <w:spacing w:before="3000" w:after="0" w:line="276" w:lineRule="auto"/>
      </w:pPr>
      <w:r>
        <w:rPr>
          <w:highlight w:val="yellow"/>
        </w:rPr>
        <w:t xml:space="preserve">Год набора - </w:t>
      </w:r>
    </w:p>
    <w:p>
      <w:pPr>
        <w:jc w:val="center"/>
        <w:spacing w:before="100" w:after="0" w:line="276" w:lineRule="auto"/>
      </w:pPr>
      <w:r>
        <w:rPr/>
        <w:t xml:space="preserve">Иркутск, 2018 г.</w:t>
      </w:r>
    </w:p>
    <w:p>
      <w:r>
        <w:br w:type="page"/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1.	Перечень планируемых результатов обучения по дисциплине, соотнесённых с планируемыми результатами освоения образовательной программы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1.1	Дисциплина «Сетевые операционные системы» обеспечивает формирование следующих компетенций с учётом этапа</w:t>
      </w:r>
    </w:p>
    <w:tbl>
      <w:tblGrid>
        <w:gridCol w:w="9000" w:type="dxa"/>
        <w:gridCol w:w="3000" w:type="dxa"/>
      </w:tblGrid>
      <w:tblPr>
        <w:tblStyle w:val="Colspan Rowspan"/>
      </w:tblPr>
      <w:tr>
        <w:trPr>
          <w:trHeight w:val="100" w:hRule="atLeast"/>
        </w:trPr>
        <w:tc>
          <w:tcPr>
            <w:tcW w:w="9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Код, наименование компетенции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Код, этапа освоения компетенции</w:t>
            </w:r>
          </w:p>
        </w:tc>
      </w:tr>
      <w:tr>
        <w:trPr>
          <w:trHeight w:val="100" w:hRule="atLeast"/>
        </w:trPr>
        <w:tc>
          <w:tcPr>
            <w:tcW w:w="9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ОПК-1 способностью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</w:tr>
      <w:tr>
        <w:trPr>
          <w:trHeight w:val="100" w:hRule="atLeast"/>
        </w:trPr>
        <w:tc>
          <w:tcPr>
            <w:tcW w:w="9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ОПК-5 владением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1.2 В результате освоения дисциплины у обучающихся должны быть сформированы</w:t>
      </w:r>
    </w:p>
    <w:tbl>
      <w:tblGrid>
        <w:gridCol w:w="6500" w:type="dxa"/>
        <w:gridCol w:w="2000" w:type="dxa"/>
        <w:gridCol w:w="3500" w:type="dxa"/>
      </w:tblGrid>
      <w:tblPr>
        <w:tblStyle w:val="Colspan Rowspan"/>
      </w:tblPr>
      <w:tr>
        <w:trPr>
          <w:trHeight w:val="100" w:hRule="atLeast"/>
        </w:trPr>
        <w:tc>
          <w:tcPr>
            <w:tcW w:w="6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Обобщенные трудовые функции / Трудовые функции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Код этапа освоения компетенции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Результат обучения</w:t>
            </w:r>
          </w:p>
        </w:tc>
      </w:tr>
      <w:tr>
        <w:trPr>
          <w:trHeight w:val="100" w:hRule="atLeast"/>
        </w:trPr>
        <w:tc>
          <w:tcPr>
            <w:tcW w:w="6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3500" w:type="dxa"/>
          </w:tcPr>
          <w:p>
            <w:pPr>
              <w:jc w:val="both"/>
              <w:spacing w:before="0" w:after="0" w:line="240" w:lineRule="auto"/>
            </w:pPr>
            <w:r>
              <w:rPr>
                <w:highlight w:val="yellow"/>
              </w:rPr>
              <w:t xml:space="preserve">Знать</w:t>
            </w:r>
            <w:br/>
            <w:r>
              <w:rPr>
                <w:highlight w:val="yellow"/>
              </w:rPr>
              <w:t xml:space="preserve">Уметь</w:t>
            </w:r>
            <w:br/>
            <w:r>
              <w:rPr>
                <w:highlight w:val="yellow"/>
              </w:rPr>
              <w:t xml:space="preserve">Владеть</w:t>
            </w:r>
          </w:p>
        </w:tc>
      </w:tr>
      <w:tr>
        <w:trPr>
          <w:trHeight w:val="100" w:hRule="atLeast"/>
        </w:trPr>
        <w:tc>
          <w:tcPr>
            <w:tcW w:w="6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3500" w:type="dxa"/>
          </w:tcPr>
          <w:p>
            <w:pPr>
              <w:jc w:val="both"/>
              <w:spacing w:before="0" w:after="0" w:line="240" w:lineRule="auto"/>
            </w:pPr>
            <w:r>
              <w:rPr>
                <w:highlight w:val="yellow"/>
              </w:rPr>
              <w:t xml:space="preserve">Знать</w:t>
            </w:r>
            <w:br/>
            <w:r>
              <w:rPr>
                <w:highlight w:val="yellow"/>
              </w:rPr>
              <w:t xml:space="preserve">Уметь</w:t>
            </w:r>
            <w:br/>
            <w:r>
              <w:rPr>
                <w:highlight w:val="yellow"/>
              </w:rPr>
              <w:t xml:space="preserve">Владеть</w:t>
            </w:r>
          </w:p>
        </w:tc>
      </w:tr>
      <w:tr>
        <w:trPr>
          <w:trHeight w:val="100" w:hRule="atLeast"/>
        </w:trPr>
        <w:tc>
          <w:tcPr>
            <w:tcW w:w="6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>
          <w:trHeight w:val="100" w:hRule="atLeast"/>
        </w:trPr>
        <w:tc>
          <w:tcPr>
            <w:tcW w:w="6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35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2.	Место дисциплины в структуре ООП</w:t>
      </w:r>
    </w:p>
    <w:p>
      <w:pPr>
        <w:jc w:val="both"/>
        <w:spacing w:before="0" w:after="0" w:line="240" w:lineRule="auto"/>
      </w:pPr>
      <w:r>
        <w:rPr/>
        <w:t xml:space="preserve">	Изучение дисциплины «Сетевые операционные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наук», «Архитектура сетей и систем телекоммуникаций», «Моделирование сетей ЭВМ и систем телекоммуникаций», «Компьютерные сети и телекоммуникационные системы», «Проектирование информационных и телекоммуникационных систем»</w:t>
      </w:r>
    </w:p>
    <w:p>
      <w:pPr>
        <w:jc w:val="both"/>
        <w:spacing w:before="0" w:after="0" w:line="240" w:lineRule="auto"/>
      </w:pPr>
      <w:r>
        <w:rPr/>
        <w:t xml:space="preserve">	Дисциплина является предшествующей для дисциплин: «Интернет-технологии: протоколы и сервисы», «Информационная безопасность и защита данных», «Технология разработки программного обеспечения», «Разработка мобильных приложений», «Беспроводные сети», «Мультимедийные сети».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3.	Объем дисциплины</w:t>
      </w:r>
    </w:p>
    <w:p>
      <w:pPr>
        <w:jc w:val="both"/>
        <w:spacing w:before="0" w:after="0" w:line="240" w:lineRule="auto"/>
      </w:pPr>
      <w:r>
        <w:rPr/>
        <w:t xml:space="preserve">Объем дисциплины составляет - 4 ЗЕТ</w:t>
      </w:r>
    </w:p>
    <w:tbl>
      <w:tblGrid>
        <w:gridCol/>
        <w:gridCol w:w="2500" w:type="dxa"/>
        <w:gridCol w:w="2500" w:type="dxa"/>
      </w:tblGrid>
      <w:tblPr>
        <w:tblStyle w:val="Colspan Rowspan"/>
      </w:tblPr>
      <w:tr>
        <w:trPr>
          <w:trHeight w:val="100" w:hRule="atLeast"/>
        </w:trPr>
        <w:tc>
          <w:tcPr>
            <w:tcW w:w="70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Вид учебной работы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Трудоемкость в академических часах </w:t>
            </w:r>
            <w:r>
              <w:rPr>
                <w:sz w:val="16"/>
                <w:szCs w:val="16"/>
              </w:rPr>
              <w:t xml:space="preserve">(Один академический час соответствует 45 минутам астрономического часа)</w:t>
            </w:r>
          </w:p>
        </w:tc>
      </w:tr>
      <w:tr>
        <w:trPr>
          <w:trHeight w:val="100" w:hRule="atLeast"/>
        </w:trPr>
        <w:tc>
          <w:tcPr>
            <w:vMerge w:val="continue"/>
          </w:tcPr>
          <w:p/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Всего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Семестр №3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Общая трудоемкость дисциплины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144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144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Аудиторные занятия, в том числе: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39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39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лекции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13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13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26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26</w:t>
            </w:r>
          </w:p>
        </w:tc>
      </w:tr>
      <w:tr>
        <w:trPr/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Самостоятельная работа (в т.ч. курсовое проектирование)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69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69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36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36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Экзамен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Экзамен</w:t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4.	Структура и содержание дисциплины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4.1	Сводные данные по содержанию дисциплины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Семестр №3</w:t>
      </w:r>
    </w:p>
    <w:tbl>
      <w:tblGrid>
        <w:gridCol/>
        <w:gridCol/>
        <w:gridCol w:w="700" w:type="dxa"/>
        <w:gridCol w:w="1200" w:type="dxa"/>
        <w:gridCol w:w="700" w:type="dxa"/>
        <w:gridCol w:w="1200" w:type="dxa"/>
        <w:gridCol w:w="700" w:type="dxa"/>
        <w:gridCol w:w="1200" w:type="dxa"/>
        <w:gridCol w:w="700" w:type="dxa"/>
        <w:gridCol w:w="1200" w:type="dxa"/>
        <w:gridCol w:w="2000" w:type="dxa"/>
      </w:tblGrid>
      <w:tblPr>
        <w:tblStyle w:val="Colspan Rowspan"/>
      </w:tblPr>
      <w:tr>
        <w:trPr>
          <w:trHeight w:val="100" w:hRule="atLeast"/>
        </w:trPr>
        <w:tc>
          <w:tcPr>
            <w:tcW w:w="6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  <w:b/>
                <w:bCs/>
              </w:rPr>
              <w:t xml:space="preserve">№ п/п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  <w:b/>
                <w:bCs/>
              </w:rPr>
              <w:t xml:space="preserve">Наименование раздела и темы дисциплины</w:t>
            </w:r>
          </w:p>
        </w:tc>
        <w:tc>
          <w:tcPr>
            <w:tcW w:w="7600" w:type="dxa"/>
            <w:vAlign w:val="center"/>
            <w:gridSpan w:val="8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  <w:b/>
                <w:bCs/>
              </w:rPr>
              <w:t xml:space="preserve">Вид контактной работы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  <w:b/>
                <w:bCs/>
              </w:rPr>
              <w:t xml:space="preserve">Форма текущего контроля и вид промежуточной аттестации</w:t>
            </w:r>
          </w:p>
        </w:tc>
      </w:tr>
      <w:tr>
        <w:trPr>
          <w:trHeight w:val="100" w:hRule="atLeast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900" w:type="dxa"/>
            <w:vAlign w:val="center"/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Лекции</w:t>
            </w:r>
          </w:p>
        </w:tc>
        <w:tc>
          <w:tcPr>
            <w:tcW w:w="1900" w:type="dxa"/>
            <w:vAlign w:val="center"/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ЛР</w:t>
            </w:r>
          </w:p>
        </w:tc>
        <w:tc>
          <w:tcPr>
            <w:tcW w:w="1900" w:type="dxa"/>
            <w:vAlign w:val="center"/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ПЗ(СЕМ)</w:t>
            </w:r>
          </w:p>
        </w:tc>
        <w:tc>
          <w:tcPr>
            <w:tcW w:w="1900" w:type="dxa"/>
            <w:vAlign w:val="center"/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СРС</w:t>
            </w:r>
          </w:p>
        </w:tc>
        <w:tc>
          <w:tcPr>
            <w:tcW w:w="2000" w:type="dxa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>
          <w:trHeight w:val="100" w:hRule="atLeast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№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Кол. час.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№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Кол. час.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№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Кол. час.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№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Кол. час.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11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Введение в основные концепции организации операционных систем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Устный опрос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Средства обеспечения межпроцессного взаимодействия в распределенных вычислительных средах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Отчет по лабораторной работе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Сетевые сервисы и метакомпьютинг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Отчет по лабораторной работе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Компонентная разработка информационных систем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Отчет по лабораторной работе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Непрерывная интеграция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Отчет по лабораторной работе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Промежуточная аттестация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36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Экзамен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Всего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13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26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105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4.2	Краткое содержание разделов и тем занятий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Семестр №3</w:t>
      </w:r>
    </w:p>
    <w:tbl>
      <w:tblGrid>
        <w:gridCol w:w="700" w:type="dxa"/>
        <w:gridCol w:w="4000" w:type="dxa"/>
        <w:gridCol w:w="7300" w:type="dxa"/>
      </w:tblGrid>
      <w:tblPr>
        <w:tblStyle w:val="Colspan Rowspan"/>
      </w:tblPr>
      <w:tr>
        <w:trPr>
          <w:trHeight w:val="100" w:hRule="atLeast"/>
        </w:trPr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№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Тема</w:t>
            </w:r>
          </w:p>
        </w:tc>
        <w:tc>
          <w:tcPr>
            <w:tcW w:w="73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Краткое содержание</w:t>
            </w:r>
          </w:p>
        </w:tc>
      </w:tr>
      <w:tr>
        <w:trPr>
          <w:trHeight w:val="100" w:hRule="atLeast"/>
        </w:trPr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</w:t>
            </w:r>
          </w:p>
        </w:tc>
        <w:tc>
          <w:tcPr>
            <w:tcW w:w="4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Введение в основные концепции организации операционных систем</w:t>
            </w:r>
          </w:p>
        </w:tc>
        <w:tc>
          <w:tcPr>
            <w:tcW w:w="73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Классификационные характеристики операционных систем. Стандарты многопроцессного взаимодействия в ОС. Средства разработки и поддержки межпроцессорного взаимодействия. Стандарты организации журналируемых файловых систем.  Концепция сетевой операционной системы. Модели взаимодействия открытых систем, OSI/ISO. Современные средства обеспечения нижних уровней взаимодействия OSI/ISO. Понятие о распределенной вычислительной среде.</w:t>
            </w:r>
          </w:p>
        </w:tc>
      </w:tr>
      <w:tr>
        <w:trPr>
          <w:trHeight w:val="100" w:hRule="atLeast"/>
        </w:trPr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  <w:tc>
          <w:tcPr>
            <w:tcW w:w="4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Средства обеспечения межпроцессного взаимодействия в распределенных вычислительных средах</w:t>
            </w:r>
          </w:p>
        </w:tc>
        <w:tc>
          <w:tcPr>
            <w:tcW w:w="73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 Понятие протокола обмена сообщениями. Средства формального описания протоколов. RFC. Программные средства обеспечения межпроцессного взаимодействияTelnet, SSH, VNC, RDP.</w:t>
            </w:r>
          </w:p>
        </w:tc>
      </w:tr>
      <w:tr>
        <w:trPr>
          <w:trHeight w:val="100" w:hRule="atLeast"/>
        </w:trPr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</w:t>
            </w:r>
          </w:p>
        </w:tc>
        <w:tc>
          <w:tcPr>
            <w:tcW w:w="4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Сетевые сервисы и метакомпьютинг</w:t>
            </w:r>
          </w:p>
        </w:tc>
        <w:tc>
          <w:tcPr>
            <w:tcW w:w="73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Организация распределенных вычислительных сред на основе сервисов. Стандартные протоколы доступа к уделенным сервисам. Средства семантического описания сетевых сервисов, автоматизация агрегирования информационных и вычис-лительных ресурсов. Метакомпьютинг с точки зрения сетевой операционной системы. Облачные сервисы: организация агрегирования и распределения ресурсов. Сетевые файловые системы CIFS, NFS, Lustre и др. Организация облачных сервисов хранения данных.</w:t>
            </w:r>
          </w:p>
        </w:tc>
      </w:tr>
      <w:tr>
        <w:trPr>
          <w:trHeight w:val="100" w:hRule="atLeast"/>
        </w:trPr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4</w:t>
            </w:r>
          </w:p>
        </w:tc>
        <w:tc>
          <w:tcPr>
            <w:tcW w:w="4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Компонентная разработка информационных систем</w:t>
            </w:r>
          </w:p>
        </w:tc>
        <w:tc>
          <w:tcPr>
            <w:tcW w:w="73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Современные компонентные архитектуры и инструменты их разработки. Механизмы программной адаптации внешних компонент. Компонентная архитектура Zope. Компонентная архитектура C</w:t>
            </w:r>
          </w:p>
        </w:tc>
      </w:tr>
      <w:tr>
        <w:trPr>
          <w:trHeight w:val="100" w:hRule="atLeast"/>
        </w:trPr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5</w:t>
            </w:r>
          </w:p>
        </w:tc>
        <w:tc>
          <w:tcPr>
            <w:tcW w:w="4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Непрерывная интеграция</w:t>
            </w:r>
          </w:p>
        </w:tc>
        <w:tc>
          <w:tcPr>
            <w:tcW w:w="73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Задачи непрерывной интеграции. Средства и инструментарий. Программирование тестов. Виртуальные машины и контейнеры. Технологии VMWare, Virtualbox, Docker, LXC. Сборка вычислительных сред, технологии Docker-compose, Vagrant. Взаимодействие средств автоматизации разработки и управления проектами со средствами непрерывной интеграции, Github, Gitlab.</w:t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4.3	Перечень лабораторных работ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Семестр №3</w:t>
      </w:r>
    </w:p>
    <w:tbl>
      <w:tblGrid>
        <w:gridCol w:w="600" w:type="dxa"/>
        <w:gridCol w:w="10000" w:type="dxa"/>
        <w:gridCol w:w="1400" w:type="dxa"/>
      </w:tblGrid>
      <w:tblPr>
        <w:tblStyle w:val="Colspan Rowspan"/>
      </w:tblP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№ п/п</w:t>
            </w:r>
          </w:p>
        </w:tc>
        <w:tc>
          <w:tcPr>
            <w:tcW w:w="100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Наименование лабораторной работы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Кол-во акад. часов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</w:t>
            </w:r>
          </w:p>
        </w:tc>
        <w:tc>
          <w:tcPr>
            <w:tcW w:w="10000" w:type="dxa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Разработка многопроцессной программы для ОС Linux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6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  <w:tc>
          <w:tcPr>
            <w:tcW w:w="10000" w:type="dxa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Создание виртуальной вычислительной среды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4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</w:t>
            </w:r>
          </w:p>
        </w:tc>
        <w:tc>
          <w:tcPr>
            <w:tcW w:w="10000" w:type="dxa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Разработка распределенного программного комплекса на основе компонентной архитектуры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8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4</w:t>
            </w:r>
          </w:p>
        </w:tc>
        <w:tc>
          <w:tcPr>
            <w:tcW w:w="10000" w:type="dxa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Создание среды непрерывной интеграции для распределенного программного комплекса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8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10000" w:type="dxa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Итого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26</w:t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4.4	Перечень практических занятий</w:t>
      </w:r>
    </w:p>
    <w:p>
      <w:pPr>
        <w:jc w:val="both"/>
        <w:spacing w:before="0" w:after="0" w:line="240" w:lineRule="auto"/>
      </w:pPr>
      <w:r>
        <w:rPr/>
        <w:t xml:space="preserve">	Практических занятий не предусмотрено.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4.5	Самостоятельная работа 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Семестр №3</w:t>
      </w:r>
    </w:p>
    <w:tbl>
      <w:tblGrid>
        <w:gridCol w:w="600" w:type="dxa"/>
        <w:gridCol w:w="10000" w:type="dxa"/>
        <w:gridCol w:w="1400" w:type="dxa"/>
      </w:tblGrid>
      <w:tblPr>
        <w:tblStyle w:val="Colspan Rowspan"/>
      </w:tblP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№ п/п</w:t>
            </w:r>
          </w:p>
        </w:tc>
        <w:tc>
          <w:tcPr>
            <w:tcW w:w="100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Вид СРС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Кол-во акад. часов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</w:t>
            </w:r>
          </w:p>
        </w:tc>
        <w:tc>
          <w:tcPr>
            <w:tcW w:w="10000" w:type="dxa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59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  <w:tc>
          <w:tcPr>
            <w:tcW w:w="10000" w:type="dxa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Проработка отдельных разделов теоретического курса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10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10000" w:type="dxa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Итого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69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</w:t>
            </w:r>
          </w:p>
        </w:tc>
        <w:tc>
          <w:tcPr>
            <w:tcW w:w="10000" w:type="dxa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Подготовка к экзамену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36</w:t>
            </w:r>
          </w:p>
        </w:tc>
      </w:tr>
    </w:tbl>
    <w:p>
      <w:pPr>
        <w:jc w:val="both"/>
        <w:spacing w:before="0" w:after="0" w:line="240" w:lineRule="auto"/>
      </w:pPr>
      <w:r>
        <w:rPr>
          <w:highlight w:val="yellow"/>
        </w:rPr>
        <w:t xml:space="preserve">В ходе проведения лекций, практических и лабораторных работ используются следующие интерактивные 
методы обучения ________________________________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5.	Перечень учебно-методического обеспечения дисциплины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5.1	Методические указания для обучающихся по освоению дисциплины: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5.1.1	Методические указания для обучающихся по лабораторным работам:</w:t>
      </w:r>
    </w:p>
    <w:p>
      <w:pPr>
        <w:jc w:val="both"/>
        <w:spacing w:before="0" w:after="0" w:line="240" w:lineRule="auto"/>
      </w:pPr>
      <w:r>
        <w:rPr>
          <w:highlight w:val="yellow"/>
        </w:rPr>
        <w:t xml:space="preserve">необходимо заполнить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5.1.2	Методические указания для обучающихся по самостоятельной работе:</w:t>
      </w:r>
    </w:p>
    <w:p>
      <w:pPr>
        <w:jc w:val="both"/>
        <w:spacing w:before="0" w:after="0" w:line="240" w:lineRule="auto"/>
      </w:pPr>
      <w:r>
        <w:rPr>
          <w:highlight w:val="yellow"/>
        </w:rPr>
        <w:t xml:space="preserve">необходимо заполнить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	Фонд оценочных средств для контроля текущей успеваемости и проведения промежуточной аттестации по дисциплине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6.1	Оценочные средства для проведения текущего контроля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6.1.1	Входной контроль (ВК)</w:t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Описание процедуры: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Пример: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i/>
          <w:iCs/>
          <w:highlight w:val="yellow"/>
        </w:rPr>
        <w:t xml:space="preserve">Критерии оценки: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6.1.2 Отчет по лабораторной работе</w:t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Тема (раздел)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Описание процедуры: 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Вопросы для контроля: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i/>
          <w:iCs/>
          <w:highlight w:val="yellow"/>
        </w:rPr>
        <w:t xml:space="preserve">Критерии оценки: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6.1.3 Устный опрос</w:t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Тема (раздел)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Описание процедуры: 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Вопросы для контроля: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i/>
          <w:iCs/>
          <w:highlight w:val="yellow"/>
        </w:rPr>
        <w:t xml:space="preserve">Критерии оценки: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6.2 Оценочные средства промежуточной аттестации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6.2.1	Показатели и критерии оценивания компетенций на этапах их формирования</w:t>
      </w:r>
    </w:p>
    <w:tbl>
      <w:tblGrid>
        <w:gridCol w:w="3000" w:type="dxa"/>
        <w:gridCol w:w="3000" w:type="dxa"/>
        <w:gridCol w:w="3000" w:type="dxa"/>
        <w:gridCol w:w="3000" w:type="dxa"/>
      </w:tblGrid>
      <w:tblPr>
        <w:tblStyle w:val="Colspan Rowspan"/>
      </w:tblPr>
      <w:tr>
        <w:trPr>
          <w:trHeight w:val="100" w:hRule="atLeast"/>
        </w:trPr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Код этапа освоения компетенции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Показатель оценивания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Критерий оценивания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Средства (методы) оценивания промежуточной аттестации </w:t>
            </w:r>
          </w:p>
        </w:tc>
      </w:tr>
      <w:tr>
        <w:trPr>
          <w:trHeight w:val="100" w:hRule="atLeast"/>
        </w:trPr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6.2.2	Типовые оценочные средства промежуточной аттестации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6.2.2.1	Типовые оценочные средства для проведения экзамена/дифференцированного зачета по дисциплине</w:t>
      </w:r>
    </w:p>
    <w:p>
      <w:pPr>
        <w:jc w:val="both"/>
        <w:spacing w:before="0" w:after="0" w:line="240" w:lineRule="auto"/>
      </w:pPr>
      <w:r>
        <w:rPr>
          <w:highlight w:val="yellow"/>
        </w:rPr>
        <w:t xml:space="preserve">необходимо заполнить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6.2.2.1.1	Описание процедуры экзамена/дифференцированного зачета</w:t>
      </w:r>
    </w:p>
    <w:p>
      <w:pPr>
        <w:jc w:val="both"/>
        <w:spacing w:before="0" w:after="0" w:line="240" w:lineRule="auto"/>
      </w:pPr>
      <w:r>
        <w:rPr>
          <w:highlight w:val="yellow"/>
        </w:rPr>
        <w:t xml:space="preserve">необходимо заполнить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6.2.2.1.2	Критерии оценивания</w:t>
      </w:r>
    </w:p>
    <w:tbl>
      <w:tblGrid>
        <w:gridCol w:w="3000" w:type="dxa"/>
        <w:gridCol w:w="3000" w:type="dxa"/>
        <w:gridCol w:w="3000" w:type="dxa"/>
        <w:gridCol w:w="3000" w:type="dxa"/>
      </w:tblGrid>
      <w:tblPr>
        <w:tblStyle w:val="Colspan Rowspan"/>
      </w:tblPr>
      <w:tr>
        <w:trPr>
          <w:trHeight w:val="100" w:hRule="atLeast"/>
        </w:trPr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Отлично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Хорошо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Удовлетворительно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Неудовлетворительно</w:t>
            </w:r>
          </w:p>
        </w:tc>
      </w:tr>
      <w:tr>
        <w:trPr>
          <w:trHeight w:val="100" w:hRule="atLeast"/>
        </w:trPr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7.	Основная учебная литература</w:t>
      </w:r>
    </w:p>
    <w:p>
      <w:pPr>
        <w:jc w:val="both"/>
        <w:spacing w:before="0" w:after="0" w:line="240" w:lineRule="auto"/>
      </w:pPr>
      <w:r>
        <w:rPr/>
        <w:t xml:space="preserve">1. Сосинская С. С. Операционные системы : учеб. пособие : [в 2-х ч.]. Ч. 1 / С. С. Сосинская, В. И. Кокоуров, 2003-2004. - 86.</w:t>
      </w:r>
    </w:p>
    <w:p>
      <w:pPr>
        <w:jc w:val="both"/>
        <w:spacing w:before="0" w:after="0" w:line="240" w:lineRule="auto"/>
      </w:pPr>
      <w:r>
        <w:rPr/>
        <w:t xml:space="preserve">2. Олифер Виктор Григорьевич. Сетевые операционные системы : учеб. пособие для вузов по направлению подгот. дипломир. специалистов "Информатика и вычисл. техника" / В. Г. Олифер, Н. А. Олифер, 2003. - 538.</w:t>
      </w:r>
    </w:p>
    <w:p>
      <w:pPr>
        <w:jc w:val="both"/>
        <w:spacing w:before="0" w:after="0" w:line="240" w:lineRule="auto"/>
      </w:pPr>
      <w:r>
        <w:rPr/>
        <w:t xml:space="preserve">3. Операционные системы : программа, методические указания и задания по выполнению контрольных и лабораторных работ (для студентов заочной формы обучения). Специальность 220100 - Вычислительные машины, системы и сети. Направление 654600 - Информатика и вычислительная техника / Иркут. гос. техн. ун-т, 2011. - 35.</w:t>
      </w:r>
    </w:p>
    <w:p>
      <w:pPr>
        <w:jc w:val="both"/>
        <w:spacing w:before="0" w:after="0" w:line="240" w:lineRule="auto"/>
      </w:pPr>
      <w:r>
        <w:rPr/>
        <w:t xml:space="preserve">4. Таненбаум Э. Современные операционные системы / Э. Таненбаум, 2012. - 1115.</w:t>
      </w:r>
    </w:p>
    <w:p>
      <w:pPr>
        <w:jc w:val="both"/>
        <w:spacing w:before="0" w:after="0" w:line="240" w:lineRule="auto"/>
      </w:pPr>
      <w:r>
        <w:rPr/>
        <w:t xml:space="preserve">5. Замятин А. В. Операционные системы. Теория и практика : учебное пособие для магистров по направлению "Информатика и вычислительная техника" / А. В. Замятин, 2012. - 246.</w:t>
      </w:r>
    </w:p>
    <w:p>
      <w:pPr>
        <w:jc w:val="both"/>
        <w:spacing w:before="0" w:after="0" w:line="240" w:lineRule="auto"/>
      </w:pPr>
      <w:r>
        <w:rPr/>
        <w:t xml:space="preserve">6. Объектно-ориентированное программирование [Электронный ресурс]  : методические указания по выполнению лабораторных работ / Иркут. нац. исслед. техн. ун-т, 2017. - 24.</w:t>
      </w:r>
    </w:p>
    <w:p>
      <w:pPr>
        <w:jc w:val="both"/>
        <w:spacing w:before="0" w:after="0" w:line="240" w:lineRule="auto"/>
      </w:pPr>
      <w:r>
        <w:rPr/>
        <w:t xml:space="preserve">7. Тузовский А. Ф. Объектно-ориентированное программирование : учебное пособие для прикладного бакалавриата / А. Ф. Тузовский, 2018. - 206.</w:t>
      </w:r>
    </w:p>
    <w:p>
      <w:pPr>
        <w:jc w:val="both"/>
        <w:spacing w:before="0" w:after="0" w:line="240" w:lineRule="auto"/>
      </w:pPr>
      <w:r>
        <w:rPr/>
        <w:t xml:space="preserve">8. Зыков С. В. Программирование. Объектно-ориентированный подход : учебник и практикум для академического бакалавриата / С. В. Зыков, 2018. - 155.</w:t>
      </w:r>
    </w:p>
    <w:p>
      <w:pPr>
        <w:jc w:val="both"/>
        <w:spacing w:before="0" w:after="0" w:line="240" w:lineRule="auto"/>
      </w:pPr>
      <w:r>
        <w:rPr/>
        <w:t xml:space="preserve">9. Аршинский В. Л. Объектно-ориентированное программирование : электронный курс / В. Л. Аршинский, 2018</w:t>
      </w:r>
    </w:p>
    <w:p>
      <w:pPr>
        <w:jc w:val="both"/>
        <w:spacing w:before="0" w:after="0" w:line="240" w:lineRule="auto"/>
      </w:pPr>
      <w:r>
        <w:rPr/>
        <w:t xml:space="preserve">10. Залогова Л. А. Основы объектно-ориентированного программирования на базе языка С# : учебное пособие / Л. А. Залогова, 2018. - 192.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8.	Дополнительная учебная и справочная литература</w:t>
      </w:r>
    </w:p>
    <w:p>
      <w:pPr>
        <w:jc w:val="both"/>
        <w:spacing w:before="0" w:after="0" w:line="240" w:lineRule="auto"/>
      </w:pPr>
      <w:r>
        <w:rPr/>
        <w:t xml:space="preserve">1. Лоу Дуг. Компьютерные сети для "чайников": Пер. с англ. / Дуг Лоу; Предисл. П. Меренблума, 1996. - 251.</w:t>
      </w:r>
    </w:p>
    <w:p>
      <w:pPr>
        <w:jc w:val="both"/>
        <w:spacing w:before="0" w:after="0" w:line="240" w:lineRule="auto"/>
      </w:pPr>
      <w:r>
        <w:rPr/>
        <w:t xml:space="preserve">2. Таненбаум Эндрю. Компьютерные сети : [Пер. с англ.] / Э. Таненбаум, 2002. - 846.</w:t>
      </w:r>
    </w:p>
    <w:p>
      <w:pPr>
        <w:jc w:val="both"/>
        <w:spacing w:before="0" w:after="0" w:line="240" w:lineRule="auto"/>
      </w:pPr>
      <w:r>
        <w:rPr/>
        <w:t xml:space="preserve">3. Кульгин Максим Владимирович. Компьютерные сети: Практика построения / Максим Кульгин, 2003. - 461.</w:t>
      </w:r>
    </w:p>
    <w:p>
      <w:pPr>
        <w:jc w:val="both"/>
        <w:spacing w:before="0" w:after="0" w:line="240" w:lineRule="auto"/>
      </w:pPr>
      <w:r>
        <w:rPr/>
        <w:t xml:space="preserve">4. Олифер Виктор Григорьевич. Компьютерные сети: Принципы, технологии, протоколы : учеб. по направлению 552800 "Информатика и вычисл. техника" и по спец. 220100 "Вычисл. машины, комплексы, системы и сети", 220200 "Автоматизир. системы обраб. информ. и упр. " и 220400 "Програм. обеспечение вычисл. техники и автоматизир. систем" / В. Г. Олифер, Н. А. Олифер, 2004. - 863.</w:t>
      </w:r>
    </w:p>
    <w:p>
      <w:pPr>
        <w:jc w:val="both"/>
        <w:spacing w:before="0" w:after="0" w:line="240" w:lineRule="auto"/>
      </w:pPr>
      <w:r>
        <w:rPr/>
        <w:t xml:space="preserve">5. Суворов А. Б. Телекоммуникационные системы, компьютерные сети и Интернет : учеб. пособие по направлениям "Информатика и вычислит. техника"... / А. Б. Суворов, 2007. - 383.</w:t>
      </w:r>
    </w:p>
    <w:p>
      <w:pPr>
        <w:jc w:val="both"/>
        <w:spacing w:before="0" w:after="0" w:line="240" w:lineRule="auto"/>
      </w:pPr>
      <w:r>
        <w:rPr/>
        <w:t xml:space="preserve">6. Олифер В. Г. Компьютерные сети : принципы, технологии, протоколы: учебное пособие для вузов по направлению 552800 "Информатика и вычислительная техника" ... / В. Г. Олифер, Н. А. Олифер, 2012. - 943.</w:t>
      </w:r>
    </w:p>
    <w:p>
      <w:pPr>
        <w:jc w:val="both"/>
        <w:spacing w:before="0" w:after="0" w:line="240" w:lineRule="auto"/>
      </w:pPr>
      <w:r>
        <w:rPr/>
        <w:t xml:space="preserve">7. Таненбаум Э. Архитектура компьютера : к изучению дисциплины / Э. Таненбаум, Т. Остин, 2014. - 811.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9.	Ресурсы сети Интернет</w:t>
      </w:r>
    </w:p>
    <w:p>
      <w:pPr>
        <w:jc w:val="both"/>
        <w:spacing w:before="0" w:after="0" w:line="240" w:lineRule="auto"/>
      </w:pPr>
      <w:r>
        <w:rPr/>
        <w:t xml:space="preserve">1. http://library.istu.edu/</w:t>
      </w:r>
    </w:p>
    <w:p>
      <w:pPr>
        <w:jc w:val="both"/>
        <w:spacing w:before="0" w:after="0" w:line="240" w:lineRule="auto"/>
      </w:pPr>
      <w:r>
        <w:rPr/>
        <w:t xml:space="preserve">2. https://e.lanbook.com/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10.	Перечень информационных технологий, лицензионных и свободно распространяемых специализированных программных средств, 
информационных справочных систем</w:t>
      </w:r>
    </w:p>
    <w:p>
      <w:pPr>
        <w:jc w:val="both"/>
        <w:spacing w:before="0" w:after="0" w:line="240" w:lineRule="auto"/>
      </w:pPr>
      <w:r>
        <w:rPr/>
        <w:t xml:space="preserve">1. Microsoft Windows (Подписка DreamSpark Premium Electronic Software Delivery (3 years).
                   Сублицензионный договор  №14527/МОС2957 от 18.08.16г.)</w:t>
      </w:r>
    </w:p>
    <w:p>
      <w:pPr>
        <w:jc w:val="both"/>
        <w:spacing w:before="0" w:after="0" w:line="240" w:lineRule="auto"/>
      </w:pPr>
      <w:r>
        <w:rPr/>
        <w:t xml:space="preserve">2. Microsoft Office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11.	 Материально-техническое обеспечение дисциплины</w:t>
      </w:r>
    </w:p>
    <w:p>
      <w:pPr>
        <w:jc w:val="both"/>
        <w:spacing w:before="0" w:after="0" w:line="240" w:lineRule="auto"/>
      </w:pPr>
      <w:r>
        <w:rPr>
          <w:highlight w:val="yellow"/>
        </w:rPr>
        <w:t xml:space="preserve">необходимо заполнить</w:t>
      </w:r>
    </w:p>
    <w:sectPr>
      <w:pgSz w:orient="portrait" w:w="11905.511811024" w:h="16837.795275591"/>
      <w:pgMar w:top="1133" w:right="850" w:bottom="1133" w:left="17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CellMar>
        <w:left w:w="100" w:type="dxa"/>
        <w:right w:w="10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">
    <w:name w:val=""/>
    <w:uiPriority w:val="99"/>
    <w:tblPr>
      <w:tblW w:w="0" w:type="auto"/>
      <w:tblCellMar>
        <w:left w:w="100" w:type="dxa"/>
        <w:right w:w="10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dc:title/>
  <dc:description/>
  <dc:subject/>
  <cp:keywords/>
  <cp:category/>
  <cp:lastModifiedBy/>
  <dcterms:created xsi:type="dcterms:W3CDTF">2018-07-04T14:18:30+08:00</dcterms:created>
  <dcterms:modified xsi:type="dcterms:W3CDTF">2018-07-04T14:18:30+08:00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