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Summary</w:t>
      </w:r>
    </w:p>
    <w:p>
      <w:r>
        <w:t>Revenue grew steadily across all three regions this quarter, with the strongest performance in the eastern market.</w:t>
      </w:r>
    </w:p>
    <w:p>
      <w:pPr>
        <w:pStyle w:val="Heading1"/>
      </w:pPr>
      <w:r>
        <w:t>Highlights</w:t>
      </w:r>
    </w:p>
    <w:p>
      <w:r>
        <w:t>The team shipped four major features and closed the top ten customer-reported defects.</w:t>
      </w:r>
    </w:p>
    <w:p>
      <w:r>
        <w:t>Operating costs held flat while headcount increased by two engineers.</w:t>
      </w:r>
    </w:p>
    <w:p>
      <w:pPr>
        <w:pStyle w:val="Heading1"/>
      </w:pPr>
      <w:r>
        <w:t>Outlook</w:t>
      </w:r>
    </w:p>
    <w:p>
      <w:r>
        <w:t>Next quarter focuses on reliability work and onboarding improvements for new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