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SQOOP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Mostrar las tablas de la base de datos northwind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sqoop list-tables \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--connect jdbc:postgresql://172.17.0.3:5432/northwind \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--username postgres -P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10563225" cy="42767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63225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2) Mostrar los clientes de Argentina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sqoop eval \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--connect jdbc:postgresql://172.17.0.3:5432/northwind \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--username postgres \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--P \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--query "SELECT * FROM customers WHERE country = 'Argentina'"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18278475" cy="48101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78475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3) Importar un archivo .parquet que contenga toda la tabla orders. Luego ingestar el archivo a HDFS (carpeta /sqoop/ingest)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sqoop import \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--connect jdbc:postgresql://172.17.0.3:5432/northwind \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--username postgres \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--table orders \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-m 1 \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--P \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--target-dir /sqoop/ingest/orders \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--as-parquetfile \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--delete-target-dir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14506575" cy="48101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06575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4) Importar un archivo .parquet que contenga solo los productos con mas 20 unidades en stock, de la tabla Products . Luego ingestar el archivo a HDFS (carpeta ingest)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sqoop import \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--connect jdbc:postgresql://172.17.0.3:5432/northwind \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--username postgres \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--table products \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-m 1 \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--P \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--target-dir /sqoop/ingest/products_stock \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--as-parquetfile \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--where "units_in_stock &gt; 20" \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--delete-target-dir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14935200" cy="47910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0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NIFI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14001750" cy="62198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0" cy="621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13420725" cy="30003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2072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14658975" cy="4038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58975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