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Wealth, Protection/Income</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AML10082406</w:t>
      </w:r>
    </w:p>
    <w:p w:rsidR="00000000" w:rsidDel="00000000" w:rsidP="00000000" w:rsidRDefault="00000000" w:rsidRPr="00000000" w14:paraId="00000003">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H1: 5 Strategies for Effective Annuity Engagement</w:t>
      </w:r>
    </w:p>
    <w:p w:rsidR="00000000" w:rsidDel="00000000" w:rsidP="00000000" w:rsidRDefault="00000000" w:rsidRPr="00000000" w14:paraId="00000005">
      <w:pPr>
        <w:spacing w:line="276.0005454545455"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06">
      <w:pPr>
        <w:spacing w:line="276.0005454545455"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Meta Description:</w:t>
      </w:r>
      <w:r w:rsidDel="00000000" w:rsidR="00000000" w:rsidRPr="00000000">
        <w:rPr>
          <w:rFonts w:ascii="Calibri" w:cs="Calibri" w:eastAsia="Calibri" w:hAnsi="Calibri"/>
          <w:i w:val="1"/>
          <w:iCs w:val="1"/>
          <w:rtl w:val="0"/>
        </w:rPr>
        <w:t xml:space="preserve"> Educating clients about annuities helps build stronger relationships by providing personalized guidance and ongoing support.</w:t>
      </w: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Word Count: 702</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Byline: A&amp;A Editorial Team</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rtl w:val="0"/>
        </w:rPr>
        <w:t xml:space="preserve">Featured image:</w:t>
      </w:r>
    </w:p>
    <w:p w:rsidR="00000000" w:rsidDel="00000000" w:rsidP="00000000" w:rsidRDefault="00000000" w:rsidRPr="00000000" w14:paraId="0000000C">
      <w:pPr>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The overall well-being of American workers has plummeted in recent years. Economic uncertainty has significantly contributed to this decline. Life transitions, from new parenthood to retirement, can further amplify these challenges, even when the changes are positive. A </w:t>
      </w:r>
      <w:hyperlink r:id="rId8">
        <w:r w:rsidDel="00000000" w:rsidR="00000000" w:rsidRPr="00000000">
          <w:rPr>
            <w:rFonts w:ascii="Calibri" w:cs="Calibri" w:eastAsia="Calibri" w:hAnsi="Calibri"/>
            <w:color w:val="1155cc"/>
            <w:u w:val="single"/>
            <w:rtl w:val="0"/>
          </w:rPr>
          <w:t xml:space="preserve">2024 study from Guardian Life</w:t>
        </w:r>
      </w:hyperlink>
      <w:r w:rsidDel="00000000" w:rsidR="00000000" w:rsidRPr="00000000">
        <w:rPr>
          <w:rFonts w:ascii="Calibri" w:cs="Calibri" w:eastAsia="Calibri" w:hAnsi="Calibri"/>
          <w:color w:val="242424"/>
          <w:rtl w:val="0"/>
        </w:rPr>
        <w:t xml:space="preserve"> delves into these trends and how they impact specific demographics, including parents, caregivers, younger workers, retirees, and those battling cancer.</w:t>
      </w:r>
    </w:p>
    <w:p w:rsidR="00000000" w:rsidDel="00000000" w:rsidP="00000000" w:rsidRDefault="00000000" w:rsidRPr="00000000" w14:paraId="0000000E">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With this uncertain retirement landscape, clients are increasingly seeking guidance on securing their financial future. It is vitally important to serve as an educational resource to broaden clients’ understanding of “new” financial tools and resources—including annuities*. U.S. annuity sales hit a record </w:t>
      </w:r>
      <w:hyperlink r:id="rId9">
        <w:r w:rsidDel="00000000" w:rsidR="00000000" w:rsidRPr="00000000">
          <w:rPr>
            <w:rFonts w:ascii="Calibri" w:cs="Calibri" w:eastAsia="Calibri" w:hAnsi="Calibri"/>
            <w:color w:val="1155cc"/>
            <w:u w:val="single"/>
            <w:rtl w:val="0"/>
          </w:rPr>
          <w:t xml:space="preserve">$385.4 billion in 2023</w:t>
        </w:r>
      </w:hyperlink>
      <w:r w:rsidDel="00000000" w:rsidR="00000000" w:rsidRPr="00000000">
        <w:rPr>
          <w:rFonts w:ascii="Calibri" w:cs="Calibri" w:eastAsia="Calibri" w:hAnsi="Calibri"/>
          <w:color w:val="242424"/>
          <w:rtl w:val="0"/>
        </w:rPr>
        <w:t xml:space="preserve">, a 23% increase from the previous year, showcasing broad confidence across various annuity types. However, getting clients comfortable with these financial products can be easier said than done.</w:t>
      </w:r>
    </w:p>
    <w:p w:rsidR="00000000" w:rsidDel="00000000" w:rsidP="00000000" w:rsidRDefault="00000000" w:rsidRPr="00000000" w14:paraId="0000000F">
      <w:pPr>
        <w:spacing w:after="240" w:before="240" w:lineRule="auto"/>
        <w:rPr>
          <w:rFonts w:ascii="Calibri" w:cs="Calibri" w:eastAsia="Calibri" w:hAnsi="Calibri"/>
          <w:color w:val="242424"/>
        </w:rPr>
      </w:pPr>
      <w:r w:rsidDel="00000000" w:rsidR="00000000" w:rsidRPr="00000000">
        <w:rPr>
          <w:rFonts w:ascii="Calibri" w:cs="Calibri" w:eastAsia="Calibri" w:hAnsi="Calibri"/>
          <w:b w:val="1"/>
          <w:bCs w:val="1"/>
          <w:color w:val="242424"/>
          <w:rtl w:val="0"/>
        </w:rPr>
        <w:t xml:space="preserve">H2: Strategies for increasing annuity engagement</w:t>
      </w: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The challenge in educating clients about annuities lies in demystifying how they work and demonstrating their potential value in a client’s overall retirement strategy. Here’s how you can effectively educate and engage your clients about annuities.</w:t>
      </w:r>
    </w:p>
    <w:p w:rsidR="00000000" w:rsidDel="00000000" w:rsidP="00000000" w:rsidRDefault="00000000" w:rsidRPr="00000000" w14:paraId="00000011">
      <w:pPr>
        <w:pStyle w:val="Heading3"/>
        <w:keepNext w:val="0"/>
        <w:keepLines w:val="0"/>
        <w:spacing w:before="280" w:line="256.8" w:lineRule="auto"/>
        <w:rPr>
          <w:rFonts w:ascii="Calibri" w:cs="Calibri" w:eastAsia="Calibri" w:hAnsi="Calibri"/>
          <w:color w:val="242424"/>
          <w:sz w:val="22"/>
          <w:szCs w:val="22"/>
        </w:rPr>
      </w:pPr>
      <w:bookmarkStart w:colFirst="0" w:colLast="0" w:name="_heading=h.7x2fu0oo1jby" w:id="0"/>
      <w:bookmarkEnd w:id="0"/>
      <w:r w:rsidDel="00000000" w:rsidR="00000000" w:rsidRPr="00000000">
        <w:rPr>
          <w:rFonts w:ascii="Calibri" w:cs="Calibri" w:eastAsia="Calibri" w:hAnsi="Calibri"/>
          <w:b w:val="1"/>
          <w:bCs w:val="1"/>
          <w:color w:val="242424"/>
          <w:sz w:val="22"/>
          <w:szCs w:val="22"/>
          <w:rtl w:val="0"/>
        </w:rPr>
        <w:t xml:space="preserve">1. Busting the annuity myths</w:t>
      </w: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The first step in engaging clients is understanding their concerns. Many clients may be skeptical about annuities due to misconceptions or a lack of understanding of their work. Take the time to listen to clients’ fears and reservations, whether they stem from concerns about liquidity, fees, or the perceived complexity of annuities.</w:t>
      </w:r>
    </w:p>
    <w:p w:rsidR="00000000" w:rsidDel="00000000" w:rsidP="00000000" w:rsidRDefault="00000000" w:rsidRPr="00000000" w14:paraId="00000013">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You can tailor their educational approach to each client’s unique needs by addressing these concerns upfront. For instance, explaining the differences between fixed, variable, and indexed annuities and how each can fit into a broader retirement strategy can help dispel common myths and build client confidence.</w:t>
      </w:r>
    </w:p>
    <w:p w:rsidR="00000000" w:rsidDel="00000000" w:rsidP="00000000" w:rsidRDefault="00000000" w:rsidRPr="00000000" w14:paraId="00000014">
      <w:pPr>
        <w:pStyle w:val="Heading3"/>
        <w:keepNext w:val="0"/>
        <w:keepLines w:val="0"/>
        <w:spacing w:before="280" w:lineRule="auto"/>
        <w:rPr>
          <w:rFonts w:ascii="Calibri" w:cs="Calibri" w:eastAsia="Calibri" w:hAnsi="Calibri"/>
          <w:b w:val="1"/>
          <w:bCs w:val="1"/>
          <w:color w:val="242424"/>
          <w:sz w:val="22"/>
          <w:szCs w:val="22"/>
        </w:rPr>
      </w:pPr>
      <w:bookmarkStart w:colFirst="0" w:colLast="0" w:name="_heading=h.bcquypn01lk3" w:id="1"/>
      <w:bookmarkEnd w:id="1"/>
      <w:r w:rsidDel="00000000" w:rsidR="00000000" w:rsidRPr="00000000">
        <w:rPr>
          <w:rFonts w:ascii="Calibri" w:cs="Calibri" w:eastAsia="Calibri" w:hAnsi="Calibri"/>
          <w:b w:val="1"/>
          <w:bCs w:val="1"/>
          <w:color w:val="242424"/>
          <w:sz w:val="22"/>
          <w:szCs w:val="22"/>
          <w:rtl w:val="0"/>
        </w:rPr>
        <w:t xml:space="preserve">2. Simplify perceived complexities</w:t>
      </w:r>
    </w:p>
    <w:p w:rsidR="00000000" w:rsidDel="00000000" w:rsidP="00000000" w:rsidRDefault="00000000" w:rsidRPr="00000000" w14:paraId="00000015">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Due to their various types and features, annuities can seem like products that require understanding. Breaking down the inner workings of these products into simple terms is crucial for effective client engagement. Financial professionals should focus on clear, jargon-free explanations that make annuities' benefits and potential downsides easy to understand.</w:t>
      </w:r>
    </w:p>
    <w:p w:rsidR="00000000" w:rsidDel="00000000" w:rsidP="00000000" w:rsidRDefault="00000000" w:rsidRPr="00000000" w14:paraId="00000016">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Using analogies or real-life scenarios can be particularly effective for illustrating the potential value of annuities. Visual aids, such as charts or infographics, can also be valuable tools to help clients visualize how an annuity fits into their overall retirement plan.</w:t>
      </w:r>
    </w:p>
    <w:p w:rsidR="00000000" w:rsidDel="00000000" w:rsidP="00000000" w:rsidRDefault="00000000" w:rsidRPr="00000000" w14:paraId="00000017">
      <w:pPr>
        <w:pStyle w:val="Heading3"/>
        <w:keepNext w:val="0"/>
        <w:keepLines w:val="0"/>
        <w:spacing w:before="280" w:lineRule="auto"/>
        <w:rPr>
          <w:rFonts w:ascii="Calibri" w:cs="Calibri" w:eastAsia="Calibri" w:hAnsi="Calibri"/>
          <w:color w:val="242424"/>
        </w:rPr>
      </w:pPr>
      <w:bookmarkStart w:colFirst="0" w:colLast="0" w:name="_heading=h.jqko7in1xyex" w:id="2"/>
      <w:bookmarkEnd w:id="2"/>
      <w:r w:rsidDel="00000000" w:rsidR="00000000" w:rsidRPr="00000000">
        <w:rPr>
          <w:rFonts w:ascii="Calibri" w:cs="Calibri" w:eastAsia="Calibri" w:hAnsi="Calibri"/>
          <w:b w:val="1"/>
          <w:bCs w:val="1"/>
          <w:color w:val="242424"/>
          <w:sz w:val="22"/>
          <w:szCs w:val="22"/>
          <w:rtl w:val="0"/>
        </w:rPr>
        <w:t xml:space="preserve">3. Highlight the benefits</w:t>
      </w:r>
      <w:r w:rsidDel="00000000" w:rsidR="00000000" w:rsidRPr="00000000">
        <w:rPr>
          <w:rtl w:val="0"/>
        </w:rPr>
      </w:r>
    </w:p>
    <w:p w:rsidR="00000000" w:rsidDel="00000000" w:rsidP="00000000" w:rsidRDefault="00000000" w:rsidRPr="00000000" w14:paraId="00000018">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Given the current economic uncertainties and the increasing longevity of retirees, the benefits of annuities are more relevant than ever. When educating your clients, emphasize how annuities can hedge against longevity risk—the risk of outliving one’s savings—by offering guaranteed income for life.</w:t>
      </w:r>
    </w:p>
    <w:p w:rsidR="00000000" w:rsidDel="00000000" w:rsidP="00000000" w:rsidRDefault="00000000" w:rsidRPr="00000000" w14:paraId="00000019">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Additionally, with the fluctuations of the market and interest rates, the stability that fixed annuities can offer becomes particularly attractive. Highlight how annuities can complement other retirement savings vehicles, such as 401(k)s or IRAs, by providing a predictable income stream not subject to market risk.</w:t>
      </w:r>
    </w:p>
    <w:p w:rsidR="00000000" w:rsidDel="00000000" w:rsidP="00000000" w:rsidRDefault="00000000" w:rsidRPr="00000000" w14:paraId="0000001A">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Photo within article:</w:t>
      </w:r>
    </w:p>
    <w:p w:rsidR="00000000" w:rsidDel="00000000" w:rsidP="00000000" w:rsidRDefault="00000000" w:rsidRPr="00000000" w14:paraId="0000001B">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Pr>
        <w:drawing>
          <wp:inline distB="114300" distT="114300" distL="114300" distR="114300">
            <wp:extent cx="5175250" cy="388143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75250"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Calibri" w:cs="Calibri" w:eastAsia="Calibri" w:hAnsi="Calibri"/>
          <w:b w:val="1"/>
          <w:bCs w:val="1"/>
          <w:color w:val="242424"/>
          <w:sz w:val="22"/>
          <w:szCs w:val="22"/>
        </w:rPr>
      </w:pPr>
      <w:bookmarkStart w:colFirst="0" w:colLast="0" w:name="_heading=h.egufr5tdrwyp" w:id="3"/>
      <w:bookmarkEnd w:id="3"/>
      <w:r w:rsidDel="00000000" w:rsidR="00000000" w:rsidRPr="00000000">
        <w:rPr>
          <w:rFonts w:ascii="Calibri" w:cs="Calibri" w:eastAsia="Calibri" w:hAnsi="Calibri"/>
          <w:b w:val="1"/>
          <w:bCs w:val="1"/>
          <w:color w:val="242424"/>
          <w:sz w:val="22"/>
          <w:szCs w:val="22"/>
          <w:rtl w:val="0"/>
        </w:rPr>
        <w:t xml:space="preserve">4. Personalize your approach</w:t>
      </w:r>
    </w:p>
    <w:p w:rsidR="00000000" w:rsidDel="00000000" w:rsidP="00000000" w:rsidRDefault="00000000" w:rsidRPr="00000000" w14:paraId="0000001D">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Each client’s financial situation and retirement goals are unique. Personalizing the approach to annuity engagement is vital to helping the clients see the value of annuities in their specific context. Perform a detailed financial assessment to illustrate how an annuity can meet a client’s long-term needs.</w:t>
      </w:r>
    </w:p>
    <w:p w:rsidR="00000000" w:rsidDel="00000000" w:rsidP="00000000" w:rsidRDefault="00000000" w:rsidRPr="00000000" w14:paraId="0000001E">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By presenting personalized projections and scenarios, clients can better understand the potential impact of an annuity on their retirement. This approach enhances client understanding and strengthens the client-professional relationship by showing that the professional is committed to the client’s financial well-being.</w:t>
      </w:r>
    </w:p>
    <w:p w:rsidR="00000000" w:rsidDel="00000000" w:rsidP="00000000" w:rsidRDefault="00000000" w:rsidRPr="00000000" w14:paraId="0000001F">
      <w:pPr>
        <w:pStyle w:val="Heading3"/>
        <w:keepNext w:val="0"/>
        <w:keepLines w:val="0"/>
        <w:spacing w:before="280" w:lineRule="auto"/>
        <w:rPr>
          <w:rFonts w:ascii="Calibri" w:cs="Calibri" w:eastAsia="Calibri" w:hAnsi="Calibri"/>
          <w:b w:val="1"/>
          <w:bCs w:val="1"/>
          <w:color w:val="242424"/>
          <w:sz w:val="22"/>
          <w:szCs w:val="22"/>
        </w:rPr>
      </w:pPr>
      <w:bookmarkStart w:colFirst="0" w:colLast="0" w:name="_heading=h.invdnkor3hp0" w:id="4"/>
      <w:bookmarkEnd w:id="4"/>
      <w:r w:rsidDel="00000000" w:rsidR="00000000" w:rsidRPr="00000000">
        <w:rPr>
          <w:rFonts w:ascii="Calibri" w:cs="Calibri" w:eastAsia="Calibri" w:hAnsi="Calibri"/>
          <w:b w:val="1"/>
          <w:bCs w:val="1"/>
          <w:color w:val="242424"/>
          <w:sz w:val="22"/>
          <w:szCs w:val="22"/>
          <w:rtl w:val="0"/>
        </w:rPr>
        <w:t xml:space="preserve">5. Provide ongoing support</w:t>
      </w:r>
    </w:p>
    <w:p w:rsidR="00000000" w:rsidDel="00000000" w:rsidP="00000000" w:rsidRDefault="00000000" w:rsidRPr="00000000" w14:paraId="00000020">
      <w:pPr>
        <w:spacing w:after="240" w:before="240" w:lineRule="auto"/>
        <w:rPr>
          <w:rFonts w:ascii="Calibri" w:cs="Calibri" w:eastAsia="Calibri" w:hAnsi="Calibri"/>
          <w:color w:val="242424"/>
        </w:rPr>
      </w:pPr>
      <w:r w:rsidDel="00000000" w:rsidR="00000000" w:rsidRPr="00000000">
        <w:rPr>
          <w:rFonts w:ascii="Calibri" w:cs="Calibri" w:eastAsia="Calibri" w:hAnsi="Calibri"/>
          <w:color w:val="242424"/>
          <w:rtl w:val="0"/>
        </w:rPr>
        <w:t xml:space="preserve">Annuity engagement doesn’t end with the initial conversation. Continuous education and ongoing support are essential to maintaining client confidence and satisfaction. Provide clients with regular updates or one-on-one reviews on annuity performance and any changes in the market that may impact the client’s retirement plan.</w:t>
      </w:r>
    </w:p>
    <w:p w:rsidR="00000000" w:rsidDel="00000000" w:rsidP="00000000" w:rsidRDefault="00000000" w:rsidRPr="00000000" w14:paraId="00000021">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H2: Takeaways</w:t>
      </w:r>
    </w:p>
    <w:p w:rsidR="00000000" w:rsidDel="00000000" w:rsidP="00000000" w:rsidRDefault="00000000" w:rsidRPr="00000000" w14:paraId="00000022">
      <w:pPr>
        <w:numPr>
          <w:ilvl w:val="0"/>
          <w:numId w:val="1"/>
        </w:numPr>
        <w:spacing w:after="0" w:before="24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Today’s economic landscape demonstrates an opportunity for financial professionals to help educate clients on reliable retirement income sources, such as fixed annuities.</w:t>
      </w:r>
    </w:p>
    <w:p w:rsidR="00000000" w:rsidDel="00000000" w:rsidP="00000000" w:rsidRDefault="00000000" w:rsidRPr="00000000" w14:paraId="00000023">
      <w:pPr>
        <w:numPr>
          <w:ilvl w:val="0"/>
          <w:numId w:val="1"/>
        </w:numPr>
        <w:spacing w:after="0" w:before="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Fixed annuities can be a powerful tool in helping to secure a client’s retirement income, but they require careful explanation and engagement to overcome consumer misconceptions.</w:t>
      </w:r>
      <w:r w:rsidDel="00000000" w:rsidR="00000000" w:rsidRPr="00000000">
        <w:rPr>
          <w:rtl w:val="0"/>
        </w:rPr>
      </w:r>
    </w:p>
    <w:p w:rsidR="00000000" w:rsidDel="00000000" w:rsidP="00000000" w:rsidRDefault="00000000" w:rsidRPr="00000000" w14:paraId="00000024">
      <w:pPr>
        <w:numPr>
          <w:ilvl w:val="0"/>
          <w:numId w:val="1"/>
        </w:numPr>
        <w:spacing w:after="240" w:before="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Financial professionals should tailor annuity engagement to the individual client to address personal circumstances or concerns effectively. </w:t>
      </w:r>
      <w:r w:rsidDel="00000000" w:rsidR="00000000" w:rsidRPr="00000000">
        <w:rPr>
          <w:rtl w:val="0"/>
        </w:rPr>
      </w:r>
    </w:p>
    <w:p w:rsidR="00000000" w:rsidDel="00000000" w:rsidP="00000000" w:rsidRDefault="00000000" w:rsidRPr="00000000" w14:paraId="00000025">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*NOTE: Annuity guarantees are backed by the financial strength and claims-paying ability of the issuing insurance carrier.  </w:t>
      </w:r>
    </w:p>
    <w:p w:rsidR="00000000" w:rsidDel="00000000" w:rsidP="00000000" w:rsidRDefault="00000000" w:rsidRPr="00000000" w14:paraId="00000026">
      <w:pPr>
        <w:spacing w:after="240" w:before="240" w:line="328" w:lineRule="auto"/>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027">
      <w:pPr>
        <w:spacing w:after="240" w:before="240" w:line="328" w:lineRule="auto"/>
        <w:rPr>
          <w:rFonts w:ascii="Calibri" w:cs="Calibri" w:eastAsia="Calibri" w:hAnsi="Calibri"/>
        </w:rPr>
      </w:pPr>
      <w:r w:rsidDel="00000000" w:rsidR="00000000" w:rsidRPr="00000000">
        <w:rPr>
          <w:rFonts w:ascii="Calibri" w:cs="Calibri" w:eastAsia="Calibri" w:hAnsi="Calibri"/>
          <w:b w:val="1"/>
          <w:bCs w:val="1"/>
          <w:color w:val="434343"/>
          <w:highlight w:val="yellow"/>
          <w:rtl w:val="0"/>
        </w:rPr>
        <w:t xml:space="preserve">SEO Details: </w:t>
      </w: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Focus Keyphrase:</w:t>
      </w:r>
      <w:r w:rsidDel="00000000" w:rsidR="00000000" w:rsidRPr="00000000">
        <w:rPr>
          <w:rFonts w:ascii="Calibri" w:cs="Calibri" w:eastAsia="Calibri" w:hAnsi="Calibri"/>
          <w:rtl w:val="0"/>
        </w:rPr>
        <w:t xml:space="preserve"> annuity engagement strategies</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Category(ies):</w:t>
      </w:r>
      <w:r w:rsidDel="00000000" w:rsidR="00000000" w:rsidRPr="00000000">
        <w:rPr>
          <w:rFonts w:ascii="Calibri" w:cs="Calibri" w:eastAsia="Calibri" w:hAnsi="Calibri"/>
          <w:rtl w:val="0"/>
        </w:rPr>
        <w:t xml:space="preserve"> Wealth, Protection/Income</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Tags:</w:t>
      </w:r>
      <w:r w:rsidDel="00000000" w:rsidR="00000000" w:rsidRPr="00000000">
        <w:rPr>
          <w:rFonts w:ascii="Calibri" w:cs="Calibri" w:eastAsia="Calibri" w:hAnsi="Calibri"/>
          <w:rtl w:val="0"/>
        </w:rPr>
        <w:t xml:space="preserve"> annuities, client education, retirement income, annuity strategies, client trust, financial professionals</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SEO Title:</w:t>
      </w:r>
      <w:r w:rsidDel="00000000" w:rsidR="00000000" w:rsidRPr="00000000">
        <w:rPr>
          <w:rFonts w:ascii="Calibri" w:cs="Calibri" w:eastAsia="Calibri" w:hAnsi="Calibri"/>
          <w:rtl w:val="0"/>
        </w:rPr>
        <w:t xml:space="preserve"> 5 Strategies for Effective Annuity Engagement</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w:t>
      </w:r>
      <w:r w:rsidDel="00000000" w:rsidR="00000000" w:rsidRPr="00000000">
        <w:rPr>
          <w:rFonts w:ascii="Calibri" w:cs="Calibri" w:eastAsia="Calibri" w:hAnsi="Calibri"/>
          <w:rtl w:val="0"/>
        </w:rPr>
        <w:t xml:space="preserve"> Learn five practical annuity engagement strategies to educate clients, build trust, and improve retirement planning conversations.</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Page Slug:</w:t>
      </w:r>
      <w:r w:rsidDel="00000000" w:rsidR="00000000" w:rsidRPr="00000000">
        <w:rPr>
          <w:rFonts w:ascii="Calibri" w:cs="Calibri" w:eastAsia="Calibri" w:hAnsi="Calibri"/>
          <w:rtl w:val="0"/>
        </w:rPr>
        <w:t xml:space="preserve"> effective-annuity-engagement-strategies</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Featured Image recommendation:</w:t>
      </w:r>
      <w:r w:rsidDel="00000000" w:rsidR="00000000" w:rsidRPr="00000000">
        <w:rPr>
          <w:rFonts w:ascii="Calibri" w:cs="Calibri" w:eastAsia="Calibri" w:hAnsi="Calibri"/>
          <w:rtl w:val="0"/>
        </w:rPr>
        <w:t xml:space="preserve"> A financial professional presenting retirement income options to engaged clients.</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Alt &amp; Title Tag:</w:t>
      </w:r>
      <w:r w:rsidDel="00000000" w:rsidR="00000000" w:rsidRPr="00000000">
        <w:rPr>
          <w:rFonts w:ascii="Calibri" w:cs="Calibri" w:eastAsia="Calibri" w:hAnsi="Calibri"/>
          <w:rtl w:val="0"/>
        </w:rPr>
        <w:t xml:space="preserve"> 5 Strategies for Effective Annuity Engagement | AmeriLife</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H1:</w:t>
      </w:r>
      <w:r w:rsidDel="00000000" w:rsidR="00000000" w:rsidRPr="00000000">
        <w:rPr>
          <w:rFonts w:ascii="Calibri" w:cs="Calibri" w:eastAsia="Calibri" w:hAnsi="Calibri"/>
          <w:rtl w:val="0"/>
        </w:rPr>
        <w:t xml:space="preserve"> 5 Strategies for Effective Annuity Engagement</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www.limra.com/en/newsroom/news-releases/2024/limra-record-high-2023-annuity-sales-driven-by-extraordinary-growth-in-independent-distribution/#:~:text=WINDSOR%2C%20Conn.%2C%20March%2012,U.S.%20Individual%20Annuity%20Sales%20Surve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uardianlife.com/reports/mind-body-wal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quekxcoyB3EkfKcg03ZRPPQGw==">CgMxLjAyDmguN3gyZnUwb28xamJ5Mg5oLmJjcXV5cG4wMWxrMzIOaC5qcWtvN2luMXh5ZXgyDmguZWd1ZnI1dGRyd3lwMg5oLmludmRua29yM2hwMDgAciExY3ZMOXRZeWpRakVMTWotQm1ma3J1Z0VBQ3gyakJPakU=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