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Wealth, Protection/Income</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b w:val="1"/>
          <w:bCs w:val="1"/>
          <w:rtl w:val="0"/>
        </w:rPr>
        <w:t xml:space="preserve">Compliance Code: </w:t>
      </w:r>
      <w:r w:rsidDel="00000000" w:rsidR="00000000" w:rsidRPr="00000000">
        <w:rPr>
          <w:rFonts w:ascii="Calibri" w:cs="Calibri" w:eastAsia="Calibri" w:hAnsi="Calibri"/>
          <w:rtl w:val="0"/>
        </w:rPr>
        <w:t xml:space="preserve">AML10092403 </w:t>
      </w:r>
    </w:p>
    <w:p w:rsidR="00000000" w:rsidDel="00000000" w:rsidP="00000000" w:rsidRDefault="00000000" w:rsidRPr="00000000" w14:paraId="0000000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H1: Understanding Annuity Costs: A Guide to Building Consumer Confidence</w:t>
      </w:r>
    </w:p>
    <w:p w:rsidR="00000000" w:rsidDel="00000000" w:rsidP="00000000" w:rsidRDefault="00000000" w:rsidRPr="00000000" w14:paraId="0000000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006">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Meta Description:</w:t>
      </w:r>
      <w:r w:rsidDel="00000000" w:rsidR="00000000" w:rsidRPr="00000000">
        <w:rPr>
          <w:rFonts w:ascii="Calibri" w:cs="Calibri" w:eastAsia="Calibri" w:hAnsi="Calibri"/>
          <w:i w:val="1"/>
          <w:iCs w:val="1"/>
          <w:rtl w:val="0"/>
        </w:rPr>
        <w:t xml:space="preserve"> Demystifying annuities helps us empower consumers, guiding them toward confident, well-informed retirement decisions that align with their long-term goals.</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Word Count: 727</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Byline: A&amp;A Editorial Team</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i w:val="1"/>
          <w:iCs w:val="1"/>
        </w:rPr>
      </w:pPr>
      <w:r w:rsidDel="00000000" w:rsidR="00000000" w:rsidRPr="00000000">
        <w:rPr>
          <w:rFonts w:ascii="Calibri" w:cs="Calibri" w:eastAsia="Calibri" w:hAnsi="Calibri"/>
          <w:rtl w:val="0"/>
        </w:rPr>
        <w:t xml:space="preserve">Featured image:</w:t>
      </w: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With annuity sales reaching</w:t>
      </w:r>
      <w:hyperlink r:id="rId7">
        <w:r w:rsidDel="00000000" w:rsidR="00000000" w:rsidRPr="00000000">
          <w:rPr>
            <w:rFonts w:ascii="Calibri" w:cs="Calibri" w:eastAsia="Calibri" w:hAnsi="Calibri"/>
            <w:color w:val="242424"/>
            <w:rtl w:val="0"/>
          </w:rPr>
          <w:t xml:space="preserve"> </w:t>
        </w:r>
      </w:hyperlink>
      <w:hyperlink r:id="rId8">
        <w:r w:rsidDel="00000000" w:rsidR="00000000" w:rsidRPr="00000000">
          <w:rPr>
            <w:rFonts w:ascii="Calibri" w:cs="Calibri" w:eastAsia="Calibri" w:hAnsi="Calibri"/>
            <w:color w:val="1155cc"/>
            <w:u w:val="single"/>
            <w:rtl w:val="0"/>
          </w:rPr>
          <w:t xml:space="preserve">$108.5 billion</w:t>
        </w:r>
      </w:hyperlink>
      <w:r w:rsidDel="00000000" w:rsidR="00000000" w:rsidRPr="00000000">
        <w:rPr>
          <w:rFonts w:ascii="Calibri" w:cs="Calibri" w:eastAsia="Calibri" w:hAnsi="Calibri"/>
          <w:color w:val="242424"/>
          <w:rtl w:val="0"/>
        </w:rPr>
        <w:t xml:space="preserve"> in the second quarter of 2024 — a 25% increase from the same period in 2023 — it’s clear that consumer interest in annuities is surging​​. But many consumers remain uncertain about how much an annuity actually costs.</w:t>
      </w:r>
    </w:p>
    <w:p w:rsidR="00000000" w:rsidDel="00000000" w:rsidP="00000000" w:rsidRDefault="00000000" w:rsidRPr="00000000" w14:paraId="0000000D">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Answering this question goes beyond explaining minimum investments; it requires financial professionals to help consumers understand the various costs involved and how to align their decisions with long-term retirement goals.</w:t>
      </w:r>
    </w:p>
    <w:p w:rsidR="00000000" w:rsidDel="00000000" w:rsidP="00000000" w:rsidRDefault="00000000" w:rsidRPr="00000000" w14:paraId="0000000E">
      <w:pPr>
        <w:spacing w:after="240" w:before="240" w:lineRule="auto"/>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H2: Understanding annuity costs: More than just the minimum</w:t>
      </w:r>
    </w:p>
    <w:p w:rsidR="00000000" w:rsidDel="00000000" w:rsidP="00000000" w:rsidRDefault="00000000" w:rsidRPr="00000000" w14:paraId="0000000F">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Annuities are complex products with a wide range of costs that extend far beyond the minimum investment requirements. Here are the key factors that financial professionals should communicate to consumers:</w:t>
      </w:r>
    </w:p>
    <w:p w:rsidR="00000000" w:rsidDel="00000000" w:rsidP="00000000" w:rsidRDefault="00000000" w:rsidRPr="00000000" w14:paraId="00000010">
      <w:pPr>
        <w:spacing w:after="240" w:before="240" w:lineRule="auto"/>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H3: Minimum investments</w:t>
      </w:r>
    </w:p>
    <w:p w:rsidR="00000000" w:rsidDel="00000000" w:rsidP="00000000" w:rsidRDefault="00000000" w:rsidRPr="00000000" w14:paraId="00000011">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The minimum investment for annuities</w:t>
      </w:r>
      <w:hyperlink r:id="rId9">
        <w:r w:rsidDel="00000000" w:rsidR="00000000" w:rsidRPr="00000000">
          <w:rPr>
            <w:rFonts w:ascii="Calibri" w:cs="Calibri" w:eastAsia="Calibri" w:hAnsi="Calibri"/>
            <w:color w:val="242424"/>
            <w:rtl w:val="0"/>
          </w:rPr>
          <w:t xml:space="preserve"> </w:t>
        </w:r>
      </w:hyperlink>
      <w:hyperlink r:id="rId10">
        <w:r w:rsidDel="00000000" w:rsidR="00000000" w:rsidRPr="00000000">
          <w:rPr>
            <w:rFonts w:ascii="Calibri" w:cs="Calibri" w:eastAsia="Calibri" w:hAnsi="Calibri"/>
            <w:color w:val="1155cc"/>
            <w:u w:val="single"/>
            <w:rtl w:val="0"/>
          </w:rPr>
          <w:t xml:space="preserve">varies greatly</w:t>
        </w:r>
      </w:hyperlink>
      <w:r w:rsidDel="00000000" w:rsidR="00000000" w:rsidRPr="00000000">
        <w:rPr>
          <w:rFonts w:ascii="Calibri" w:cs="Calibri" w:eastAsia="Calibri" w:hAnsi="Calibri"/>
          <w:color w:val="242424"/>
          <w:rtl w:val="0"/>
        </w:rPr>
        <w:t xml:space="preserve"> depending on the type of annuity:</w:t>
      </w:r>
    </w:p>
    <w:p w:rsidR="00000000" w:rsidDel="00000000" w:rsidP="00000000" w:rsidRDefault="00000000" w:rsidRPr="00000000" w14:paraId="00000012">
      <w:pPr>
        <w:numPr>
          <w:ilvl w:val="0"/>
          <w:numId w:val="1"/>
        </w:numPr>
        <w:spacing w:before="240" w:lineRule="auto"/>
        <w:ind w:left="720" w:hanging="360"/>
        <w:rPr>
          <w:color w:val="242424"/>
        </w:rPr>
      </w:pPr>
      <w:r w:rsidDel="00000000" w:rsidR="00000000" w:rsidRPr="00000000">
        <w:rPr>
          <w:rFonts w:ascii="Calibri" w:cs="Calibri" w:eastAsia="Calibri" w:hAnsi="Calibri"/>
          <w:b w:val="1"/>
          <w:bCs w:val="1"/>
          <w:color w:val="242424"/>
          <w:rtl w:val="0"/>
        </w:rPr>
        <w:t xml:space="preserve">Fixed annuities</w:t>
      </w:r>
      <w:r w:rsidDel="00000000" w:rsidR="00000000" w:rsidRPr="00000000">
        <w:rPr>
          <w:rFonts w:ascii="Calibri" w:cs="Calibri" w:eastAsia="Calibri" w:hAnsi="Calibri"/>
          <w:color w:val="242424"/>
          <w:rtl w:val="0"/>
        </w:rPr>
        <w:t xml:space="preserve"> often have lower entry points, sometimes as low as $1,000.</w:t>
      </w:r>
    </w:p>
    <w:p w:rsidR="00000000" w:rsidDel="00000000" w:rsidP="00000000" w:rsidRDefault="00000000" w:rsidRPr="00000000" w14:paraId="00000013">
      <w:pPr>
        <w:numPr>
          <w:ilvl w:val="0"/>
          <w:numId w:val="1"/>
        </w:numPr>
        <w:ind w:left="720" w:hanging="360"/>
        <w:rPr>
          <w:color w:val="242424"/>
        </w:rPr>
      </w:pPr>
      <w:r w:rsidDel="00000000" w:rsidR="00000000" w:rsidRPr="00000000">
        <w:rPr>
          <w:rFonts w:ascii="Calibri" w:cs="Calibri" w:eastAsia="Calibri" w:hAnsi="Calibri"/>
          <w:b w:val="1"/>
          <w:bCs w:val="1"/>
          <w:color w:val="242424"/>
          <w:rtl w:val="0"/>
        </w:rPr>
        <w:t xml:space="preserve">Variable and indexed annuities</w:t>
      </w:r>
      <w:r w:rsidDel="00000000" w:rsidR="00000000" w:rsidRPr="00000000">
        <w:rPr>
          <w:rFonts w:ascii="Calibri" w:cs="Calibri" w:eastAsia="Calibri" w:hAnsi="Calibri"/>
          <w:color w:val="242424"/>
          <w:rtl w:val="0"/>
        </w:rPr>
        <w:t xml:space="preserve"> typically require higher minimums, ranging from $5,000 to $25,000.</w:t>
      </w:r>
    </w:p>
    <w:p w:rsidR="00000000" w:rsidDel="00000000" w:rsidP="00000000" w:rsidRDefault="00000000" w:rsidRPr="00000000" w14:paraId="00000014">
      <w:pPr>
        <w:numPr>
          <w:ilvl w:val="0"/>
          <w:numId w:val="1"/>
        </w:numPr>
        <w:spacing w:after="240" w:lineRule="auto"/>
        <w:ind w:left="720" w:hanging="360"/>
        <w:rPr>
          <w:color w:val="242424"/>
        </w:rPr>
      </w:pPr>
      <w:r w:rsidDel="00000000" w:rsidR="00000000" w:rsidRPr="00000000">
        <w:rPr>
          <w:rFonts w:ascii="Calibri" w:cs="Calibri" w:eastAsia="Calibri" w:hAnsi="Calibri"/>
          <w:b w:val="1"/>
          <w:bCs w:val="1"/>
          <w:color w:val="242424"/>
          <w:rtl w:val="0"/>
        </w:rPr>
        <w:t xml:space="preserve">Immediate annuities</w:t>
      </w:r>
      <w:r w:rsidDel="00000000" w:rsidR="00000000" w:rsidRPr="00000000">
        <w:rPr>
          <w:rFonts w:ascii="Calibri" w:cs="Calibri" w:eastAsia="Calibri" w:hAnsi="Calibri"/>
          <w:color w:val="242424"/>
          <w:rtl w:val="0"/>
        </w:rPr>
        <w:t xml:space="preserve">, which begin payouts shortly after purchase, demand the highest initial investments, generally between $50,000 and $100,000​.</w:t>
      </w:r>
    </w:p>
    <w:p w:rsidR="00000000" w:rsidDel="00000000" w:rsidP="00000000" w:rsidRDefault="00000000" w:rsidRPr="00000000" w14:paraId="00000015">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However, simply meeting the minimum investment may not provide a sufficient income stream for retirement. For instance, while $50,000 might be enough to buy into an immediate annuity, that sum may not generate a substantial payout without additional investments. It’s important to emphasize to clients that securing a meaningful income stream often requires investing well above the minimum threshold.</w:t>
      </w:r>
    </w:p>
    <w:p w:rsidR="00000000" w:rsidDel="00000000" w:rsidP="00000000" w:rsidRDefault="00000000" w:rsidRPr="00000000" w14:paraId="00000016">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H3: Fees and commissions</w:t>
      </w:r>
      <w:r w:rsidDel="00000000" w:rsidR="00000000" w:rsidRPr="00000000">
        <w:rPr>
          <w:rtl w:val="0"/>
        </w:rPr>
      </w:r>
    </w:p>
    <w:p w:rsidR="00000000" w:rsidDel="00000000" w:rsidP="00000000" w:rsidRDefault="00000000" w:rsidRPr="00000000" w14:paraId="00000017">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Beyond the initial premium, annuities come with a variety of fees that can impact returns. Administrative fees typically hover</w:t>
      </w:r>
      <w:hyperlink r:id="rId11">
        <w:r w:rsidDel="00000000" w:rsidR="00000000" w:rsidRPr="00000000">
          <w:rPr>
            <w:rFonts w:ascii="Calibri" w:cs="Calibri" w:eastAsia="Calibri" w:hAnsi="Calibri"/>
            <w:color w:val="242424"/>
            <w:rtl w:val="0"/>
          </w:rPr>
          <w:t xml:space="preserve"> </w:t>
        </w:r>
      </w:hyperlink>
      <w:hyperlink r:id="rId12">
        <w:r w:rsidDel="00000000" w:rsidR="00000000" w:rsidRPr="00000000">
          <w:rPr>
            <w:rFonts w:ascii="Calibri" w:cs="Calibri" w:eastAsia="Calibri" w:hAnsi="Calibri"/>
            <w:color w:val="1155cc"/>
            <w:u w:val="single"/>
            <w:rtl w:val="0"/>
          </w:rPr>
          <w:t xml:space="preserve">around 0.3% of the annuity’s value</w:t>
        </w:r>
      </w:hyperlink>
      <w:r w:rsidDel="00000000" w:rsidR="00000000" w:rsidRPr="00000000">
        <w:rPr>
          <w:rFonts w:ascii="Calibri" w:cs="Calibri" w:eastAsia="Calibri" w:hAnsi="Calibri"/>
          <w:color w:val="242424"/>
          <w:rtl w:val="0"/>
        </w:rPr>
        <w:t xml:space="preserve">, while mortality expenses can range from</w:t>
      </w:r>
      <w:hyperlink r:id="rId13">
        <w:r w:rsidDel="00000000" w:rsidR="00000000" w:rsidRPr="00000000">
          <w:rPr>
            <w:rFonts w:ascii="Calibri" w:cs="Calibri" w:eastAsia="Calibri" w:hAnsi="Calibri"/>
            <w:color w:val="242424"/>
            <w:rtl w:val="0"/>
          </w:rPr>
          <w:t xml:space="preserve"> </w:t>
        </w:r>
      </w:hyperlink>
      <w:hyperlink r:id="rId14">
        <w:r w:rsidDel="00000000" w:rsidR="00000000" w:rsidRPr="00000000">
          <w:rPr>
            <w:rFonts w:ascii="Calibri" w:cs="Calibri" w:eastAsia="Calibri" w:hAnsi="Calibri"/>
            <w:color w:val="1155cc"/>
            <w:u w:val="single"/>
            <w:rtl w:val="0"/>
          </w:rPr>
          <w:t xml:space="preserve">0.5% to 1.5%</w:t>
        </w:r>
      </w:hyperlink>
      <w:r w:rsidDel="00000000" w:rsidR="00000000" w:rsidRPr="00000000">
        <w:rPr>
          <w:rFonts w:ascii="Calibri" w:cs="Calibri" w:eastAsia="Calibri" w:hAnsi="Calibri"/>
          <w:color w:val="242424"/>
          <w:rtl w:val="0"/>
        </w:rPr>
        <w:t xml:space="preserve">. For consumers considering variable or indexed annuities, additional management fees tied to the performance of underlying investment accounts may apply.</w:t>
      </w:r>
    </w:p>
    <w:p w:rsidR="00000000" w:rsidDel="00000000" w:rsidP="00000000" w:rsidRDefault="00000000" w:rsidRPr="00000000" w14:paraId="00000018">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Commissions also play a significant role in annuity pricing. These commissions, which are built into the product, can range from</w:t>
      </w:r>
      <w:hyperlink r:id="rId15">
        <w:r w:rsidDel="00000000" w:rsidR="00000000" w:rsidRPr="00000000">
          <w:rPr>
            <w:rFonts w:ascii="Calibri" w:cs="Calibri" w:eastAsia="Calibri" w:hAnsi="Calibri"/>
            <w:color w:val="242424"/>
            <w:rtl w:val="0"/>
          </w:rPr>
          <w:t xml:space="preserve"> </w:t>
        </w:r>
      </w:hyperlink>
      <w:hyperlink r:id="rId16">
        <w:r w:rsidDel="00000000" w:rsidR="00000000" w:rsidRPr="00000000">
          <w:rPr>
            <w:rFonts w:ascii="Calibri" w:cs="Calibri" w:eastAsia="Calibri" w:hAnsi="Calibri"/>
            <w:color w:val="1155cc"/>
            <w:u w:val="single"/>
            <w:rtl w:val="0"/>
          </w:rPr>
          <w:t xml:space="preserve">1% to 8%</w:t>
        </w:r>
      </w:hyperlink>
      <w:r w:rsidDel="00000000" w:rsidR="00000000" w:rsidRPr="00000000">
        <w:rPr>
          <w:rFonts w:ascii="Calibri" w:cs="Calibri" w:eastAsia="Calibri" w:hAnsi="Calibri"/>
          <w:color w:val="242424"/>
          <w:rtl w:val="0"/>
        </w:rPr>
        <w:t xml:space="preserve">, depending on the annuity’s complexity​. By explaining how these commissions work, financial professionals can ensure transparency and help consumers understand how fees affect their long-term returns.</w:t>
      </w:r>
    </w:p>
    <w:p w:rsidR="00000000" w:rsidDel="00000000" w:rsidP="00000000" w:rsidRDefault="00000000" w:rsidRPr="00000000" w14:paraId="00000019">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H2: Helping consumers accumulate funds for annuities</w:t>
      </w:r>
      <w:r w:rsidDel="00000000" w:rsidR="00000000" w:rsidRPr="00000000">
        <w:rPr>
          <w:rtl w:val="0"/>
        </w:rPr>
      </w:r>
    </w:p>
    <w:p w:rsidR="00000000" w:rsidDel="00000000" w:rsidP="00000000" w:rsidRDefault="00000000" w:rsidRPr="00000000" w14:paraId="0000001A">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Preparing consumers for an annuity purchase is more than just explaining costs. It involves offering clear strategies to accumulate the necessary funds. Here are two smart approaches:</w:t>
      </w:r>
    </w:p>
    <w:p w:rsidR="00000000" w:rsidDel="00000000" w:rsidP="00000000" w:rsidRDefault="00000000" w:rsidRPr="00000000" w14:paraId="0000001B">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H3: Consistent savings plans</w:t>
      </w:r>
      <w:r w:rsidDel="00000000" w:rsidR="00000000" w:rsidRPr="00000000">
        <w:rPr>
          <w:rtl w:val="0"/>
        </w:rPr>
      </w:r>
    </w:p>
    <w:p w:rsidR="00000000" w:rsidDel="00000000" w:rsidP="00000000" w:rsidRDefault="00000000" w:rsidRPr="00000000" w14:paraId="0000001C">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For consumers who are still several years away from retirement, deferred annuities provide a way to spread out premium payments. In some cases, consumers can start with</w:t>
      </w:r>
      <w:hyperlink r:id="rId17">
        <w:r w:rsidDel="00000000" w:rsidR="00000000" w:rsidRPr="00000000">
          <w:rPr>
            <w:rFonts w:ascii="Calibri" w:cs="Calibri" w:eastAsia="Calibri" w:hAnsi="Calibri"/>
            <w:color w:val="242424"/>
            <w:rtl w:val="0"/>
          </w:rPr>
          <w:t xml:space="preserve"> </w:t>
        </w:r>
      </w:hyperlink>
      <w:hyperlink r:id="rId18">
        <w:r w:rsidDel="00000000" w:rsidR="00000000" w:rsidRPr="00000000">
          <w:rPr>
            <w:rFonts w:ascii="Calibri" w:cs="Calibri" w:eastAsia="Calibri" w:hAnsi="Calibri"/>
            <w:color w:val="1155cc"/>
            <w:u w:val="single"/>
            <w:rtl w:val="0"/>
          </w:rPr>
          <w:t xml:space="preserve">as little as $100 a month</w:t>
        </w:r>
      </w:hyperlink>
      <w:r w:rsidDel="00000000" w:rsidR="00000000" w:rsidRPr="00000000">
        <w:rPr>
          <w:rFonts w:ascii="Calibri" w:cs="Calibri" w:eastAsia="Calibri" w:hAnsi="Calibri"/>
          <w:color w:val="242424"/>
          <w:rtl w:val="0"/>
        </w:rPr>
        <w:t xml:space="preserve">​. Automatic, consistent contributions can build substantial capital over time, reducing the need for a large lump sum when it’s time to convert the annuity into an income stream.</w:t>
      </w:r>
    </w:p>
    <w:p w:rsidR="00000000" w:rsidDel="00000000" w:rsidP="00000000" w:rsidRDefault="00000000" w:rsidRPr="00000000" w14:paraId="0000001D">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Encouraging consumers to adopt disciplined savings strategies early can ease the burden of purchasing an annuity later in life, ensuring they’re better prepared when the time comes.</w:t>
      </w:r>
    </w:p>
    <w:p w:rsidR="00000000" w:rsidDel="00000000" w:rsidP="00000000" w:rsidRDefault="00000000" w:rsidRPr="00000000" w14:paraId="0000001E">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H3: Reallocating retirement assets</w:t>
      </w:r>
      <w:r w:rsidDel="00000000" w:rsidR="00000000" w:rsidRPr="00000000">
        <w:rPr>
          <w:rtl w:val="0"/>
        </w:rPr>
      </w:r>
    </w:p>
    <w:p w:rsidR="00000000" w:rsidDel="00000000" w:rsidP="00000000" w:rsidRDefault="00000000" w:rsidRPr="00000000" w14:paraId="0000001F">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For consumers with existing retirement portfolios, reallocating part of their 401(k) or IRA to an annuity can be a strategic move. This approach can secure a guaranteed income stream in retirement while leaving the remaining assets invested for growth.</w:t>
      </w:r>
    </w:p>
    <w:p w:rsidR="00000000" w:rsidDel="00000000" w:rsidP="00000000" w:rsidRDefault="00000000" w:rsidRPr="00000000" w14:paraId="00000020">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Since 2022, the SECURE Act 2.0 has made it easier to purchase annuities within retirement accounts, allowing consumers to benefit from tax deferral while securing lifetime income​. This strategy can be a win-win for many, providing both immediate stability and long-term growth potential.</w:t>
      </w:r>
    </w:p>
    <w:p w:rsidR="00000000" w:rsidDel="00000000" w:rsidP="00000000" w:rsidRDefault="00000000" w:rsidRPr="00000000" w14:paraId="00000021">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H2: Paving the path to confident annuity purchases</w:t>
      </w:r>
      <w:r w:rsidDel="00000000" w:rsidR="00000000" w:rsidRPr="00000000">
        <w:rPr>
          <w:rtl w:val="0"/>
        </w:rPr>
      </w:r>
    </w:p>
    <w:p w:rsidR="00000000" w:rsidDel="00000000" w:rsidP="00000000" w:rsidRDefault="00000000" w:rsidRPr="00000000" w14:paraId="00000022">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Many consumers are overwhelmed by the number of annuity options and the associated fees. A recent survey showed that</w:t>
      </w:r>
      <w:hyperlink r:id="rId19">
        <w:r w:rsidDel="00000000" w:rsidR="00000000" w:rsidRPr="00000000">
          <w:rPr>
            <w:rFonts w:ascii="Calibri" w:cs="Calibri" w:eastAsia="Calibri" w:hAnsi="Calibri"/>
            <w:color w:val="242424"/>
            <w:rtl w:val="0"/>
          </w:rPr>
          <w:t xml:space="preserve"> </w:t>
        </w:r>
      </w:hyperlink>
      <w:hyperlink r:id="rId20">
        <w:r w:rsidDel="00000000" w:rsidR="00000000" w:rsidRPr="00000000">
          <w:rPr>
            <w:rFonts w:ascii="Calibri" w:cs="Calibri" w:eastAsia="Calibri" w:hAnsi="Calibri"/>
            <w:color w:val="1155cc"/>
            <w:u w:val="single"/>
            <w:rtl w:val="0"/>
          </w:rPr>
          <w:t xml:space="preserve">84% of consumers rely on their financial professional</w:t>
        </w:r>
      </w:hyperlink>
      <w:r w:rsidDel="00000000" w:rsidR="00000000" w:rsidRPr="00000000">
        <w:rPr>
          <w:rFonts w:ascii="Calibri" w:cs="Calibri" w:eastAsia="Calibri" w:hAnsi="Calibri"/>
          <w:color w:val="242424"/>
          <w:rtl w:val="0"/>
        </w:rPr>
        <w:t xml:space="preserve"> to explain annuity products, and those who felt knowledgeable about their purchase reported significantly higher confidence​..</w:t>
      </w:r>
    </w:p>
    <w:p w:rsidR="00000000" w:rsidDel="00000000" w:rsidP="00000000" w:rsidRDefault="00000000" w:rsidRPr="00000000" w14:paraId="00000023">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When consumers ask, “How much does an annuity cost?”, they're not just looking for a price — they’re seeking reassurance that their financial future is secure. As financial professionals, we have the opportunity to provide that reassurance by breaking down annuity costs, offering strategies to accumulate the necessary funds, and guiding consumers to make informed decisions that align with their retirement goals.</w:t>
      </w:r>
    </w:p>
    <w:p w:rsidR="00000000" w:rsidDel="00000000" w:rsidP="00000000" w:rsidRDefault="00000000" w:rsidRPr="00000000" w14:paraId="00000024">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H2: Takeaways</w:t>
      </w:r>
      <w:r w:rsidDel="00000000" w:rsidR="00000000" w:rsidRPr="00000000">
        <w:rPr>
          <w:rtl w:val="0"/>
        </w:rPr>
      </w:r>
    </w:p>
    <w:p w:rsidR="00000000" w:rsidDel="00000000" w:rsidP="00000000" w:rsidRDefault="00000000" w:rsidRPr="00000000" w14:paraId="00000025">
      <w:pPr>
        <w:numPr>
          <w:ilvl w:val="0"/>
          <w:numId w:val="2"/>
        </w:numPr>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Annuity costs go beyond minimum investments to include fees like commissions, administrative expenses, and mortality charges.</w:t>
      </w:r>
    </w:p>
    <w:p w:rsidR="00000000" w:rsidDel="00000000" w:rsidP="00000000" w:rsidRDefault="00000000" w:rsidRPr="00000000" w14:paraId="00000026">
      <w:pPr>
        <w:numPr>
          <w:ilvl w:val="0"/>
          <w:numId w:val="2"/>
        </w:numPr>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Strategies such as consistent savings and reallocating retirement assets can help consumers accumulate the necessary funds for an annuity purchase.</w:t>
      </w:r>
    </w:p>
    <w:p w:rsidR="00000000" w:rsidDel="00000000" w:rsidP="00000000" w:rsidRDefault="00000000" w:rsidRPr="00000000" w14:paraId="00000027">
      <w:pPr>
        <w:numPr>
          <w:ilvl w:val="0"/>
          <w:numId w:val="2"/>
        </w:numPr>
        <w:spacing w:after="240" w:lineRule="auto"/>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Financial professionals are indispensable in simplifying the annuity process, boosting consumer confidence, and ensuring long-term financial security.</w:t>
      </w:r>
    </w:p>
    <w:p w:rsidR="00000000" w:rsidDel="00000000" w:rsidP="00000000" w:rsidRDefault="00000000" w:rsidRPr="00000000" w14:paraId="00000028">
      <w:pPr>
        <w:spacing w:after="240" w:before="240" w:line="328" w:lineRule="auto"/>
        <w:jc w:val="center"/>
        <w:rPr>
          <w:rFonts w:ascii="Calibri" w:cs="Calibri" w:eastAsia="Calibri" w:hAnsi="Calibri"/>
          <w:color w:val="434343"/>
        </w:rPr>
      </w:pP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029">
      <w:pPr>
        <w:spacing w:after="240" w:before="240" w:line="328" w:lineRule="auto"/>
        <w:rPr>
          <w:rFonts w:ascii="Calibri" w:cs="Calibri" w:eastAsia="Calibri" w:hAnsi="Calibri"/>
          <w:b w:val="1"/>
          <w:bCs w:val="1"/>
          <w:color w:val="434343"/>
          <w:highlight w:val="yellow"/>
        </w:rPr>
      </w:pPr>
      <w:r w:rsidDel="00000000" w:rsidR="00000000" w:rsidRPr="00000000">
        <w:rPr>
          <w:rFonts w:ascii="Calibri" w:cs="Calibri" w:eastAsia="Calibri" w:hAnsi="Calibri"/>
          <w:b w:val="1"/>
          <w:bCs w:val="1"/>
          <w:color w:val="434343"/>
          <w:highlight w:val="yellow"/>
          <w:rtl w:val="0"/>
        </w:rPr>
        <w:t xml:space="preserve">SEO Details: </w:t>
      </w:r>
    </w:p>
    <w:p w:rsidR="00000000" w:rsidDel="00000000" w:rsidP="00000000" w:rsidRDefault="00000000" w:rsidRPr="00000000" w14:paraId="0000002A">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Focus Keyphrase:</w:t>
      </w:r>
      <w:r w:rsidDel="00000000" w:rsidR="00000000" w:rsidRPr="00000000">
        <w:rPr>
          <w:rFonts w:ascii="Calibri" w:cs="Calibri" w:eastAsia="Calibri" w:hAnsi="Calibri"/>
          <w:color w:val="242424"/>
          <w:rtl w:val="0"/>
        </w:rPr>
        <w:t xml:space="preserve"> annuity costs</w:t>
      </w:r>
    </w:p>
    <w:p w:rsidR="00000000" w:rsidDel="00000000" w:rsidP="00000000" w:rsidRDefault="00000000" w:rsidRPr="00000000" w14:paraId="0000002B">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Category(ies):</w:t>
      </w:r>
      <w:r w:rsidDel="00000000" w:rsidR="00000000" w:rsidRPr="00000000">
        <w:rPr>
          <w:rFonts w:ascii="Calibri" w:cs="Calibri" w:eastAsia="Calibri" w:hAnsi="Calibri"/>
          <w:color w:val="242424"/>
          <w:rtl w:val="0"/>
        </w:rPr>
        <w:t xml:space="preserve"> Wealth, Protection/Income</w:t>
      </w:r>
    </w:p>
    <w:p w:rsidR="00000000" w:rsidDel="00000000" w:rsidP="00000000" w:rsidRDefault="00000000" w:rsidRPr="00000000" w14:paraId="0000002C">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Tags:</w:t>
      </w:r>
      <w:r w:rsidDel="00000000" w:rsidR="00000000" w:rsidRPr="00000000">
        <w:rPr>
          <w:rFonts w:ascii="Calibri" w:cs="Calibri" w:eastAsia="Calibri" w:hAnsi="Calibri"/>
          <w:color w:val="242424"/>
          <w:rtl w:val="0"/>
        </w:rPr>
        <w:t xml:space="preserve"> annuity costs, annuity fees, retirement income, fixed annuities, annuity planning, financial professionals</w:t>
      </w:r>
    </w:p>
    <w:p w:rsidR="00000000" w:rsidDel="00000000" w:rsidP="00000000" w:rsidRDefault="00000000" w:rsidRPr="00000000" w14:paraId="0000002D">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SEO Title:</w:t>
      </w:r>
      <w:r w:rsidDel="00000000" w:rsidR="00000000" w:rsidRPr="00000000">
        <w:rPr>
          <w:rFonts w:ascii="Calibri" w:cs="Calibri" w:eastAsia="Calibri" w:hAnsi="Calibri"/>
          <w:color w:val="242424"/>
          <w:rtl w:val="0"/>
        </w:rPr>
        <w:t xml:space="preserve"> Understanding Annuity Costs and Building Consumer Confidence</w:t>
      </w:r>
    </w:p>
    <w:p w:rsidR="00000000" w:rsidDel="00000000" w:rsidP="00000000" w:rsidRDefault="00000000" w:rsidRPr="00000000" w14:paraId="0000002E">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Meta Description:</w:t>
      </w:r>
      <w:r w:rsidDel="00000000" w:rsidR="00000000" w:rsidRPr="00000000">
        <w:rPr>
          <w:rFonts w:ascii="Calibri" w:cs="Calibri" w:eastAsia="Calibri" w:hAnsi="Calibri"/>
          <w:color w:val="242424"/>
          <w:rtl w:val="0"/>
        </w:rPr>
        <w:t xml:space="preserve"> Learn how annuity costs work, including fees, commissions, and funding strategies that help support informed retirement decisions.</w:t>
      </w:r>
    </w:p>
    <w:p w:rsidR="00000000" w:rsidDel="00000000" w:rsidP="00000000" w:rsidRDefault="00000000" w:rsidRPr="00000000" w14:paraId="0000002F">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Page Slug:</w:t>
      </w:r>
      <w:r w:rsidDel="00000000" w:rsidR="00000000" w:rsidRPr="00000000">
        <w:rPr>
          <w:rFonts w:ascii="Calibri" w:cs="Calibri" w:eastAsia="Calibri" w:hAnsi="Calibri"/>
          <w:color w:val="242424"/>
          <w:rtl w:val="0"/>
        </w:rPr>
        <w:t xml:space="preserve"> understanding-annuity-costs</w:t>
      </w:r>
    </w:p>
    <w:p w:rsidR="00000000" w:rsidDel="00000000" w:rsidP="00000000" w:rsidRDefault="00000000" w:rsidRPr="00000000" w14:paraId="00000030">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Featured Image recommendation:</w:t>
      </w:r>
      <w:r w:rsidDel="00000000" w:rsidR="00000000" w:rsidRPr="00000000">
        <w:rPr>
          <w:rFonts w:ascii="Calibri" w:cs="Calibri" w:eastAsia="Calibri" w:hAnsi="Calibri"/>
          <w:color w:val="242424"/>
          <w:rtl w:val="0"/>
        </w:rPr>
        <w:t xml:space="preserve"> A financial professional reviewing annuity fees and retirement income options with a client.</w:t>
      </w:r>
    </w:p>
    <w:p w:rsidR="00000000" w:rsidDel="00000000" w:rsidP="00000000" w:rsidRDefault="00000000" w:rsidRPr="00000000" w14:paraId="00000031">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Alt &amp; Title Tag:</w:t>
      </w:r>
      <w:r w:rsidDel="00000000" w:rsidR="00000000" w:rsidRPr="00000000">
        <w:rPr>
          <w:rFonts w:ascii="Calibri" w:cs="Calibri" w:eastAsia="Calibri" w:hAnsi="Calibri"/>
          <w:color w:val="242424"/>
          <w:rtl w:val="0"/>
        </w:rPr>
        <w:t xml:space="preserve"> Understanding Annuity Costs | AmeriLife</w:t>
      </w:r>
    </w:p>
    <w:p w:rsidR="00000000" w:rsidDel="00000000" w:rsidP="00000000" w:rsidRDefault="00000000" w:rsidRPr="00000000" w14:paraId="00000032">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H1:</w:t>
      </w:r>
      <w:r w:rsidDel="00000000" w:rsidR="00000000" w:rsidRPr="00000000">
        <w:rPr>
          <w:rFonts w:ascii="Calibri" w:cs="Calibri" w:eastAsia="Calibri" w:hAnsi="Calibri"/>
          <w:color w:val="242424"/>
          <w:rtl w:val="0"/>
        </w:rPr>
        <w:t xml:space="preserve"> Understanding Annuity Costs: A Guide to Building Consumer Confidence</w:t>
      </w:r>
    </w:p>
    <w:p w:rsidR="00000000" w:rsidDel="00000000" w:rsidP="00000000" w:rsidRDefault="00000000" w:rsidRPr="00000000" w14:paraId="00000033">
      <w:pPr>
        <w:spacing w:after="240" w:before="240" w:lineRule="auto"/>
        <w:rPr>
          <w:rFonts w:ascii="Calibri" w:cs="Calibri" w:eastAsia="Calibri" w:hAnsi="Calibri"/>
          <w:color w:val="2424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nsurancenewsnet.com/innarticle/advisors-are-key-to-a-positive-annuity-purchase-experience" TargetMode="External"/><Relationship Id="rId11" Type="http://schemas.openxmlformats.org/officeDocument/2006/relationships/hyperlink" Target="https://www.annuity.org/annuities/fees-and-commissions/" TargetMode="External"/><Relationship Id="rId10" Type="http://schemas.openxmlformats.org/officeDocument/2006/relationships/hyperlink" Target="https://www.msn.com/en-us/money/personalfinance/how-much-money-do-you-need-for-an-annuity/ar-AA1pwRyz" TargetMode="External"/><Relationship Id="rId13" Type="http://schemas.openxmlformats.org/officeDocument/2006/relationships/hyperlink" Target="https://www.annuity.org/annuities/fees-and-commissions/" TargetMode="External"/><Relationship Id="rId12" Type="http://schemas.openxmlformats.org/officeDocument/2006/relationships/hyperlink" Target="https://www.annuity.org/annuities/fees-and-commiss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sn.com/en-us/money/personalfinance/how-much-money-do-you-need-for-an-annuity/ar-AA1pwRyz" TargetMode="External"/><Relationship Id="rId15" Type="http://schemas.openxmlformats.org/officeDocument/2006/relationships/hyperlink" Target="https://www.annuity.org/annuities/fees-and-commissions/" TargetMode="External"/><Relationship Id="rId14" Type="http://schemas.openxmlformats.org/officeDocument/2006/relationships/hyperlink" Target="https://www.annuity.org/annuities/fees-and-commissions/" TargetMode="External"/><Relationship Id="rId17" Type="http://schemas.openxmlformats.org/officeDocument/2006/relationships/hyperlink" Target="https://www.msn.com/en-us/money/personalfinance/how-much-money-do-you-need-for-an-annuity/ar-AA1pwRyz" TargetMode="External"/><Relationship Id="rId16" Type="http://schemas.openxmlformats.org/officeDocument/2006/relationships/hyperlink" Target="https://www.annuity.org/annuities/fees-and-commissions/" TargetMode="External"/><Relationship Id="rId5" Type="http://schemas.openxmlformats.org/officeDocument/2006/relationships/styles" Target="styles.xml"/><Relationship Id="rId19" Type="http://schemas.openxmlformats.org/officeDocument/2006/relationships/hyperlink" Target="https://insurancenewsnet.com/innarticle/advisors-are-key-to-a-positive-annuity-purchase-experience" TargetMode="External"/><Relationship Id="rId6" Type="http://schemas.openxmlformats.org/officeDocument/2006/relationships/customXml" Target="../customXML/item1.xml"/><Relationship Id="rId18" Type="http://schemas.openxmlformats.org/officeDocument/2006/relationships/hyperlink" Target="https://www.msn.com/en-us/money/personalfinance/how-much-money-do-you-need-for-an-annuity/ar-AA1pwRyz" TargetMode="External"/><Relationship Id="rId7" Type="http://schemas.openxmlformats.org/officeDocument/2006/relationships/hyperlink" Target="https://insurancenewsnet.com/innarticle/advisors-are-key-to-a-positive-annuity-purchase-experience" TargetMode="External"/><Relationship Id="rId8" Type="http://schemas.openxmlformats.org/officeDocument/2006/relationships/hyperlink" Target="https://insurancenewsnet.com/innarticle/advisors-are-key-to-a-positive-annuity-purchase-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qFXftWXM+juCmsK4mqSGjAH8A==">CgMxLjA4AHIhMWY0UzFrQW5nLTA4eC1MRHpGdFBZbjdnb2ItSmQtcGFj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