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66928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Conexão Comunidade</w:t>
      </w:r>
    </w:p>
    <w:p>
      <w:pPr>
        <w:pStyle w:val="Subtitle"/>
      </w:pPr>
      <w:r>
        <w:t>Requisitos do sistema e identidade visual</w:t>
      </w:r>
    </w:p>
    <w:p>
      <w:r>
        <w:t>Edição 2.0 · 21 de outubro de 2026 · protótipo acadêmico</w:t>
      </w:r>
    </w:p>
    <w:p>
      <w:r>
        <w:t>Este documento reúne o objetivo, os requisitos e as regras visuais do Conexão Comunidade. Serve de referência para alunos, professores, coordenação e desenvolvedores avaliarem a versão atual e organizarem as próximas entregas.</w:t>
      </w:r>
    </w:p>
    <w:p>
      <w:pPr>
        <w:pStyle w:val="Heading2"/>
      </w:pPr>
      <w:r>
        <w:t>Objetivo do projeto</w:t>
      </w:r>
    </w:p>
    <w:p>
      <w:r>
        <w:t>Queremos dar visibilidade ao comércio local e aos trabalhadores autônomos, aproximando quem oferece e quem procura um produto ou serviço. A comunidade pesquisa sem cadastro, consulta endereços e contatos e pode abrir o trajeto até o local escolhido.</w:t>
      </w:r>
    </w:p>
    <w:p>
      <w:pPr>
        <w:pStyle w:val="Heading2"/>
      </w:pPr>
      <w:r>
        <w:t>Contexto e desenvolvimento</w:t>
      </w:r>
    </w:p>
    <w:p>
      <w:r>
        <w:t>O projeto é desenvolvido no contexto da parceria entre a Faculdade Municipal de Palhoça, a E.B. Frei Damião e o ILAB, com participação de estudantes e profissionais da educação. As decisões e os ajustes são feitos por etapas, com apoio de ferramentas de inteligência artificial na organização, implementação e revisão.</w:t>
      </w:r>
    </w:p>
    <w:p>
      <w:pPr>
        <w:pStyle w:val="Heading2"/>
      </w:pPr>
      <w:r>
        <w:t>Escopo desta edição</w:t>
      </w:r>
    </w:p>
    <w:p>
      <w:r>
        <w:t>A versão documentada inclui catálogo, mapa, cadastro de empresas e informais, controle de fotos, relatos privados, perfis de acesso e apresentação do projeto. Registra também os fundos por página, as quatro cores de destaque e os ícones de atividade posicionados depois do nome do estabelecimento.</w:t>
      </w:r>
    </w:p>
    <w:p>
      <w:r>
        <w:t>Preços, pagamentos, contratação de serviços e encaminhamento oficial de relatos à Prefeitura não integram o escopo atual. O conteúdo funcional foi conferido no código da versão online 63, publicada em 21/10/2026.</w:t>
      </w:r>
    </w:p>
    <w:p>
      <w:pPr>
        <w:pStyle w:val="Heading2"/>
      </w:pPr>
      <w:r>
        <w:t>Colaborações</w:t>
      </w:r>
    </w:p>
    <w:p>
      <w:r>
        <w:drawing>
          <wp:inline xmlns:a="http://schemas.openxmlformats.org/drawingml/2006/main" xmlns:pic="http://schemas.openxmlformats.org/drawingml/2006/picture">
            <wp:extent cx="504315" cy="365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ola-frei-damia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15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988228" cy="365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p-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8228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682633" cy="365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ab-log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633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916488" cy="36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feitura-palhoc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6488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</w:p>
    <w:p>
      <w:r>
        <w:t>Sequência institucional: E.B. Frei Damião, FMP, ILAB e Prefeitura de Palhoça.</w:t>
      </w:r>
    </w:p>
    <w:p>
      <w:r>
        <w:br w:type="page"/>
      </w:r>
    </w:p>
    <w:p>
      <w:pPr>
        <w:pStyle w:val="Heading1"/>
      </w:pPr>
      <w:r>
        <w:t>Perfis e regras de acesso</w:t>
      </w:r>
    </w:p>
    <w:p>
      <w:r>
        <w:t>As permissões acompanham o perfil autenticado. A comunidade tem acesso livre à pesquisa; as áreas de manutenção exigem conta. O servidor deve conferir a autorização em cada operação, mesmo que um botão esteja oculto na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536"/>
        <w:gridCol w:w="3888"/>
      </w:tblGrid>
      <w:tr>
        <w:trPr>
          <w:tblHeader/>
        </w:trPr>
        <w:tc>
          <w:tcPr>
            <w:tcW w:type="dxa" w:w="1944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Perfil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Ações permitidas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Limites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Comunidade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Buscar, filtrar, consultar locais, abrir trajeto e enviar relatos anônimos ou identificados.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Não acessa contas, imagens pendentes, relatos da equipe ou registros administrativos.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Empresa ou autônomo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Criar conta e manter os próprios dados, logo, fachada e galeria. Excluir fotos próprias, inclusive aprovadas.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Não altera outros negócios e não aprova imagens para publicação.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Coordenação da escola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Consultar empresas, corrigir dados básicos, cadastrar informais e criar ou liberar contas vinculadas a esses cadastros. Analisar relatos.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Não pode excluir empresas, moderar imagens, acessar logs ou conceder privilégio ADM.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Administração</w:t>
            </w:r>
          </w:p>
        </w:tc>
        <w:tc>
          <w:tcPr>
            <w:tcW w:type="dxa" w:w="4536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Gerenciar empresas, contas, imagens, fotos do Sobre, relatos e registros de atividade.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Acesso restrito ao perfil ADM. Não deve ser concedido por um cadastro público.</w:t>
            </w:r>
          </w:p>
        </w:tc>
      </w:tr>
    </w:tbl>
    <w:p>
      <w:pPr>
        <w:spacing w:after="20"/>
      </w:pPr>
    </w:p>
    <w:p>
      <w:pPr>
        <w:pStyle w:val="Heading2"/>
      </w:pPr>
      <w:r>
        <w:t>Contas e liberação</w:t>
      </w:r>
    </w:p>
    <w:p>
      <w:r>
        <w:t>A criação comum de conta de empresa dispensa autorização manual. No fluxo assistido, a escola registra primeiro o empreendedor informal e depois cria ou libera a conta vinculada àquele registro. Essa permissão não permite assumir contas comuns nem criar administradores.</w:t>
      </w:r>
    </w:p>
    <w:p>
      <w:pPr>
        <w:pStyle w:val="Heading2"/>
      </w:pPr>
      <w:r>
        <w:t>Dados que a escola pode corrigir</w:t>
      </w:r>
    </w:p>
    <w:p>
      <w:r>
        <w:t>Nome, atividade, endereço, contato, horário, descrição e produtos ou serviços. A exclusão de empresas e o controle das imagens continuam exclusivos da administração, além do direito da empresa de remover suas próprias fotos.</w:t>
      </w:r>
    </w:p>
    <w:p>
      <w:pPr>
        <w:pStyle w:val="Heading2"/>
      </w:pPr>
      <w:r>
        <w:t>Acompanhamento de relatos</w:t>
      </w:r>
    </w:p>
    <w:p>
      <w:r>
        <w:t>ADM e Coordenação podem aprovar, rejeitar ou atualizar o acompanhamento. Essa aprovação é interna: não torna o relato público. Nome, telefone, descrição e fotos permanecem restritos à equipe autorizada.</w:t>
      </w:r>
    </w:p>
    <w:p>
      <w:r>
        <w:br w:type="page"/>
      </w:r>
    </w:p>
    <w:p>
      <w:pPr>
        <w:pStyle w:val="Heading1"/>
      </w:pPr>
      <w:r>
        <w:t>Requisitos funcionais de consulta e cadastro</w:t>
      </w:r>
    </w:p>
    <w:p>
      <w:r>
        <w:t>Os critérios descrevem comportamentos observáveis para apresentação e teste. São requisitos da versão atual; a recuperação automática por e-mail depende de configuração externa.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2362"/>
        <w:gridCol w:w="7171"/>
      </w:tblGrid>
      <w:tr>
        <w:trPr>
          <w:tblHeader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Critério de aceitação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RF01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Consulta pública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Pesquisar e abrir locais sem criar conta de cliente.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RF02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Busca com sugestões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Apresentar opções conforme o texto digitado, considerando nome, atividade e produtos ou serviços.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RF03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Identificação da atividade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Mostrar ícone depois do nome. A atividade declarada prevalece; quando não houver correspondência, usar ícone genérico de comércio.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RF04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Filtros e proximidade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Filtrar locais e, com GPS autorizado, apresentar distância em linha reta e ordenação por proximidade.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RF05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Detalhes do estabelecimento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Exibir nome, atividade, endereço ou referência, contato e imagens públicas aprovadas, quando disponíveis.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RF06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Trajeto e orientação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Abrir a rota no Google Maps. O guia de partida tem voz opcional e mute; as instruções por curva pertencem ao serviço de navegação.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RF07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Cadastro e login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Criar conta de empresa, validar credenciais e encaminhar o usuário à área compatível com seu perfil.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RF08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Manter conectado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Oferecer sessão persistente por até 30 dias. Sem essa opção, usar sessão temporária com limite de 8 horas. Sair encerra a sessão.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RF09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Cadastro do negócio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Salvar nome, atividade, contato, endereço, descrição e produtos ou serviços sem exigir CNPJ.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RF10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Informais pela escola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Permitir atividade pré-selecionada ou Outros com texto próprio; criar ou liberar acesso de empresa vinculado ao cadastro informal.</w:t>
            </w:r>
          </w:p>
        </w:tc>
      </w:tr>
    </w:tbl>
    <w:p>
      <w:pPr>
        <w:spacing w:after="20"/>
      </w:pPr>
    </w:p>
    <w:p>
      <w:r>
        <w:t>A geolocalização depende de permissão do dispositivo. Sua indisponibilidade não deve bloquear a consulta de endereços já cadastrados. O ponto salvo é fixo, sem rastreamento contínuo do usuário.</w:t>
      </w:r>
    </w:p>
    <w:p>
      <w:r>
        <w:br w:type="page"/>
      </w:r>
    </w:p>
    <w:p>
      <w:pPr>
        <w:pStyle w:val="Heading1"/>
      </w:pPr>
      <w:r>
        <w:t>Requisitos de gestão e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2362"/>
        <w:gridCol w:w="7171"/>
      </w:tblGrid>
      <w:tr>
        <w:trPr>
          <w:tblHeader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Critério de aceitação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RF11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Manter fotos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Permitir envio, substituição e exclusão individual. Limite de 10 fotos por empresa, incluindo fachada; logo separada.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RF12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Moderação de imagens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Fotos enviadas pela empresa ficam pendentes até aprovação ADM. Administração pode retirar conteúdo inadequado e editar fotos do Sobre.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RF13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Relatar problema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Receber assunto, local ou referência e descrição; nome e contato opcionais. Aceitar ponto GPS e até 3 fotos.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RF14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Análise dos relatos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Manter caixa restrita, aviso de novos registros e ações de aprovação, rejeição e acompanhamento.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RF15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Gerenciar empresas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Exibir lista de cadastros ao ADM; permitir manutenção e exclusão autorizadas, sem exigir criar uma empresa para administrar.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RF16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Contas e registros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Permitir ao ADM consultar contas, controlar acesso e consultar registros de atividade, com bloqueio dos demais perfis.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RF17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Sobre e apresentação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Apresentar equipe e colaborações; manter uma apresentação HTML separada com explicação do projeto.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RF18</w:t>
            </w:r>
          </w:p>
        </w:tc>
        <w:tc>
          <w:tcPr>
            <w:tcW w:type="dxa" w:w="2362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Continuidade e retorno</w:t>
            </w:r>
          </w:p>
        </w:tc>
        <w:tc>
          <w:tcPr>
            <w:tcW w:type="dxa" w:w="7171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Manter versão anterior antes de alterações; permitir retorno às páginas anteriores e restauração do código aprovado.</w:t>
            </w:r>
          </w:p>
        </w:tc>
      </w:tr>
    </w:tbl>
    <w:p>
      <w:pPr>
        <w:spacing w:after="20"/>
      </w:pPr>
    </w:p>
    <w:p>
      <w:pPr>
        <w:pStyle w:val="Heading2"/>
      </w:pPr>
      <w:r>
        <w:t>Requisitos não funcionais</w:t>
      </w:r>
    </w:p>
    <w:p>
      <w:r>
        <w:t>RNF01 Responsividade: adaptar navegação, campos e resultados ao celular e ao computador. O aplicativo prioriza Mapa, Relatar, Comunidade e Conta.</w:t>
      </w:r>
    </w:p>
    <w:p>
      <w:r>
        <w:t>RNF02 Desempenho: reutilizar marcadores na busca, aguardar uma breve pausa na digitação e carregar somente o fundo usado pela tela. As imagens de fundo são comprimidas em WebP.</w:t>
      </w:r>
    </w:p>
    <w:p>
      <w:r>
        <w:t>RNF03 Legibilidade: manter texto escuro sobre superfícies claras, destaque de foco no teclado e navegação legível sem hover. Recalcular as cores por fileira quando a grade mudar.</w:t>
      </w:r>
    </w:p>
    <w:p>
      <w:r>
        <w:t>RNF04 Integridade: validar entradas e arquivos, conferir propriedade e permissão e impedir sobrescrita silenciosa de uma revisão antiga.</w:t>
      </w:r>
    </w:p>
    <w:p>
      <w:r>
        <w:t>RNF05 Privacidade: manter dados de acesso e relatos fora do catálogo público; definir com a equipe institucional finalidade, retenção e atendimento de pedidos sobre dados antes de ampliar o uso.</w:t>
      </w:r>
    </w:p>
    <w:p>
      <w:r>
        <w:br w:type="page"/>
      </w:r>
    </w:p>
    <w:p>
      <w:pPr>
        <w:pStyle w:val="Heading1"/>
      </w:pPr>
      <w:r>
        <w:t>Dados segurança e publicação</w:t>
      </w:r>
    </w:p>
    <w:p>
      <w:pPr>
        <w:pStyle w:val="Heading2"/>
      </w:pPr>
      <w:r>
        <w:t>Organização dos dados</w:t>
      </w:r>
    </w:p>
    <w:p>
      <w:r>
        <w:t>O serviço online grava registros em JSON cifrado. Cada empresa possui identificador próprio; conta, imagens e relatos ficam em registros separados e vinculados. Uma alteração atualiza somente o registro correspondente. Excluir uma foto não deve apagar os demais dados do negócio.</w:t>
      </w:r>
    </w:p>
    <w:p>
      <w:r>
        <w:t>Estrutura de referência</w:t>
        <w:br/>
        <w:t>private-json/v1/companies/&lt;id&gt;.json</w:t>
        <w:br/>
        <w:t>private-json/v1/users/&lt;identificador&gt;.json</w:t>
        <w:br/>
        <w:t>private-json/v1/company-images/&lt;id-foto&gt;.json</w:t>
        <w:br/>
        <w:t>private-json/v1/reports/&lt;id-relato&gt;.json</w:t>
      </w:r>
    </w:p>
    <w:p>
      <w:pPr>
        <w:pStyle w:val="Heading2"/>
      </w:pPr>
      <w:r>
        <w:t>Proteções da versão online</w:t>
      </w:r>
    </w:p>
    <w:p>
      <w:r>
        <w:t>Os registros privados usam criptografia AES-GCM. As senhas usam hash scrypt com salt e não são armazenadas para posterior envio por e-mail. Cookies de sessão usam HttpOnly, Secure e SameSite; o servidor verifica o perfil e a revisão antes de gravar. A aplicação também limita tentativas e valida arquivos e origem das operações.</w:t>
      </w:r>
    </w:p>
    <w:p>
      <w:r>
        <w:t>Base64 é uma forma de representar os bytes de uma imagem em JSON, não uma proteção. Tokens de escrita e chaves de criptografia devem permanecer no serviço, fora do HTML público. Hash de token não substitui a credencial exigida para uma integração.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208"/>
      </w:tblGrid>
      <w:tr>
        <w:trPr>
          <w:tblHeader/>
        </w:trPr>
        <w:tc>
          <w:tcPr>
            <w:tcW w:type="dxa" w:w="216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Ambiente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Funcionamento e situação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Site hospedado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Login, permissões e gravação compartilhada pelo serviço online. A interface utiliza HTML, CSS e JavaScript; o salvamento compartilhado exige serviço de gravação.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Pacote HTML local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 demonstração local usa o navegador e adaptador próprio. Não sincroniza dados entre aparelhos por conta própria.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GitHub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Integração com fila e suporte a atualização e exclusão está preparada. O envio real depende de repositório, credencial e rotina configurados; ainda não está ativo.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E-mail de recuperação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Fluxo de link para redefinir a senha está preparado. O envio depende da configuração do serviço de e-mail.</w:t>
            </w:r>
          </w:p>
        </w:tc>
      </w:tr>
    </w:tbl>
    <w:p>
      <w:pPr>
        <w:spacing w:after="20"/>
      </w:pPr>
    </w:p>
    <w:p>
      <w:pPr>
        <w:pStyle w:val="Heading2"/>
      </w:pPr>
      <w:r>
        <w:t>Conteúdo público e limites</w:t>
      </w:r>
    </w:p>
    <w:p>
      <w:r>
        <w:t>A base inicial de 467 registros de levantamento não equivale a 467 contas confirmadas. Informações públicas devem ser conferidas com os responsáveis. A documentação registra proteções implementadas, sem certificar conformidade legal ou garantia de segurança absoluta.</w:t>
      </w:r>
    </w:p>
    <w:p>
      <w:r>
        <w:br w:type="page"/>
      </w:r>
    </w:p>
    <w:p>
      <w:pPr>
        <w:pStyle w:val="Heading1"/>
      </w:pPr>
      <w:r>
        <w:t>Paleta e identidade visual</w:t>
      </w:r>
    </w:p>
    <w:p>
      <w:r>
        <w:t>A marca do projeto mantém o símbolo verde com três pontos amarelos ligados por um triângulo branco. A interface acrescenta azul, vermelho, amarelo e verde nos detalhes, conforme a referência de paleta solicitada pela equipe. As marcas institucionais permanecem com suas cores originais.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1440"/>
        <w:gridCol w:w="6408"/>
      </w:tblGrid>
      <w:tr>
        <w:trPr>
          <w:tblHeader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Cor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HEX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Uso na interface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4285F4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9"/>
              </w:rPr>
              <w:t>Azul de destaque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#4285F4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Primeira fileira e detalhes visuais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4335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9"/>
              </w:rPr>
              <w:t>Vermelho de destaque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#EA4335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Segunda fileira e bordas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BBC05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9"/>
              </w:rPr>
              <w:t>Amarelo de destaque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#FBBC05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Terceira fileira e detalhes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4A853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9"/>
              </w:rPr>
              <w:t>Verde de destaque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#34A853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Quarta fileira; a sequência então se repete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EA6"/>
          </w:tcPr>
          <w:p>
            <w:pPr>
              <w:spacing w:after="40" w:line="245" w:lineRule="auto"/>
            </w:pPr>
            <w:r>
              <w:rPr>
                <w:b w:val="0"/>
                <w:color w:val="FFFFFF"/>
                <w:sz w:val="19"/>
              </w:rPr>
              <w:t>Azul da seleção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#174EA6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Botão de navegação selecionado, com texto branco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26654"/>
          </w:tcPr>
          <w:p>
            <w:pPr>
              <w:spacing w:after="40" w:line="245" w:lineRule="auto"/>
            </w:pPr>
            <w:r>
              <w:rPr>
                <w:b w:val="0"/>
                <w:color w:val="FFFFFF"/>
                <w:sz w:val="19"/>
              </w:rPr>
              <w:t>Verde da marca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#126654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Símbolo, ações e links existentes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A53A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9"/>
              </w:rPr>
              <w:t>Amarelo da marca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#E9A53A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Pontos do símbolo e detalhes originais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332"/>
          </w:tcPr>
          <w:p>
            <w:pPr>
              <w:spacing w:after="40" w:line="245" w:lineRule="auto"/>
            </w:pPr>
            <w:r>
              <w:rPr>
                <w:b w:val="0"/>
                <w:color w:val="FFFFFF"/>
                <w:sz w:val="19"/>
              </w:rPr>
              <w:t>Texto principal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#183332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Títulos, botões e leitura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607371"/>
          </w:tcPr>
          <w:p>
            <w:pPr>
              <w:spacing w:after="40" w:line="245" w:lineRule="auto"/>
            </w:pPr>
            <w:r>
              <w:rPr>
                <w:b w:val="0"/>
                <w:color w:val="FFFFFF"/>
                <w:sz w:val="19"/>
              </w:rPr>
              <w:t>Texto secundário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#607371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Informações de apoio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9"/>
              </w:rPr>
              <w:t>Branco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#FFFFFF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Cartões, campos e caixa do rodapé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3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9"/>
              </w:rPr>
              <w:t>Fundo de apoio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#EDF3F8</w:t>
            </w:r>
          </w:p>
        </w:tc>
        <w:tc>
          <w:tcPr>
            <w:tcW w:type="dxa" w:w="640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Cor de base quando a fotografia ainda não carregou</w:t>
            </w:r>
          </w:p>
        </w:tc>
      </w:tr>
    </w:tbl>
    <w:p>
      <w:pPr>
        <w:spacing w:after="20"/>
      </w:pPr>
    </w:p>
    <w:p>
      <w:pPr>
        <w:pStyle w:val="Heading2"/>
      </w:pPr>
      <w:r>
        <w:t>Tipografia e marca</w:t>
      </w:r>
    </w:p>
    <w:p>
      <w:r>
        <w:t>A interface principal usa Arial, Helvetica e sans-serif. Títulos devem ter maior peso e tamanho que as descrições. Preservar a proporção da logo, a mesma versão em todas as telas e espaço livre ao seu redor. Não substituir a marca do projeto pelas marcas de apoio.</w:t>
      </w:r>
    </w:p>
    <w:p>
      <w:pPr>
        <w:pStyle w:val="Heading2"/>
      </w:pPr>
      <w:r>
        <w:t>Ordem das colaborações</w:t>
      </w:r>
    </w:p>
    <w:p>
      <w:r>
        <w:t>E.B. Frei Damião, FMP, ILAB e Prefeitura de Palhoça. Manter as logos proporcionais e organizadas dentro da caixa clara do rodapé, junto ao texto de direitos do sistema reservado ao ILAB.</w:t>
      </w:r>
    </w:p>
    <w:p>
      <w:r>
        <w:br w:type="page"/>
      </w:r>
    </w:p>
    <w:p>
      <w:pPr>
        <w:pStyle w:val="Heading1"/>
      </w:pPr>
      <w:r>
        <w:t>Aplicação visual nas páginas</w:t>
      </w:r>
    </w:p>
    <w:p>
      <w:r>
        <w:t>Os fundos são composições ilustrativas geradas por IA, usando nomes reais da região. Não representam fotografias documentais de cada rua nem instruções de navegação. A seleção contém 18 cenas com locais diferentes, sem repetir as placas.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Sou cliente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Sobre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  <w:jc w:val="center"/>
            </w:pPr>
            <w:r>
              <w:rPr>
                <w:b w:val="0"/>
                <w:sz w:val="19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926080" cy="19507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do-clien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95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  <w:jc w:val="center"/>
            </w:pPr>
            <w:r>
              <w:rPr>
                <w:b w:val="0"/>
                <w:sz w:val="19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926080" cy="19507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do-sobr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95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r>
        <w:t>Referências de fundo: Sou cliente com Brejaru e Sobre com Frei Damião. As outras telas usam ruas como Pascoal Mazzilli, Afonso Pena, Ricardo Schlemper, João Café Filho e Delfim Ribeiro.</w:t>
      </w:r>
    </w:p>
    <w:p>
      <w:pPr>
        <w:pStyle w:val="Heading2"/>
      </w:pPr>
      <w:r>
        <w:t>Leitura sobre a fotografia</w:t>
      </w:r>
    </w:p>
    <w:p>
      <w:r>
        <w:t>A imagem permanece no fundo geral. O centro da página usa uma superfície branca com transparência, enquanto títulos, formulários e resultados recebem áreas mais claras. O rodapé fica em uma caixa branca, com texto escuro e logos visíveis. Não há faixa de fotografia recortada no topo do conteúdo.</w:t>
      </w:r>
    </w:p>
    <w:p>
      <w:pPr>
        <w:pStyle w:val="Heading2"/>
      </w:pPr>
      <w:r>
        <w:t>Navegação e cores por fileira</w:t>
      </w:r>
    </w:p>
    <w:p>
      <w:r>
        <w:t>Os botões de navegação têm base branca e texto escuro; a opção ativa usa azul escuro e texto branco. Os resultados repetem a sequência azul, vermelho, amarelo e verde por fileira inteira. A sequência acompanha uma, duas ou três colunas. As bordas externas recebem as quatro cores de forma suave.</w:t>
      </w:r>
    </w:p>
    <w:p>
      <w:pPr>
        <w:pStyle w:val="Heading2"/>
      </w:pPr>
      <w:r>
        <w:t>Logo nome e ícone de atividade</w:t>
      </w:r>
    </w:p>
    <w:p>
      <w:r>
        <w:t>A ordem nos cartões é logo da empresa, nome e ícone de atividade ao final do nome. Nas sugestões, o nome também vem antes do ícone. Há tipos para padaria, oficina, roupas, costura, doces, confeitaria, mercado e outras atividades. Sem correspondência, aparece o ícone genérico de comércio. O ícone auxilia a identificação e não substitui a atividade por escrito.</w:t>
      </w:r>
    </w:p>
    <w:p>
      <w:pPr>
        <w:pStyle w:val="Heading2"/>
      </w:pPr>
      <w:r>
        <w:t>Retratos e imagens das empresas</w:t>
      </w:r>
    </w:p>
    <w:p>
      <w:r>
        <w:t>Os retratos do Sobre devem usar enquadramento uniforme, sem deformação. Fotos, slogan e logo de cada estabelecimento são enviados por seus responsáveis; os cenários decorativos do sistema não representam produtos oferecidos por uma empresa.</w:t>
      </w:r>
    </w:p>
    <w:p>
      <w:r>
        <w:br w:type="page"/>
      </w:r>
    </w:p>
    <w:p>
      <w:pPr>
        <w:pStyle w:val="Heading1"/>
      </w:pPr>
      <w:r>
        <w:t>Equipe validação e continuidade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920"/>
      </w:tblGrid>
      <w:tr>
        <w:trPr>
          <w:tblHeader/>
        </w:trPr>
        <w:tc>
          <w:tcPr>
            <w:tcW w:type="dxa" w:w="244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Participação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Integrantes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Gerência do projeto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Leandro Pickler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Coordenação ILAB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Daniela Amorim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Desenvolvedores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Eugênio Carlos Damasio Frois</w:t>
              <w:br/>
              <w:t>João Paulo Broering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Alunos participantes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Natanael Vieira Sousa</w:t>
              <w:br/>
              <w:t>Vitor Hugo Pereira</w:t>
              <w:br/>
              <w:t>Cauê Vinicius Teixeira da Silva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Professores participantes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start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Diego Paulo Garcia — Professor de Matemática</w:t>
              <w:br/>
              <w:t>Silvania Matos de Lima — Professora de Educação Especial</w:t>
              <w:br/>
              <w:t>Willian de França — Supervisor Escolar</w:t>
              <w:br/>
              <w:t>Gabriela da Silva Loh — Pedagoga e Supervisora Escolar da Rede Municipal de Palhoça</w:t>
            </w:r>
          </w:p>
        </w:tc>
      </w:tr>
    </w:tbl>
    <w:p>
      <w:pPr>
        <w:spacing w:after="20"/>
      </w:pPr>
    </w:p>
    <w:p>
      <w:pPr>
        <w:pStyle w:val="Heading2"/>
      </w:pPr>
      <w:r>
        <w:t>Verificações e limitações</w:t>
      </w:r>
    </w:p>
    <w:p>
      <w:r>
        <w:t>O histórico de testes cobre login, revisões, propriedade dos cadastros, aprovação de imagens, relatos privados e limites dos perfis. Os ajustes recentes tiveram verificação de sintaxe, compilação e testes da classificação de ícones e das cores em grades com uma, duas ou três colunas.</w:t>
      </w:r>
    </w:p>
    <w:p>
      <w:r>
        <w:t>A prévia visual no navegador ficou indisponível na sessão de 21/10/2026. A leitura final, o desempenho e as funções do Android ainda precisam ser conferidos em aparelhos reais. O aplicativo Android de testes usa WebView; há mínimo configurado para Android 6.0 e dependência de WebView atualizado. Isso não equivale a compatibilidade já comprovada em todos esses aparelhos.</w:t>
      </w:r>
    </w:p>
    <w:p>
      <w:pPr>
        <w:pStyle w:val="Heading2"/>
      </w:pPr>
      <w:r>
        <w:t>Controle de alterações e restauração</w:t>
      </w:r>
    </w:p>
    <w:p>
      <w:r>
        <w:t>Antes de novas etapas, preservar a versão anterior. O comando volta está combinado para restaurar a versão 58, anterior à primeira troca de fundo com placas. Há também resguardos das etapas posteriores. A restauração do código não deve sobrescrever cadastros, contas, fotos enviadas ou relatos atuais.</w:t>
      </w:r>
    </w:p>
    <w:p>
      <w:pPr>
        <w:pStyle w:val="Heading2"/>
      </w:pPr>
      <w:r>
        <w:t>Próximas validações</w:t>
      </w:r>
    </w:p>
    <w:p>
      <w:r>
        <w:t>Conferir endereços com os empreendedores; validar a edição e a moderação com a escola; testar em celulares; configurar o e-mail e a integração real com GitHub quando a equipe definir os serviços. Finalizar também as regras institucionais de uso, privacidade e retenção dos dados.</w:t>
      </w:r>
    </w:p>
    <w:p>
      <w:r>
        <w:t>Referências de elaboração: documento EC Criações edição 1.3; documentação anterior do Conexão Comunidade; HTML, CSS, JavaScript e APIs da versão online 63. Os nomes de ruas usados nos fundos foram conferidos em listagens locais e fontes da região, registradas no projeto.</w:t>
      </w:r>
    </w:p>
    <w:p>
      <w:r>
        <w:t>Site do projeto: https://conexao-comunidade-frei-damiao.eugenio-frois.chatgpt.site</w:t>
      </w:r>
    </w:p>
    <w:p>
      <w:r>
        <w:br w:type="page"/>
      </w:r>
    </w:p>
    <w:p>
      <w:pPr>
        <w:pStyle w:val="Heading1"/>
      </w:pPr>
      <w:r>
        <w:t>Migração para o GitHub Pages</w:t>
      </w:r>
    </w:p>
    <w:p>
      <w:r>
        <w:t>Atualização de 27 de outubro de 2026. Este complemento registra a arquitetura atual, as limitações do GitHub Pages e o trabalho necessário para migrar com contas e dados protegidos.</w:t>
      </w:r>
    </w:p>
    <w:p>
      <w:pPr>
        <w:pStyle w:val="Heading2"/>
      </w:pPr>
      <w:r>
        <w:t>Situação do projeto</w:t>
      </w:r>
    </w:p>
    <w:p>
      <w:r>
        <w:t>A interface atual usa páginas HTML, CSS e JavaScript; o mapa usa Leaflet. O projeto também contém um servidor com rotas de autenticação, empresas, imagens, relatos e administração. Os registros ativos ficam em armazenamento do servidor, separados por tipo, em JSON protegido. O pacote de código não inclui os dados ativos nem suas chaves.</w:t>
      </w:r>
    </w:p>
    <w:p>
      <w:r>
        <w:t>O GitHub Pages publica arquivos estáticos. Ele não executa as rotas do servidor, não recebe gravações de JSON do navegador e não faz controle de acesso a dados privados por si só. Por isso, o pacote de preservação não é uma conversão funcional concluída para Pages.</w:t>
      </w:r>
    </w:p>
    <w:p>
      <w:r>
        <w:t>Após a edição original, o projeto passou a se chamar Conexão Comunidade. A marca usa CONEXÃO em azul-escuro e COMUNIDADE em verde, em duas linhas. O aplicativo ganhou início próprio, com busca e categorias, e mantém o mapa em outra aba. Os retratos dos estudantes foram mantidos com a identificação Aluno participante.</w:t>
      </w:r>
    </w:p>
    <w:p>
      <w:pPr>
        <w:pStyle w:val="Heading2"/>
      </w:pPr>
      <w:r>
        <w:t>Arquivos e armazenamento</w:t>
      </w:r>
    </w:p>
    <w:p>
      <w:pPr>
        <w:pStyle w:val="ListBullet"/>
      </w:pPr>
      <w:r>
        <w:t>public/: páginas, estilos, scripts, imagens do projeto e aplicativo de teste.</w:t>
      </w:r>
    </w:p>
    <w:p>
      <w:pPr>
        <w:pStyle w:val="ListBullet"/>
      </w:pPr>
      <w:r>
        <w:t>app/api/ e lib/: rotas, autorização, operações de dados e criptografia do servidor.</w:t>
      </w:r>
    </w:p>
    <w:p>
      <w:pPr>
        <w:pStyle w:val="ListBullet"/>
      </w:pPr>
      <w:r>
        <w:t>backend/ESTRUTURA-JSON.md: descrição dos registros e diretórios privados.</w:t>
      </w:r>
    </w:p>
    <w:p>
      <w:pPr>
        <w:pStyle w:val="ListBullet"/>
      </w:pPr>
      <w:r>
        <w:t>android/: código-fonte Android; a chave de assinatura não está no pacote.</w:t>
      </w:r>
    </w:p>
    <w:p>
      <w:pPr>
        <w:pStyle w:val="Heading2"/>
      </w:pPr>
      <w:r>
        <w:t>Token e informações privadas</w:t>
      </w:r>
    </w:p>
    <w:p>
      <w:r>
        <w:t>Um token enviado em uma conversa ou colocado em arquivo público deve ser considerado comprometido. Revogue-o no GitHub e gere outro apenas quando a integração estiver definida. Não insira tokens, senhas, chaves de criptografia nem JSONs privados no repositório público. Hash e ofuscação não escondem uma credencial que o navegador precisa usar.</w:t>
      </w:r>
    </w:p>
    <w:p>
      <w:r>
        <w:br w:type="page"/>
      </w:r>
    </w:p>
    <w:p>
      <w:pPr>
        <w:pStyle w:val="Heading1"/>
      </w:pPr>
      <w:r>
        <w:t>Trabalho necessário para concluir a migração</w:t>
      </w:r>
    </w:p>
    <w:p>
      <w:pPr>
        <w:pStyle w:val="ListBullet"/>
      </w:pPr>
      <w:r>
        <w:t>Definir o endereço do repositório e do GitHub Pages. Ajustar caminhos absolutos dos arquivos, navegação, manifest e service worker para funcionar no endereço do projeto, inclusive em subpastas.</w:t>
      </w:r>
    </w:p>
    <w:p>
      <w:pPr>
        <w:pStyle w:val="ListBullet"/>
      </w:pPr>
      <w:r>
        <w:t>Escolher onde o servidor permanecerá hospedado. Adaptar a comunicação entre o site estático e o servidor, incluindo autenticação, cookies, CORS e proteção contra requisições indevidas; testar também no aplicativo Android.</w:t>
      </w:r>
    </w:p>
    <w:p>
      <w:pPr>
        <w:pStyle w:val="ListBullet"/>
      </w:pPr>
      <w:r>
        <w:t>Manter os dados privados fora do repositório público. Preparar cópias protegidas, preservar as chaves existentes e testar restauração antes de mover qualquer registro. Nunca substituir a chave antiga sem um plano de migração.</w:t>
      </w:r>
    </w:p>
    <w:p>
      <w:pPr>
        <w:pStyle w:val="ListBullet"/>
      </w:pPr>
      <w:r>
        <w:t>Configurar a integração GitHub somente no servidor ou em uma automação adequada, usando um segredo com permissões mínimas. O token não deve ser entregue ao navegador nem incluído em arquivos públicos.</w:t>
      </w:r>
    </w:p>
    <w:p>
      <w:pPr>
        <w:pStyle w:val="ListBullet"/>
      </w:pPr>
      <w:r>
        <w:t>Testar busca, mapa, GPS, login, cadastro e edição de empresa, limite e aprovação de fotos, relatos privados, coordenação, administração, recuperação de senha e dispositivos móveis. Validar a integração antes de substituir a hospedagem atual.</w:t>
      </w:r>
    </w:p>
    <w:p>
      <w:pPr>
        <w:pStyle w:val="Heading2"/>
      </w:pPr>
      <w:r>
        <w:t>Pontos ainda não concluídos</w:t>
      </w:r>
    </w:p>
    <w:p>
      <w:r>
        <w:t>A sincronização com um repositório GitHub e a hospedagem do backend de destino ainda precisam de configuração e testes. O envio automático de recuperação de senha depende de um provedor de e-mail configurado. Não há garantia de migração dos cadastros existentes neste pacote de código; o armazenamento ativo precisa ser exportado e restaurado com autorização e procedimento próprio.</w:t>
      </w:r>
    </w:p>
    <w:p>
      <w:pPr>
        <w:pStyle w:val="Heading2"/>
      </w:pPr>
      <w:r>
        <w:t>Referências</w:t>
      </w:r>
    </w:p>
    <w:p>
      <w:r>
        <w:t>GitHub Docs: Criando um site de páginas GitHub — docs.github.com/pt/pages/getting-started-with-github-pages/creating-a-github-pages-site</w:t>
      </w:r>
    </w:p>
    <w:p>
      <w:r>
        <w:t>GitHub Docs: Manter suas credenciais de API seguras — docs.github.com/pt/rest/authentication/keeping-your-api-credentials-secure</w:t>
      </w:r>
    </w:p>
    <w:sectPr w:rsidR="00FC693F" w:rsidRPr="0006063C" w:rsidSect="00034616">
      <w:footerReference w:type="default" r:id="rId9"/>
      <w:headerReference w:type="default" r:id="rId17"/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Conexão Comunidade · requisitos e identidade visual 2.0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Conexão Comunidade Documentação e migração para GitHub Pages</dc:title>
  <dc:subject>Documentação funcional e visual do projeto</dc:subject>
  <dc:creator>Eugênio Carlos Damasio Frois e João Paulo Broering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