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de identidade visual EC Criações</w:t>
      </w:r>
    </w:p>
    <w:p>
      <w:r>
        <w:t>Marca EC atualizada em outubro de 2026</w:t>
      </w:r>
    </w:p>
    <w:p>
      <w:r>
        <w:drawing>
          <wp:inline xmlns:a="http://schemas.openxmlformats.org/drawingml/2006/main" xmlns:pic="http://schemas.openxmlformats.org/drawingml/2006/picture">
            <wp:extent cx="109728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-simbo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Objetivo</w:t>
      </w:r>
    </w:p>
    <w:p>
      <w:r>
        <w:t>Este guia documenta a identidade visual atual da EC Criações e organiza opções que podem ser usadas como ponto de partida em futuros projetos de desenvolvimento web.</w:t>
      </w:r>
    </w:p>
    <w:p>
      <w:pPr>
        <w:pStyle w:val="Heading1"/>
      </w:pPr>
      <w:r>
        <w:t>2. Personalidade da marca</w:t>
      </w:r>
    </w:p>
    <w:p>
      <w:r>
        <w:t>Moderna, direta, flexível e tecnológica, com foco em organização, clareza e evolução.</w:t>
      </w:r>
    </w:p>
    <w:p>
      <w:pPr>
        <w:pStyle w:val="Heading1"/>
      </w:pPr>
      <w:r>
        <w:t>3. Paleta oficial</w:t>
      </w:r>
    </w:p>
    <w:p>
      <w:r>
        <w:rPr>
          <w:b/>
        </w:rPr>
        <w:t xml:space="preserve">Midnight: </w:t>
      </w:r>
      <w:r>
        <w:t>#020812</w:t>
      </w:r>
    </w:p>
    <w:p>
      <w:r>
        <w:rPr>
          <w:b/>
        </w:rPr>
        <w:t xml:space="preserve">Navy: </w:t>
      </w:r>
      <w:r>
        <w:t>#061323</w:t>
      </w:r>
    </w:p>
    <w:p>
      <w:r>
        <w:rPr>
          <w:b/>
        </w:rPr>
        <w:t xml:space="preserve">Electric Blue: </w:t>
      </w:r>
      <w:r>
        <w:t>#16B8FF</w:t>
      </w:r>
    </w:p>
    <w:p>
      <w:r>
        <w:rPr>
          <w:b/>
        </w:rPr>
        <w:t xml:space="preserve">Royal Blue: </w:t>
      </w:r>
      <w:r>
        <w:t>#176CFF</w:t>
      </w:r>
    </w:p>
    <w:p>
      <w:r>
        <w:rPr>
          <w:b/>
        </w:rPr>
        <w:t xml:space="preserve">Cyan: </w:t>
      </w:r>
      <w:r>
        <w:t>#62DCFF</w:t>
      </w:r>
    </w:p>
    <w:p>
      <w:r>
        <w:rPr>
          <w:b/>
        </w:rPr>
        <w:t xml:space="preserve">Mint: </w:t>
      </w:r>
      <w:r>
        <w:t>#36E0B0</w:t>
      </w:r>
    </w:p>
    <w:p>
      <w:pPr>
        <w:pStyle w:val="Heading1"/>
      </w:pPr>
      <w:r>
        <w:t>4. Tipografia</w:t>
      </w:r>
    </w:p>
    <w:p>
      <w:pPr>
        <w:pStyle w:val="ListBullet"/>
      </w:pPr>
      <w:r>
        <w:t>Space Grotesk — títulos, hero, números e chamadas.</w:t>
      </w:r>
    </w:p>
    <w:p>
      <w:pPr>
        <w:pStyle w:val="ListBullet"/>
      </w:pPr>
      <w:r>
        <w:t>Inter — textos, menus, descrições e interfaces.</w:t>
      </w:r>
    </w:p>
    <w:p>
      <w:pPr>
        <w:pStyle w:val="ListBullet"/>
      </w:pPr>
      <w:r>
        <w:t>Poppins — alternativa mais amigável para marcas comerciais.</w:t>
      </w:r>
    </w:p>
    <w:p>
      <w:pPr>
        <w:pStyle w:val="Heading1"/>
        <w:keepNext/>
      </w:pPr>
      <w:r>
        <w:t>5. Componentes</w:t>
      </w:r>
    </w:p>
    <w:p>
      <w:pPr>
        <w:pStyle w:val="ListBullet"/>
        <w:keepNext/>
      </w:pPr>
      <w:r>
        <w:t>CTA primário e secundário</w:t>
      </w:r>
    </w:p>
    <w:p>
      <w:pPr>
        <w:pStyle w:val="ListBullet"/>
        <w:keepNext/>
      </w:pPr>
      <w:r>
        <w:t>Cards e badges</w:t>
      </w:r>
    </w:p>
    <w:p>
      <w:pPr>
        <w:pStyle w:val="ListBullet"/>
        <w:keepNext/>
      </w:pPr>
      <w:r>
        <w:t>Bordas e raios consistentes</w:t>
      </w:r>
    </w:p>
    <w:p>
      <w:pPr>
        <w:pStyle w:val="ListBullet"/>
        <w:keepNext/>
      </w:pPr>
      <w:r>
        <w:t>Ícones simples</w:t>
      </w:r>
    </w:p>
    <w:p>
      <w:pPr>
        <w:pStyle w:val="ListBullet"/>
        <w:keepNext/>
      </w:pPr>
      <w:r>
        <w:t>Imagens com molduras discretas</w:t>
      </w:r>
    </w:p>
    <w:p>
      <w:pPr>
        <w:pStyle w:val="ListBullet"/>
      </w:pPr>
      <w:r>
        <w:t>Experiência responsiva</w:t>
      </w:r>
    </w:p>
    <w:p>
      <w:pPr>
        <w:pStyle w:val="Heading1"/>
      </w:pPr>
      <w:r>
        <w:t>6. Opções para projetos de clientes</w:t>
      </w:r>
    </w:p>
    <w:p>
      <w:pPr>
        <w:pStyle w:val="ListBullet"/>
      </w:pPr>
      <w:r>
        <w:t>Paletas: Tech Blue, Verde Moderno, Claro Profissional, Preto &amp; Dourado.</w:t>
      </w:r>
    </w:p>
    <w:p>
      <w:pPr>
        <w:pStyle w:val="ListBullet"/>
      </w:pPr>
      <w:r>
        <w:t>Estruturas: Landing Page, institucional, portfólio, catálogo/serviços ou campanha.</w:t>
      </w:r>
    </w:p>
    <w:p>
      <w:pPr>
        <w:pStyle w:val="ListBullet"/>
      </w:pPr>
      <w:r>
        <w:t>Contato: WhatsApp, formulário, telefone, e-mail, redes sociais e mapa.</w:t>
      </w:r>
    </w:p>
    <w:p>
      <w:pPr>
        <w:pStyle w:val="ListBullet"/>
      </w:pPr>
      <w:r>
        <w:t>Conteúdo: serviços, sobre, diferenciais, galeria, FAQ, depoimentos e projetos.</w:t>
      </w:r>
    </w:p>
    <w:p>
      <w:pPr>
        <w:pStyle w:val="ListBullet"/>
      </w:pPr>
      <w:r>
        <w:t>Estilos: minimalista, tecnológico, corporativo, criativo ou elegante.</w:t>
      </w:r>
    </w:p>
    <w:p>
      <w:pPr>
        <w:pStyle w:val="Heading1"/>
      </w:pPr>
      <w:r>
        <w:t>7. Laboratório de identidade</w:t>
      </w:r>
    </w:p>
    <w:p>
      <w:r>
        <w:t>A versão web deste guia possui um laboratório interativo. É possível testar nome, título, tipografia, estilo, cores e blocos de conteúdo e observar uma prévia em tempo real. A direção escolhida deve ser tratada como referência para briefing e refinada antes do desenvolvimento final.</w:t>
      </w:r>
    </w:p>
    <w:p>
      <w:pPr>
        <w:pStyle w:val="Heading1"/>
      </w:pPr>
      <w:r>
        <w:t>8. Princípios</w:t>
      </w:r>
    </w:p>
    <w:p>
      <w:pPr>
        <w:pStyle w:val="ListNumber"/>
      </w:pPr>
      <w:r>
        <w:t>Clareza</w:t>
      </w:r>
    </w:p>
    <w:p>
      <w:pPr>
        <w:pStyle w:val="ListNumber"/>
      </w:pPr>
      <w:r>
        <w:t>Consistência</w:t>
      </w:r>
    </w:p>
    <w:p>
      <w:pPr>
        <w:pStyle w:val="ListNumber"/>
      </w:pPr>
      <w:r>
        <w:t>Responsividade</w:t>
      </w:r>
    </w:p>
    <w:p>
      <w:pPr>
        <w:pStyle w:val="ListNumber"/>
      </w:pPr>
      <w:r>
        <w:t>Conversão</w:t>
      </w:r>
    </w:p>
    <w:p>
      <w:pPr>
        <w:pStyle w:val="ListNumber"/>
      </w:pPr>
      <w:r>
        <w:t>Evolução</w:t>
      </w:r>
    </w:p>
    <w:p>
      <w:pPr>
        <w:pStyle w:val="Heading1"/>
      </w:pPr>
      <w:r>
        <w:t>9. Uso</w:t>
      </w:r>
    </w:p>
    <w:p>
      <w:r>
        <w:t>A identidade deve preservar legibilidade, contraste e consistência. Não distorça a logo nem use efeitos que comprometam sua leitura.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