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A abordagem por caixas aparenta deixar a imagem com a 'qualidade' mais degradada e borrada artificialmente. Os dados confirmam esse comportamento: à medida que a máscara aumenta de 3×3 para 5×5 e 7×7, a média dos níveis de cinza praticamente não muda (101,19; 101,21; 101,24), pois os pesos da máscara somam 1 e o filtro não clareia nem escurece a imagem. Já o desvio padrão cai (33,59; 30,77; 28,76), o valor mínimo sobe (13,67; 26,12; 34,41) e o valor máximo desce (250,33; 245,84; 233,86): os valores extremos são puxados para o meio, o que caracteriza o borramento. Esses dados foram obtidos convertendo o resultado de cada filtro em um arquivo CSV e analisando suas estatísticas descritivas (describe).</w:t>
      </w:r>
    </w:p>
    <w:p>
      <w:pPr>
        <w:spacing w:after="200"/>
      </w:pPr>
      <w:r>
        <w:t xml:space="preserve">Já a gaussiana dá um efeito mais realista de borramento. Nos dados, a média também permanece praticamente constante (101,19; 101,21; 101,23), mas as demais estatísticas mudam bem menos que na caixa: o desvio padrão cai de 34,27 para 32,85 e 32,94, o valor mínimo sobe de 12,69 para 21,21 e 21,12, e o valor máximo quase não se altera (250,00; 248,34; 247,44). Ou seja, a gaussiana suaviza a imagem preservando melhor os valores extremos, e por isso o contraste e as estruturas continuam mais visíveis. Chama atenção também que o filtro 7×7 produz praticamente o mesmo resultado que o 5×5, porque os pesos dos anéis externos da máscara 7×7 são muito pequenos e quase não contribuem para a soma.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2026-09-26T15:18:12.709Z</dcterms:created>
  <dcterms:modified xsi:type="dcterms:W3CDTF">2026-09-26T15:18:12.710Z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