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953F" w14:textId="77777777" w:rsidR="00797935" w:rsidRDefault="00797935" w:rsidP="00797935">
      <w:pPr>
        <w:pStyle w:val="NormalWeb"/>
        <w:jc w:val="right"/>
      </w:pPr>
      <w:r>
        <w:rPr>
          <w:rFonts w:ascii="TimesNewRomanPSMT" w:hAnsi="TimesNewRomanPSMT"/>
          <w:sz w:val="36"/>
          <w:szCs w:val="36"/>
        </w:rPr>
        <w:t xml:space="preserve">Preliminary Draft. Not for circulation. </w:t>
      </w:r>
    </w:p>
    <w:p w14:paraId="6F70F138" w14:textId="77777777" w:rsidR="00C83F94" w:rsidRDefault="00C83F94" w:rsidP="00C83F94">
      <w:pPr>
        <w:jc w:val="center"/>
        <w:rPr>
          <w:b/>
          <w:bCs/>
          <w:color w:val="000000" w:themeColor="text1"/>
          <w:sz w:val="40"/>
          <w:szCs w:val="40"/>
        </w:rPr>
      </w:pPr>
    </w:p>
    <w:p w14:paraId="4CA1B8E7" w14:textId="77777777" w:rsidR="00C83F94" w:rsidRDefault="00C83F94" w:rsidP="00C83F94">
      <w:pPr>
        <w:jc w:val="center"/>
        <w:rPr>
          <w:b/>
          <w:bCs/>
          <w:color w:val="000000" w:themeColor="text1"/>
          <w:sz w:val="40"/>
          <w:szCs w:val="40"/>
        </w:rPr>
      </w:pPr>
    </w:p>
    <w:p w14:paraId="66AE0666" w14:textId="77777777" w:rsidR="00797935" w:rsidRDefault="00797935" w:rsidP="00C83F94">
      <w:pPr>
        <w:jc w:val="center"/>
        <w:rPr>
          <w:b/>
          <w:bCs/>
          <w:color w:val="000000" w:themeColor="text1"/>
          <w:sz w:val="40"/>
          <w:szCs w:val="40"/>
        </w:rPr>
      </w:pPr>
    </w:p>
    <w:p w14:paraId="385586E5" w14:textId="77777777" w:rsidR="00797935" w:rsidRDefault="00797935" w:rsidP="00C83F94">
      <w:pPr>
        <w:jc w:val="center"/>
        <w:rPr>
          <w:b/>
          <w:bCs/>
          <w:color w:val="000000" w:themeColor="text1"/>
          <w:sz w:val="40"/>
          <w:szCs w:val="40"/>
        </w:rPr>
      </w:pPr>
    </w:p>
    <w:p w14:paraId="51933D03" w14:textId="77777777" w:rsidR="00797935" w:rsidRDefault="00797935" w:rsidP="00C83F94">
      <w:pPr>
        <w:jc w:val="center"/>
        <w:rPr>
          <w:b/>
          <w:bCs/>
          <w:color w:val="000000" w:themeColor="text1"/>
          <w:sz w:val="40"/>
          <w:szCs w:val="40"/>
        </w:rPr>
      </w:pPr>
    </w:p>
    <w:p w14:paraId="2E5DE133" w14:textId="77777777" w:rsidR="00797935" w:rsidRDefault="00797935" w:rsidP="00C83F94">
      <w:pPr>
        <w:jc w:val="center"/>
        <w:rPr>
          <w:b/>
          <w:bCs/>
          <w:color w:val="000000" w:themeColor="text1"/>
          <w:sz w:val="40"/>
          <w:szCs w:val="40"/>
        </w:rPr>
      </w:pPr>
    </w:p>
    <w:p w14:paraId="10D7250D" w14:textId="77777777" w:rsidR="00797935" w:rsidRDefault="00797935" w:rsidP="00C83F94">
      <w:pPr>
        <w:jc w:val="center"/>
        <w:rPr>
          <w:b/>
          <w:bCs/>
          <w:color w:val="000000" w:themeColor="text1"/>
          <w:sz w:val="40"/>
          <w:szCs w:val="40"/>
        </w:rPr>
      </w:pPr>
    </w:p>
    <w:p w14:paraId="4E8C170F" w14:textId="6D96E821" w:rsidR="00C83F94" w:rsidRPr="00797935" w:rsidRDefault="00BB282F" w:rsidP="00C83F94">
      <w:pPr>
        <w:jc w:val="center"/>
        <w:rPr>
          <w:color w:val="000000" w:themeColor="text1"/>
          <w:sz w:val="40"/>
          <w:szCs w:val="40"/>
        </w:rPr>
      </w:pPr>
      <w:r>
        <w:rPr>
          <w:color w:val="000000" w:themeColor="text1"/>
          <w:sz w:val="40"/>
          <w:szCs w:val="40"/>
        </w:rPr>
        <w:t xml:space="preserve">The </w:t>
      </w:r>
      <w:r w:rsidR="00A23821">
        <w:rPr>
          <w:color w:val="000000" w:themeColor="text1"/>
          <w:sz w:val="40"/>
          <w:szCs w:val="40"/>
        </w:rPr>
        <w:t>groupwise</w:t>
      </w:r>
      <w:r w:rsidR="003E5D86">
        <w:rPr>
          <w:color w:val="000000" w:themeColor="text1"/>
          <w:sz w:val="40"/>
          <w:szCs w:val="40"/>
        </w:rPr>
        <w:t xml:space="preserve"> </w:t>
      </w:r>
      <w:r>
        <w:rPr>
          <w:color w:val="000000" w:themeColor="text1"/>
          <w:sz w:val="40"/>
          <w:szCs w:val="40"/>
        </w:rPr>
        <w:t xml:space="preserve">Decomposition: </w:t>
      </w:r>
      <w:r w:rsidR="00C83F94" w:rsidRPr="00797935">
        <w:rPr>
          <w:color w:val="000000" w:themeColor="text1"/>
          <w:sz w:val="40"/>
          <w:szCs w:val="40"/>
        </w:rPr>
        <w:t xml:space="preserve">Estimating Group-Specific Contributions to </w:t>
      </w:r>
      <w:r w:rsidR="00904D00">
        <w:rPr>
          <w:color w:val="000000" w:themeColor="text1"/>
          <w:sz w:val="40"/>
          <w:szCs w:val="40"/>
        </w:rPr>
        <w:t>Life Table</w:t>
      </w:r>
      <w:r w:rsidR="00C83F94" w:rsidRPr="00797935">
        <w:rPr>
          <w:color w:val="000000" w:themeColor="text1"/>
          <w:sz w:val="40"/>
          <w:szCs w:val="40"/>
        </w:rPr>
        <w:t xml:space="preserve"> Functions</w:t>
      </w:r>
    </w:p>
    <w:p w14:paraId="72006CFF" w14:textId="77777777" w:rsidR="00C83F94" w:rsidRDefault="00C83F94" w:rsidP="00C83F94">
      <w:pPr>
        <w:jc w:val="center"/>
        <w:rPr>
          <w:b/>
          <w:bCs/>
          <w:color w:val="000000" w:themeColor="text1"/>
          <w:sz w:val="40"/>
          <w:szCs w:val="40"/>
        </w:rPr>
      </w:pPr>
    </w:p>
    <w:p w14:paraId="72896435" w14:textId="7754AE4F" w:rsidR="00C83F94" w:rsidRPr="00C83F94" w:rsidRDefault="00C83F94" w:rsidP="00C83F94">
      <w:pPr>
        <w:jc w:val="center"/>
        <w:rPr>
          <w:color w:val="000000" w:themeColor="text1"/>
          <w:sz w:val="21"/>
          <w:szCs w:val="21"/>
        </w:rPr>
      </w:pPr>
      <w:r w:rsidRPr="00C83F94">
        <w:rPr>
          <w:color w:val="000000" w:themeColor="text1"/>
          <w:sz w:val="32"/>
          <w:szCs w:val="32"/>
        </w:rPr>
        <w:t>Eugenio Paglino</w:t>
      </w:r>
    </w:p>
    <w:p w14:paraId="02C99292" w14:textId="77777777" w:rsidR="00C83F94" w:rsidRPr="00C83F94" w:rsidRDefault="00C83F94" w:rsidP="00C83F94">
      <w:pPr>
        <w:jc w:val="center"/>
        <w:rPr>
          <w:color w:val="000000" w:themeColor="text1"/>
        </w:rPr>
      </w:pPr>
    </w:p>
    <w:p w14:paraId="6A42F4CD" w14:textId="77777777" w:rsidR="00797935" w:rsidRDefault="00C83F94" w:rsidP="00797935">
      <w:pPr>
        <w:jc w:val="center"/>
        <w:rPr>
          <w:color w:val="000000" w:themeColor="text1"/>
        </w:rPr>
      </w:pPr>
      <w:r w:rsidRPr="00C83F94">
        <w:rPr>
          <w:color w:val="000000" w:themeColor="text1"/>
        </w:rPr>
        <w:t>Department of Sociology</w:t>
      </w:r>
    </w:p>
    <w:p w14:paraId="6B9761E8" w14:textId="77777777" w:rsidR="00797935" w:rsidRDefault="00C83F94" w:rsidP="00797935">
      <w:pPr>
        <w:jc w:val="center"/>
        <w:rPr>
          <w:color w:val="000000" w:themeColor="text1"/>
        </w:rPr>
      </w:pPr>
      <w:r w:rsidRPr="00C83F94">
        <w:rPr>
          <w:color w:val="000000" w:themeColor="text1"/>
        </w:rPr>
        <w:t>Population Studies Center</w:t>
      </w:r>
    </w:p>
    <w:p w14:paraId="628A4C08" w14:textId="5BF1F02A" w:rsidR="00C83F94" w:rsidRPr="00C83F94" w:rsidRDefault="00C83F94" w:rsidP="00797935">
      <w:pPr>
        <w:jc w:val="center"/>
        <w:rPr>
          <w:color w:val="000000" w:themeColor="text1"/>
          <w:sz w:val="40"/>
          <w:szCs w:val="40"/>
          <w:vertAlign w:val="superscript"/>
        </w:rPr>
      </w:pPr>
      <w:r w:rsidRPr="00C83F94">
        <w:rPr>
          <w:color w:val="000000" w:themeColor="text1"/>
        </w:rPr>
        <w:t>University of Pennsylvania</w:t>
      </w:r>
      <w:r w:rsidRPr="00C83F94">
        <w:rPr>
          <w:color w:val="000000" w:themeColor="text1"/>
        </w:rPr>
        <w:br w:type="page"/>
      </w:r>
    </w:p>
    <w:p w14:paraId="31E86CA2" w14:textId="1071EC0D" w:rsidR="00797935" w:rsidRDefault="00797935" w:rsidP="008215CA">
      <w:pPr>
        <w:spacing w:line="480" w:lineRule="auto"/>
        <w:rPr>
          <w:b/>
          <w:bCs/>
          <w:color w:val="000000" w:themeColor="text1"/>
        </w:rPr>
      </w:pPr>
      <w:r>
        <w:rPr>
          <w:b/>
          <w:bCs/>
          <w:color w:val="000000" w:themeColor="text1"/>
        </w:rPr>
        <w:lastRenderedPageBreak/>
        <w:t>Introduction</w:t>
      </w:r>
    </w:p>
    <w:p w14:paraId="3887845C" w14:textId="19C3183C" w:rsidR="00797935" w:rsidRPr="004B4763" w:rsidRDefault="00797935" w:rsidP="008215CA">
      <w:pPr>
        <w:spacing w:line="480" w:lineRule="auto"/>
        <w:rPr>
          <w:color w:val="000000" w:themeColor="text1"/>
        </w:rPr>
      </w:pPr>
      <w:r w:rsidRPr="004B4763">
        <w:rPr>
          <w:color w:val="000000" w:themeColor="text1"/>
        </w:rPr>
        <w:t xml:space="preserve">The decomposition of demographic measures is a fundamental tool in </w:t>
      </w:r>
      <w:r w:rsidR="00A00A9C" w:rsidRPr="004B4763">
        <w:rPr>
          <w:color w:val="000000" w:themeColor="text1"/>
        </w:rPr>
        <w:t>a</w:t>
      </w:r>
      <w:r w:rsidRPr="004B4763">
        <w:rPr>
          <w:color w:val="000000" w:themeColor="text1"/>
        </w:rPr>
        <w:t xml:space="preserve"> demographer’s toolki</w:t>
      </w:r>
      <w:r w:rsidR="00A00A9C" w:rsidRPr="004B4763">
        <w:rPr>
          <w:color w:val="000000" w:themeColor="text1"/>
        </w:rPr>
        <w:t xml:space="preserve">t. Through decomposition of demographic measures, researchers can gain crucial insights into the importance of different mechanisms in producing demographic change. Most decomposition techniques </w:t>
      </w:r>
      <w:r w:rsidR="00324178">
        <w:rPr>
          <w:color w:val="000000" w:themeColor="text1"/>
        </w:rPr>
        <w:t>focus on</w:t>
      </w:r>
      <w:r w:rsidR="00A00A9C" w:rsidRPr="004B4763">
        <w:rPr>
          <w:color w:val="000000" w:themeColor="text1"/>
        </w:rPr>
        <w:t xml:space="preserve"> changes in demographic measures</w:t>
      </w:r>
      <w:r w:rsidR="0031183F">
        <w:rPr>
          <w:color w:val="000000" w:themeColor="text1"/>
        </w:rPr>
        <w:t xml:space="preserve"> over time or, more generally, </w:t>
      </w:r>
      <w:r w:rsidR="00A00A9C" w:rsidRPr="004B4763">
        <w:rPr>
          <w:color w:val="000000" w:themeColor="text1"/>
        </w:rPr>
        <w:t xml:space="preserve">differences between demographic rates </w:t>
      </w:r>
      <w:r w:rsidR="00A00A9C" w:rsidRPr="004B4763">
        <w:rPr>
          <w:color w:val="000000" w:themeColor="text1"/>
        </w:rPr>
        <w:fldChar w:fldCharType="begin"/>
      </w:r>
      <w:r w:rsidR="002A3578">
        <w:rPr>
          <w:color w:val="000000" w:themeColor="text1"/>
        </w:rPr>
        <w:instrText xml:space="preserve"> ADDIN ZOTERO_ITEM CSL_CITATION {"citationID":"yPYfB3Lj","properties":{"formattedCitation":"(Andreev, Shkolnikov, and Begun 2002; Arriaga 1984; Caswell 1989; Das Gupta 1978; Horiuchi, Wilmoth, and Pletcher 2008; Kitagawa 1964; Vaupel and Canudas-Romo 2002)","plainCitation":"(Andreev, Shkolnikov, and Begun 2002; Arriaga 1984; Caswell 1989; Das Gupta 1978; Horiuchi, Wilmoth, and Pletcher 2008; Kitagawa 1964; Vaupel and Canudas-Romo 2002)","noteIndex":0},"citationItems":[{"id":"sDgxjefO/OC9lgK67","uris":["http://zotero.org/users/8250957/items/DSEQELWC"],"itemData":{"id":1049,"type":"article-journal","abstract":"A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Z."}],"issued":{"date-parts":[["2002"]]}}},{"id":854,"uris":["http://zotero.org/users/8250957/items/QRAANWDQ"],"itemData":{"id":854,"type":"article-journal","abstract":"A set of new indices for interpreting change in life expectancies, as well as a technique for explaining change in life expectancies by change in mortality at each age group are presented in the paper. The indices, as well as the new technique for explaining the differences in life expectancies, have been tested and examples using United States life tables are presented. The technique for explaining life expectancy differentials can be used for analyzing change in mortality or mortality differentials by sex, ethnicity, region, or any other subpopulations. The technique can be applied to life expectancies at birth or temporary life expectancies between any desirable ages.","container-title":"Demography","DOI":"10.2307/2061029","ISSN":"1533-7790","issue":"1","journalAbbreviation":"Demography","language":"en","page":"83-96","source":"Springer Link","title":"Measuring and explaining the change in life expectancies","volume":"21","author":[{"family":"Arriaga","given":"Eduardo E."}],"issued":{"date-parts":[["1984",2,1]]}}},{"id":2643,"uris":["http://zotero.org/users/8250957/items/KAUJ6BG5"],"itemData":{"id":2643,"type":"article-journal","abstract":"Life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rate","volume":"46","author":[{"family":"Caswell","given":"Hal"}],"issued":{"date-parts":[["1989",8,1]]}}},{"id":1047,"uris":["http://zotero.org/users/8250957/items/KYK3N6QW"],"itemData":{"id":1047,"type":"article-journal","abstract":"In her work on the components of a difference between two rates, Kitagawa (1955) was successful in dividing the difference into the rate effect and the effect of the factor, for data classified by one factor. Her formulation for data classified by two factors, however, involves an interaction term which is difficult to interpret. Retherford and Cho (1973) devised a method that does not include any interaction terms. However, their method has other limitations, such as the dependence of the results on the order in which the effects of the factors are computed. In this paper, we provide a general method capable of handling any number of factors, which is developed along the lines suggested by Kitagawa and by Retherford and Cho but without the limitations of their methods.","container-title":"Demography","DOI":"10.2307/2060493","ISSN":"1533-7790","issue":"1","journalAbbreviation":"Demography","language":"en","page":"99-112","source":"Springer Link","title":"A general method of decomposing a difference between two rates into several components","volume":"15","author":[{"family":"Das Gupta","given":"Prithwis"}],"issued":{"date-parts":[["1978",2,1]]}}},{"id":2645,"uris":["http://zotero.org/users/8250957/items/825TENDU"],"itemData":{"id":2645,"type":"article-journal","abstract":"A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id":1048,"uris":["http://zotero.org/users/8250957/items/QK66CD5V"],"itemData":{"id":1048,"type":"article-journal","container-title":"Demography","DOI":"10.1007/BF03208469","ISSN":"0070-3370","issue":"1","journalAbbreviation":"Demography","page":"296-315","source":"Silverchair","title":"Standardized comparisons in population research","volume":"1","author":[{"family":"Kitagawa","given":"Evelyn M."}],"issued":{"date-parts":[["1964",3,1]]}}},{"id":1050,"uris":["http://zotero.org/users/8250957/items/BH3YMAKZ"],"itemData":{"id":1050,"type":"article-journal","abstract":"Volume 7 - Article 1 | Pages 1–14","container-title":"Demographic Research","ISSN":"1435-9871","language":"en","page":"1-14","source":"www.demographic-research.org","title":"Decomposing demographic change into direct vs. compositional components","volume":"7","author":[{"family":"Vaupel","given":"James W."},{"family":"Canudas-Romo","given":"Vladimir"}],"issued":{"date-parts":[["2002",7,2]]}}}],"schema":"https://github.com/citation-style-language/schema/raw/master/csl-citation.json"} </w:instrText>
      </w:r>
      <w:r w:rsidR="00A00A9C" w:rsidRPr="004B4763">
        <w:rPr>
          <w:color w:val="000000" w:themeColor="text1"/>
        </w:rPr>
        <w:fldChar w:fldCharType="separate"/>
      </w:r>
      <w:r w:rsidR="00E95306">
        <w:rPr>
          <w:noProof/>
          <w:color w:val="000000" w:themeColor="text1"/>
        </w:rPr>
        <w:t>(Andreev, Shkolnikov, and Begun 2002; Arriaga 1984; Caswell 1989; Das Gupta 1978; Horiuchi, Wilmoth, and Pletcher 2008; Kitagawa 1964; Vaupel and Canudas-Romo 2002)</w:t>
      </w:r>
      <w:r w:rsidR="00A00A9C" w:rsidRPr="004B4763">
        <w:rPr>
          <w:color w:val="000000" w:themeColor="text1"/>
        </w:rPr>
        <w:fldChar w:fldCharType="end"/>
      </w:r>
      <w:r w:rsidR="004B4763" w:rsidRPr="004B4763">
        <w:rPr>
          <w:color w:val="000000" w:themeColor="text1"/>
        </w:rPr>
        <w:t xml:space="preserve">. However, fewer techniques are available to researchers needing to estimate the contribution of different subpopulations to </w:t>
      </w:r>
      <w:r w:rsidR="003E5D86">
        <w:rPr>
          <w:color w:val="000000" w:themeColor="text1"/>
        </w:rPr>
        <w:t>the difference in a demographic measure, such as life expectancy, between a baseline population and the total population</w:t>
      </w:r>
      <w:r w:rsidR="004B4763" w:rsidRPr="004B4763">
        <w:rPr>
          <w:color w:val="000000" w:themeColor="text1"/>
        </w:rPr>
        <w:t xml:space="preserve">. </w:t>
      </w:r>
      <w:r w:rsidR="00036915">
        <w:rPr>
          <w:color w:val="000000" w:themeColor="text1"/>
        </w:rPr>
        <w:t>Although some of the general decomposition techniques can be used for this purpose</w:t>
      </w:r>
      <w:r w:rsidR="00993AFB">
        <w:rPr>
          <w:color w:val="000000" w:themeColor="text1"/>
        </w:rPr>
        <w:t xml:space="preserve"> with some adjustments</w:t>
      </w:r>
      <w:r w:rsidR="00036915">
        <w:rPr>
          <w:color w:val="000000" w:themeColor="text1"/>
        </w:rPr>
        <w:t xml:space="preserve">, </w:t>
      </w:r>
      <w:r w:rsidR="00993AFB">
        <w:rPr>
          <w:color w:val="000000" w:themeColor="text1"/>
        </w:rPr>
        <w:t xml:space="preserve">I will show that </w:t>
      </w:r>
      <w:r w:rsidR="00036915">
        <w:rPr>
          <w:color w:val="000000" w:themeColor="text1"/>
        </w:rPr>
        <w:t xml:space="preserve">they quickly become computationally inefficient even when few groups are involved. </w:t>
      </w:r>
      <w:r w:rsidR="004B4763" w:rsidRPr="004B4763">
        <w:rPr>
          <w:color w:val="000000" w:themeColor="text1"/>
        </w:rPr>
        <w:t xml:space="preserve">This paper </w:t>
      </w:r>
      <w:r w:rsidR="00036915">
        <w:rPr>
          <w:color w:val="000000" w:themeColor="text1"/>
        </w:rPr>
        <w:t xml:space="preserve">thus </w:t>
      </w:r>
      <w:r w:rsidR="004B4763" w:rsidRPr="004B4763">
        <w:rPr>
          <w:color w:val="000000" w:themeColor="text1"/>
        </w:rPr>
        <w:t>develops a</w:t>
      </w:r>
      <w:r w:rsidR="00993AFB">
        <w:rPr>
          <w:color w:val="000000" w:themeColor="text1"/>
        </w:rPr>
        <w:t xml:space="preserve"> new </w:t>
      </w:r>
      <w:r w:rsidR="004B4763" w:rsidRPr="004B4763">
        <w:rPr>
          <w:color w:val="000000" w:themeColor="text1"/>
        </w:rPr>
        <w:t xml:space="preserve">decomposition technique </w:t>
      </w:r>
      <w:r w:rsidR="00993AFB">
        <w:rPr>
          <w:color w:val="000000" w:themeColor="text1"/>
        </w:rPr>
        <w:t xml:space="preserve">which overcomes these limitations, </w:t>
      </w:r>
      <w:r w:rsidR="004B4763" w:rsidRPr="004B4763">
        <w:rPr>
          <w:color w:val="000000" w:themeColor="text1"/>
        </w:rPr>
        <w:t>discusses one practical application</w:t>
      </w:r>
      <w:r w:rsidR="00993AFB">
        <w:rPr>
          <w:color w:val="000000" w:themeColor="text1"/>
        </w:rPr>
        <w:t>, and shows how the technique can be further extended</w:t>
      </w:r>
      <w:r w:rsidR="004B4763" w:rsidRPr="004B4763">
        <w:rPr>
          <w:color w:val="000000" w:themeColor="text1"/>
        </w:rPr>
        <w:t>.</w:t>
      </w:r>
    </w:p>
    <w:p w14:paraId="578CEFE3" w14:textId="77777777" w:rsidR="00A00A9C" w:rsidRDefault="00A00A9C" w:rsidP="008215CA">
      <w:pPr>
        <w:spacing w:line="480" w:lineRule="auto"/>
        <w:rPr>
          <w:b/>
          <w:bCs/>
          <w:color w:val="000000" w:themeColor="text1"/>
        </w:rPr>
      </w:pPr>
    </w:p>
    <w:p w14:paraId="678FA619" w14:textId="23027FAA" w:rsidR="008215CA" w:rsidRPr="008215CA" w:rsidRDefault="008215CA" w:rsidP="008215CA">
      <w:pPr>
        <w:spacing w:line="480" w:lineRule="auto"/>
        <w:rPr>
          <w:b/>
          <w:bCs/>
          <w:color w:val="000000" w:themeColor="text1"/>
        </w:rPr>
      </w:pPr>
      <w:r w:rsidRPr="008215CA">
        <w:rPr>
          <w:b/>
          <w:bCs/>
          <w:color w:val="000000" w:themeColor="text1"/>
        </w:rPr>
        <w:t>Relationship</w:t>
      </w:r>
    </w:p>
    <w:p w14:paraId="352A8D70" w14:textId="78BBD2CC" w:rsidR="008215CA" w:rsidRDefault="008215CA" w:rsidP="008215CA">
      <w:pPr>
        <w:spacing w:line="480" w:lineRule="auto"/>
        <w:rPr>
          <w:color w:val="000000" w:themeColor="text1"/>
        </w:rPr>
      </w:pPr>
      <w:r w:rsidRPr="008646FD">
        <w:rPr>
          <w:color w:val="000000" w:themeColor="text1"/>
        </w:rPr>
        <w:t xml:space="preserve">Given a population </w:t>
      </w:r>
      <m:oMath>
        <m:r>
          <w:rPr>
            <w:rFonts w:ascii="Cambria Math" w:hAnsi="Cambria Math"/>
            <w:color w:val="000000" w:themeColor="text1"/>
          </w:rPr>
          <m:t>(T)</m:t>
        </m:r>
      </m:oMath>
      <w:r w:rsidR="003E5D86">
        <w:rPr>
          <w:color w:val="000000" w:themeColor="text1"/>
        </w:rPr>
        <w:t>, a baseline subpopulation (</w:t>
      </w:r>
      <m:oMath>
        <m:r>
          <w:rPr>
            <w:rFonts w:ascii="Cambria Math" w:hAnsi="Cambria Math"/>
            <w:color w:val="000000" w:themeColor="text1"/>
          </w:rPr>
          <m:t>B</m:t>
        </m:r>
      </m:oMath>
      <w:r w:rsidR="003E5D86">
        <w:rPr>
          <w:color w:val="000000" w:themeColor="text1"/>
        </w:rPr>
        <w:t xml:space="preserve">), </w:t>
      </w:r>
      <w:r w:rsidRPr="008646FD">
        <w:rPr>
          <w:color w:val="000000" w:themeColor="text1"/>
        </w:rPr>
        <w:t xml:space="preserve">and a partition of the population into </w:t>
      </w:r>
      <w:r>
        <w:rPr>
          <w:color w:val="000000" w:themeColor="text1"/>
        </w:rPr>
        <w:t xml:space="preserve">mutually exclusive </w:t>
      </w:r>
      <w:r w:rsidRPr="008646FD">
        <w:rPr>
          <w:color w:val="000000" w:themeColor="text1"/>
        </w:rPr>
        <w:t>subgroups</w:t>
      </w:r>
      <w:r>
        <w:rPr>
          <w:color w:val="000000" w:themeColor="text1"/>
        </w:rPr>
        <w:t xml:space="preserve">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3E5D86">
        <w:rPr>
          <w:color w:val="000000" w:themeColor="text1"/>
        </w:rPr>
        <w:t xml:space="preserve">, indexed by </w:t>
      </w:r>
      <m:oMath>
        <m:r>
          <w:rPr>
            <w:rFonts w:ascii="Cambria Math" w:hAnsi="Cambria Math"/>
            <w:color w:val="000000" w:themeColor="text1"/>
          </w:rPr>
          <m:t>i</m:t>
        </m:r>
      </m:oMath>
      <w:r w:rsidR="003E5D86">
        <w:rPr>
          <w:color w:val="000000" w:themeColor="text1"/>
        </w:rPr>
        <w:t xml:space="preserve">, such that </w:t>
      </w:r>
      <m:oMath>
        <m:sSub>
          <m:sSubPr>
            <m:ctrlPr>
              <w:rPr>
                <w:rFonts w:ascii="Cambria Math" w:hAnsi="Cambria Math"/>
                <w:i/>
                <w:color w:val="000000" w:themeColor="text1"/>
              </w:rPr>
            </m:ctrlPr>
          </m:sSubPr>
          <m:e/>
          <m:sub>
            <m:r>
              <w:rPr>
                <w:rFonts w:ascii="Cambria Math" w:hAnsi="Cambria Math"/>
                <w:color w:val="000000" w:themeColor="text1"/>
              </w:rPr>
              <m:t>n</m:t>
            </m:r>
          </m:sub>
        </m:sSub>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x</m:t>
            </m:r>
          </m:sub>
          <m:sup>
            <m:r>
              <w:rPr>
                <w:rFonts w:ascii="Cambria Math" w:hAnsi="Cambria Math"/>
                <w:color w:val="000000" w:themeColor="text1"/>
              </w:rPr>
              <m:t>B</m:t>
            </m:r>
          </m:sup>
        </m:sSubSup>
        <m:r>
          <w:rPr>
            <w:rFonts w:ascii="Cambria Math" w:hAnsi="Cambria Math"/>
            <w:color w:val="000000" w:themeColor="text1"/>
          </w:rPr>
          <m:t>+</m:t>
        </m:r>
        <m:nary>
          <m:naryPr>
            <m:chr m:val="∑"/>
            <m:limLoc m:val="undOvr"/>
            <m:ctrlPr>
              <w:rPr>
                <w:rFonts w:ascii="Cambria Math" w:hAnsi="Cambria Math"/>
                <w:i/>
                <w:color w:val="000000" w:themeColor="text1"/>
                <w:lang w:val="en-US" w:eastAsia="en-US"/>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sub>
                <m:r>
                  <w:rPr>
                    <w:rFonts w:ascii="Cambria Math" w:hAnsi="Cambria Math"/>
                    <w:color w:val="000000" w:themeColor="text1"/>
                  </w:rPr>
                  <m:t>n</m:t>
                </m:r>
              </m:sub>
            </m:sSub>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x</m:t>
                </m:r>
              </m:sub>
              <m:sup>
                <m:r>
                  <w:rPr>
                    <w:rFonts w:ascii="Cambria Math" w:hAnsi="Cambria Math"/>
                    <w:color w:val="000000" w:themeColor="text1"/>
                  </w:rPr>
                  <m:t>i</m:t>
                </m:r>
              </m:sup>
            </m:sSubSup>
          </m:e>
        </m:nary>
        <m:r>
          <w:rPr>
            <w:rFonts w:ascii="Cambria Math" w:hAnsi="Cambria Math"/>
            <w:color w:val="000000" w:themeColor="text1"/>
          </w:rPr>
          <m:t>=</m:t>
        </m:r>
        <m:sSub>
          <m:sSubPr>
            <m:ctrlPr>
              <w:rPr>
                <w:rFonts w:ascii="Cambria Math" w:hAnsi="Cambria Math"/>
                <w:i/>
                <w:color w:val="000000" w:themeColor="text1"/>
              </w:rPr>
            </m:ctrlPr>
          </m:sSubPr>
          <m:e/>
          <m:sub>
            <m:r>
              <w:rPr>
                <w:rFonts w:ascii="Cambria Math" w:hAnsi="Cambria Math"/>
                <w:color w:val="000000" w:themeColor="text1"/>
              </w:rPr>
              <m:t>n</m:t>
            </m:r>
          </m:sub>
        </m:sSub>
        <m:sSubSup>
          <m:sSubSupPr>
            <m:ctrlPr>
              <w:rPr>
                <w:rFonts w:ascii="Cambria Math" w:hAnsi="Cambria Math"/>
                <w:i/>
                <w:color w:val="000000" w:themeColor="text1"/>
              </w:rPr>
            </m:ctrlPr>
          </m:sSubSupPr>
          <m:e>
            <m:r>
              <w:rPr>
                <w:rFonts w:ascii="Cambria Math" w:hAnsi="Cambria Math"/>
                <w:color w:val="000000" w:themeColor="text1"/>
              </w:rPr>
              <m:t>D</m:t>
            </m:r>
          </m:e>
          <m:sub>
            <m:r>
              <w:rPr>
                <w:rFonts w:ascii="Cambria Math" w:hAnsi="Cambria Math"/>
                <w:color w:val="000000" w:themeColor="text1"/>
              </w:rPr>
              <m:t>x</m:t>
            </m:r>
          </m:sub>
          <m:sup>
            <m:r>
              <w:rPr>
                <w:rFonts w:ascii="Cambria Math" w:hAnsi="Cambria Math"/>
                <w:color w:val="000000" w:themeColor="text1"/>
              </w:rPr>
              <m:t>T</m:t>
            </m:r>
          </m:sup>
        </m:sSubSup>
      </m:oMath>
      <w:r w:rsidR="003E5D86">
        <w:rPr>
          <w:color w:val="000000" w:themeColor="text1"/>
        </w:rPr>
        <w:t xml:space="preserve"> and </w:t>
      </w:r>
      <m:oMath>
        <m:sSub>
          <m:sSubPr>
            <m:ctrlPr>
              <w:rPr>
                <w:rFonts w:ascii="Cambria Math" w:hAnsi="Cambria Math"/>
                <w:i/>
                <w:color w:val="000000" w:themeColor="text1"/>
              </w:rPr>
            </m:ctrlPr>
          </m:sSubPr>
          <m:e/>
          <m:sub>
            <m:r>
              <w:rPr>
                <w:rFonts w:ascii="Cambria Math" w:hAnsi="Cambria Math"/>
                <w:color w:val="000000" w:themeColor="text1"/>
              </w:rPr>
              <m:t>n</m:t>
            </m:r>
          </m:sub>
        </m:sSub>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B</m:t>
            </m:r>
          </m:sup>
        </m:sSubSup>
        <m:r>
          <w:rPr>
            <w:rFonts w:ascii="Cambria Math" w:hAnsi="Cambria Math"/>
            <w:color w:val="000000" w:themeColor="text1"/>
          </w:rPr>
          <m:t>+</m:t>
        </m:r>
        <m:nary>
          <m:naryPr>
            <m:chr m:val="∑"/>
            <m:limLoc m:val="undOvr"/>
            <m:ctrlPr>
              <w:rPr>
                <w:rFonts w:ascii="Cambria Math" w:hAnsi="Cambria Math"/>
                <w:i/>
                <w:color w:val="000000" w:themeColor="text1"/>
                <w:lang w:val="en-US" w:eastAsia="en-US"/>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sub>
                <m:r>
                  <w:rPr>
                    <w:rFonts w:ascii="Cambria Math" w:hAnsi="Cambria Math"/>
                    <w:color w:val="000000" w:themeColor="text1"/>
                  </w:rPr>
                  <m:t>n</m:t>
                </m:r>
              </m:sub>
            </m:sSub>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i</m:t>
                </m:r>
              </m:sup>
            </m:sSubSup>
          </m:e>
        </m:nary>
        <m:r>
          <w:rPr>
            <w:rFonts w:ascii="Cambria Math" w:hAnsi="Cambria Math"/>
            <w:color w:val="000000" w:themeColor="text1"/>
          </w:rPr>
          <m:t>=</m:t>
        </m:r>
        <m:sSub>
          <m:sSubPr>
            <m:ctrlPr>
              <w:rPr>
                <w:rFonts w:ascii="Cambria Math" w:hAnsi="Cambria Math"/>
                <w:i/>
                <w:color w:val="000000" w:themeColor="text1"/>
              </w:rPr>
            </m:ctrlPr>
          </m:sSubPr>
          <m:e/>
          <m:sub>
            <m:r>
              <w:rPr>
                <w:rFonts w:ascii="Cambria Math" w:hAnsi="Cambria Math"/>
                <w:color w:val="000000" w:themeColor="text1"/>
              </w:rPr>
              <m:t>n</m:t>
            </m:r>
          </m:sub>
        </m:sSub>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T</m:t>
            </m:r>
          </m:sup>
        </m:sSubSup>
      </m:oMath>
      <w:r w:rsidRPr="008646FD">
        <w:rPr>
          <w:color w:val="000000" w:themeColor="text1"/>
        </w:rPr>
        <w:t xml:space="preserve">, </w:t>
      </w:r>
      <w:r>
        <w:rPr>
          <w:color w:val="000000" w:themeColor="text1"/>
        </w:rPr>
        <w:t xml:space="preserve">how can we compute the contribution of subgroups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w:t>
      </w:r>
      <w:r w:rsidR="003E5D86">
        <w:rPr>
          <w:color w:val="000000" w:themeColor="text1"/>
        </w:rPr>
        <w:t>the difference between the life table functions of the baseline population</w:t>
      </w:r>
      <w:r>
        <w:rPr>
          <w:color w:val="000000" w:themeColor="text1"/>
        </w:rPr>
        <w:t xml:space="preserve">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B</m:t>
            </m:r>
          </m:sup>
        </m:sSubSup>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B</m:t>
            </m:r>
          </m:sup>
        </m:sSubSup>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x</m:t>
            </m:r>
          </m:sub>
          <m:sup>
            <m:r>
              <w:rPr>
                <w:rFonts w:ascii="Cambria Math" w:hAnsi="Cambria Math"/>
                <w:color w:val="000000" w:themeColor="text1"/>
              </w:rPr>
              <m:t>B</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x</m:t>
            </m:r>
          </m:sub>
          <m:sup>
            <m:r>
              <w:rPr>
                <w:rFonts w:ascii="Cambria Math" w:hAnsi="Cambria Math"/>
                <w:color w:val="000000" w:themeColor="text1"/>
              </w:rPr>
              <m:t>B</m:t>
            </m:r>
          </m:sup>
        </m:sSubSup>
      </m:oMath>
      <w:r>
        <w:rPr>
          <w:color w:val="000000" w:themeColor="text1"/>
        </w:rPr>
        <w:t xml:space="preserve">) </w:t>
      </w:r>
      <w:r w:rsidR="003E5D86">
        <w:rPr>
          <w:color w:val="000000" w:themeColor="text1"/>
        </w:rPr>
        <w:t xml:space="preserve">and those of the total population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T</m:t>
            </m:r>
          </m:sup>
        </m:sSubSup>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Sup>
          <m:sSubSupPr>
            <m:ctrlPr>
              <w:rPr>
                <w:rFonts w:ascii="Cambria Math" w:hAnsi="Cambria Math"/>
                <w:i/>
                <w:color w:val="000000" w:themeColor="text1"/>
              </w:rPr>
            </m:ctrlPr>
          </m:sSubSupPr>
          <m:e>
            <m:r>
              <w:rPr>
                <w:rFonts w:ascii="Cambria Math" w:hAnsi="Cambria Math"/>
                <w:color w:val="000000" w:themeColor="text1"/>
              </w:rPr>
              <m:t>L</m:t>
            </m:r>
          </m:e>
          <m:sub>
            <m:r>
              <w:rPr>
                <w:rFonts w:ascii="Cambria Math" w:hAnsi="Cambria Math"/>
                <w:color w:val="000000" w:themeColor="text1"/>
              </w:rPr>
              <m:t>x</m:t>
            </m:r>
          </m:sub>
          <m:sup>
            <m:r>
              <w:rPr>
                <w:rFonts w:ascii="Cambria Math" w:hAnsi="Cambria Math"/>
                <w:color w:val="000000" w:themeColor="text1"/>
              </w:rPr>
              <m:t>T</m:t>
            </m:r>
          </m:sup>
        </m:sSubSup>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x</m:t>
            </m:r>
          </m:sub>
          <m:sup>
            <m:r>
              <w:rPr>
                <w:rFonts w:ascii="Cambria Math" w:hAnsi="Cambria Math"/>
                <w:color w:val="000000" w:themeColor="text1"/>
              </w:rPr>
              <m:t>T</m:t>
            </m:r>
          </m:sup>
        </m:sSubSup>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x</m:t>
            </m:r>
          </m:sub>
          <m:sup>
            <m:r>
              <w:rPr>
                <w:rFonts w:ascii="Cambria Math" w:hAnsi="Cambria Math"/>
                <w:color w:val="000000" w:themeColor="text1"/>
              </w:rPr>
              <m:t>T</m:t>
            </m:r>
          </m:sup>
        </m:sSubSup>
      </m:oMath>
      <w:r w:rsidR="003E5D86">
        <w:rPr>
          <w:color w:val="000000" w:themeColor="text1"/>
        </w:rPr>
        <w:t>)</w:t>
      </w:r>
      <w:r>
        <w:rPr>
          <w:color w:val="000000" w:themeColor="text1"/>
        </w:rPr>
        <w:t>? This paper proposes a decomposition method to answer this question and proves some of its properties. It then illustrates one practical application of the proposed decomposition.</w:t>
      </w:r>
    </w:p>
    <w:p w14:paraId="7E14856E" w14:textId="77777777" w:rsidR="002B434D" w:rsidRDefault="002B434D" w:rsidP="008215CA">
      <w:pPr>
        <w:spacing w:line="480" w:lineRule="auto"/>
        <w:rPr>
          <w:color w:val="000000" w:themeColor="text1"/>
        </w:rPr>
      </w:pPr>
    </w:p>
    <w:p w14:paraId="73DD53D8" w14:textId="250A7FDF" w:rsidR="002B434D" w:rsidRPr="002B434D" w:rsidRDefault="002B434D" w:rsidP="002B434D">
      <w:pPr>
        <w:spacing w:line="480" w:lineRule="auto"/>
        <w:rPr>
          <w:color w:val="000000" w:themeColor="text1"/>
          <w:lang w:eastAsia="en-US"/>
        </w:rPr>
      </w:pPr>
      <w:r>
        <w:rPr>
          <w:color w:val="000000" w:themeColor="text1"/>
        </w:rPr>
        <w:t xml:space="preserve">We can define the problem formall as follows. </w:t>
      </w:r>
      <w:r w:rsidRPr="002B434D">
        <w:rPr>
          <w:color w:val="000000" w:themeColor="text1"/>
          <w:lang w:eastAsia="en-US"/>
        </w:rPr>
        <w:t>Given a population (</w:t>
      </w:r>
      <m:oMath>
        <m:r>
          <w:rPr>
            <w:rFonts w:ascii="Cambria Math" w:hAnsi="Cambria Math"/>
            <w:color w:val="000000" w:themeColor="text1"/>
            <w:lang w:eastAsia="en-US"/>
          </w:rPr>
          <m:t>T</m:t>
        </m:r>
      </m:oMath>
      <w:r w:rsidRPr="002B434D">
        <w:rPr>
          <w:color w:val="000000" w:themeColor="text1"/>
          <w:lang w:eastAsia="en-US"/>
        </w:rPr>
        <w:t>)</w:t>
      </w:r>
      <w:r>
        <w:rPr>
          <w:color w:val="000000" w:themeColor="text1"/>
          <w:lang w:eastAsia="en-US"/>
        </w:rPr>
        <w:t xml:space="preserve">, </w:t>
      </w:r>
      <w:r w:rsidRPr="002B434D">
        <w:rPr>
          <w:color w:val="000000" w:themeColor="text1"/>
          <w:lang w:eastAsia="en-US"/>
        </w:rPr>
        <w:t>a baseline population (</w:t>
      </w:r>
      <w:r w:rsidRPr="002B434D">
        <w:rPr>
          <w:rFonts w:ascii="Cambria Math" w:hAnsi="Cambria Math" w:cs="Cambria Math"/>
          <w:color w:val="000000" w:themeColor="text1"/>
          <w:lang w:eastAsia="en-US"/>
        </w:rPr>
        <w:t>𝐵</w:t>
      </w:r>
      <w:r>
        <w:rPr>
          <w:color w:val="000000" w:themeColor="text1"/>
          <w:lang w:eastAsia="en-US"/>
        </w:rPr>
        <w:t xml:space="preserve">), and </w:t>
      </w:r>
      <w:r w:rsidRPr="002B434D">
        <w:rPr>
          <w:color w:val="000000" w:themeColor="text1"/>
          <w:lang w:eastAsia="en-US"/>
        </w:rPr>
        <w:t>a partition of the population</w:t>
      </w:r>
      <w:r>
        <w:rPr>
          <w:color w:val="000000" w:themeColor="text1"/>
          <w:lang w:eastAsia="en-US"/>
        </w:rPr>
        <w:t xml:space="preserve"> excluding </w:t>
      </w:r>
      <m:oMath>
        <m:r>
          <w:rPr>
            <w:rFonts w:ascii="Cambria Math" w:hAnsi="Cambria Math"/>
            <w:color w:val="000000" w:themeColor="text1"/>
            <w:lang w:eastAsia="en-US"/>
          </w:rPr>
          <m:t>B</m:t>
        </m:r>
      </m:oMath>
      <w:r w:rsidRPr="002B434D">
        <w:rPr>
          <w:color w:val="000000" w:themeColor="text1"/>
          <w:lang w:eastAsia="en-US"/>
        </w:rPr>
        <w:t xml:space="preserve"> into mutually exclusive subgroups (</w:t>
      </w:r>
      <w:r w:rsidRPr="002B434D">
        <w:rPr>
          <w:rFonts w:ascii="Cambria Math" w:hAnsi="Cambria Math" w:cs="Cambria Math"/>
          <w:color w:val="000000" w:themeColor="text1"/>
          <w:lang w:eastAsia="en-US"/>
        </w:rPr>
        <w:t>𝐺</w:t>
      </w:r>
      <w:r w:rsidRPr="002B434D">
        <w:rPr>
          <w:color w:val="000000" w:themeColor="text1"/>
          <w:vertAlign w:val="subscript"/>
          <w:lang w:eastAsia="en-US"/>
        </w:rPr>
        <w:t>1</w:t>
      </w:r>
      <w:r w:rsidRPr="002B434D">
        <w:rPr>
          <w:color w:val="000000" w:themeColor="text1"/>
          <w:lang w:eastAsia="en-US"/>
        </w:rPr>
        <w:t>,</w:t>
      </w:r>
      <w:r w:rsidRPr="002B434D">
        <w:rPr>
          <w:rFonts w:ascii="Cambria Math" w:hAnsi="Cambria Math" w:cs="Cambria Math"/>
          <w:color w:val="000000" w:themeColor="text1"/>
          <w:lang w:eastAsia="en-US"/>
        </w:rPr>
        <w:t>𝐺</w:t>
      </w:r>
      <w:r w:rsidRPr="002B434D">
        <w:rPr>
          <w:color w:val="000000" w:themeColor="text1"/>
          <w:vertAlign w:val="subscript"/>
          <w:lang w:eastAsia="en-US"/>
        </w:rPr>
        <w:t>2</w:t>
      </w:r>
      <w:r w:rsidRPr="002B434D">
        <w:rPr>
          <w:color w:val="000000" w:themeColor="text1"/>
          <w:lang w:eastAsia="en-US"/>
        </w:rPr>
        <w:t>,…,</w:t>
      </w:r>
      <w:r w:rsidRPr="002B434D">
        <w:rPr>
          <w:rFonts w:ascii="Cambria Math" w:hAnsi="Cambria Math" w:cs="Cambria Math"/>
          <w:color w:val="000000" w:themeColor="text1"/>
          <w:lang w:eastAsia="en-US"/>
        </w:rPr>
        <w:t>𝐺</w:t>
      </w:r>
      <w:r w:rsidRPr="002B434D">
        <w:rPr>
          <w:color w:val="000000" w:themeColor="text1"/>
          <w:vertAlign w:val="subscript"/>
          <w:lang w:eastAsia="en-US"/>
        </w:rPr>
        <w:t>N</w:t>
      </w:r>
      <w:r w:rsidRPr="002B434D">
        <w:rPr>
          <w:color w:val="000000" w:themeColor="text1"/>
          <w:lang w:eastAsia="en-US"/>
        </w:rPr>
        <w:t>) ,</w:t>
      </w:r>
      <w:r>
        <w:rPr>
          <w:color w:val="000000" w:themeColor="text1"/>
          <w:lang w:eastAsia="en-US"/>
        </w:rPr>
        <w:t xml:space="preserve"> we want to find group-specific terms </w:t>
      </w:r>
      <m:oMath>
        <m:sSup>
          <m:sSupPr>
            <m:ctrlPr>
              <w:rPr>
                <w:rFonts w:ascii="Cambria Math" w:hAnsi="Cambria Math"/>
                <w:i/>
                <w:iCs/>
                <w:color w:val="000000" w:themeColor="text1"/>
                <w:lang w:eastAsia="en-US"/>
              </w:rPr>
            </m:ctrlPr>
          </m:sSupPr>
          <m:e>
            <m:r>
              <w:rPr>
                <w:rFonts w:ascii="Cambria Math" w:hAnsi="Cambria Math"/>
                <w:color w:val="000000" w:themeColor="text1"/>
                <w:lang w:eastAsia="en-US"/>
              </w:rPr>
              <m:t>C</m:t>
            </m:r>
          </m:e>
          <m:sup>
            <m:r>
              <w:rPr>
                <w:rFonts w:ascii="Cambria Math" w:hAnsi="Cambria Math"/>
                <w:color w:val="000000" w:themeColor="text1"/>
                <w:lang w:eastAsia="en-US"/>
              </w:rPr>
              <m:t>n</m:t>
            </m:r>
          </m:sup>
        </m:sSup>
        <m:r>
          <w:rPr>
            <w:rFonts w:ascii="Cambria Math" w:hAnsi="Cambria Math"/>
            <w:color w:val="000000" w:themeColor="text1"/>
            <w:lang w:eastAsia="en-US"/>
          </w:rPr>
          <m:t> </m:t>
        </m:r>
      </m:oMath>
      <w:r>
        <w:rPr>
          <w:iCs/>
          <w:color w:val="000000" w:themeColor="text1"/>
          <w:lang w:eastAsia="en-US"/>
        </w:rPr>
        <w:t>that satisfy the following equation:</w:t>
      </w:r>
    </w:p>
    <w:p w14:paraId="349B54B6" w14:textId="17C096E6" w:rsidR="002B434D" w:rsidRDefault="002B434D" w:rsidP="002B434D">
      <w:pPr>
        <w:spacing w:line="480" w:lineRule="auto"/>
        <w:rPr>
          <w:color w:val="000000" w:themeColor="text1"/>
        </w:rPr>
      </w:pPr>
      <m:oMathPara>
        <m:oMath>
          <m:sSup>
            <m:sSupPr>
              <m:ctrlPr>
                <w:rPr>
                  <w:rFonts w:ascii="Cambria Math" w:hAnsi="Cambria Math"/>
                  <w:i/>
                  <w:iCs/>
                  <w:color w:val="000000" w:themeColor="text1"/>
                  <w:lang w:eastAsia="en-US"/>
                </w:rPr>
              </m:ctrlPr>
            </m:sSupPr>
            <m:e>
              <m:r>
                <w:rPr>
                  <w:rFonts w:ascii="Cambria Math" w:hAnsi="Cambria Math"/>
                  <w:color w:val="000000" w:themeColor="text1"/>
                  <w:lang w:eastAsia="en-US"/>
                </w:rPr>
                <m:t>C</m:t>
              </m:r>
            </m:e>
            <m:sup>
              <m:r>
                <w:rPr>
                  <w:rFonts w:ascii="Cambria Math" w:hAnsi="Cambria Math"/>
                  <w:color w:val="000000" w:themeColor="text1"/>
                  <w:lang w:eastAsia="en-US"/>
                </w:rPr>
                <m:t>n</m:t>
              </m:r>
            </m:sup>
          </m:sSup>
          <m:r>
            <w:rPr>
              <w:rFonts w:ascii="Cambria Math" w:hAnsi="Cambria Math"/>
              <w:color w:val="000000" w:themeColor="text1"/>
              <w:lang w:eastAsia="en-US"/>
            </w:rPr>
            <m:t> </m:t>
          </m:r>
          <m:d>
            <m:dPr>
              <m:ctrlPr>
                <w:rPr>
                  <w:rFonts w:ascii="Cambria Math" w:hAnsi="Cambria Math"/>
                  <w:i/>
                  <w:iCs/>
                  <w:color w:val="000000" w:themeColor="text1"/>
                  <w:lang w:eastAsia="en-US"/>
                </w:rPr>
              </m:ctrlPr>
            </m:dPr>
            <m:e>
              <m:r>
                <w:rPr>
                  <w:rFonts w:ascii="Cambria Math" w:hAnsi="Cambria Math"/>
                  <w:color w:val="000000" w:themeColor="text1"/>
                  <w:lang w:eastAsia="en-US"/>
                </w:rPr>
                <m:t>n=1, 2, …, N</m:t>
              </m:r>
            </m:e>
          </m:d>
          <m:r>
            <w:rPr>
              <w:rFonts w:ascii="Cambria Math" w:hAnsi="Cambria Math"/>
              <w:color w:val="000000" w:themeColor="text1"/>
              <w:lang w:eastAsia="en-US"/>
            </w:rPr>
            <m:t>    s.t.        </m:t>
          </m:r>
          <m:nary>
            <m:naryPr>
              <m:chr m:val="∑"/>
              <m:ctrlPr>
                <w:rPr>
                  <w:rFonts w:ascii="Cambria Math" w:hAnsi="Cambria Math"/>
                  <w:i/>
                  <w:iCs/>
                  <w:color w:val="000000" w:themeColor="text1"/>
                  <w:lang w:eastAsia="en-US"/>
                </w:rPr>
              </m:ctrlPr>
            </m:naryPr>
            <m:sub>
              <m:r>
                <w:rPr>
                  <w:rFonts w:ascii="Cambria Math" w:hAnsi="Cambria Math"/>
                  <w:color w:val="000000" w:themeColor="text1"/>
                  <w:lang w:eastAsia="en-US"/>
                </w:rPr>
                <m:t>n=1</m:t>
              </m:r>
            </m:sub>
            <m:sup>
              <m:r>
                <w:rPr>
                  <w:rFonts w:ascii="Cambria Math" w:hAnsi="Cambria Math"/>
                  <w:color w:val="000000" w:themeColor="text1"/>
                  <w:lang w:eastAsia="en-US"/>
                </w:rPr>
                <m:t>N</m:t>
              </m:r>
            </m:sup>
            <m:e>
              <m:sSup>
                <m:sSupPr>
                  <m:ctrlPr>
                    <w:rPr>
                      <w:rFonts w:ascii="Cambria Math" w:hAnsi="Cambria Math"/>
                      <w:i/>
                      <w:iCs/>
                      <w:color w:val="000000" w:themeColor="text1"/>
                      <w:lang w:eastAsia="en-US"/>
                    </w:rPr>
                  </m:ctrlPr>
                </m:sSupPr>
                <m:e>
                  <m:r>
                    <w:rPr>
                      <w:rFonts w:ascii="Cambria Math" w:hAnsi="Cambria Math"/>
                      <w:color w:val="000000" w:themeColor="text1"/>
                      <w:lang w:eastAsia="en-US"/>
                    </w:rPr>
                    <m:t>C</m:t>
                  </m:r>
                </m:e>
                <m:sup>
                  <m:r>
                    <w:rPr>
                      <w:rFonts w:ascii="Cambria Math" w:hAnsi="Cambria Math"/>
                      <w:color w:val="000000" w:themeColor="text1"/>
                      <w:lang w:eastAsia="en-US"/>
                    </w:rPr>
                    <m:t>n</m:t>
                  </m:r>
                </m:sup>
              </m:sSup>
              <m:r>
                <w:rPr>
                  <w:rFonts w:ascii="Cambria Math" w:hAnsi="Cambria Math"/>
                  <w:color w:val="000000" w:themeColor="text1"/>
                  <w:lang w:eastAsia="en-US"/>
                </w:rPr>
                <m:t>=l</m:t>
              </m:r>
              <m:d>
                <m:dPr>
                  <m:ctrlPr>
                    <w:rPr>
                      <w:rFonts w:ascii="Cambria Math" w:hAnsi="Cambria Math"/>
                      <w:i/>
                      <w:iCs/>
                      <w:color w:val="000000" w:themeColor="text1"/>
                      <w:lang w:eastAsia="en-US"/>
                    </w:rPr>
                  </m:ctrlPr>
                </m:dPr>
                <m:e>
                  <m:r>
                    <w:rPr>
                      <w:rFonts w:ascii="Cambria Math" w:hAnsi="Cambria Math"/>
                      <w:color w:val="000000" w:themeColor="text1"/>
                      <w:lang w:eastAsia="en-US"/>
                    </w:rPr>
                    <m:t>T</m:t>
                  </m:r>
                </m:e>
              </m:d>
              <m:r>
                <w:rPr>
                  <w:rFonts w:ascii="Cambria Math" w:hAnsi="Cambria Math"/>
                  <w:color w:val="000000" w:themeColor="text1"/>
                  <w:lang w:eastAsia="en-US"/>
                </w:rPr>
                <m:t>-l(B)</m:t>
              </m:r>
            </m:e>
          </m:nary>
        </m:oMath>
      </m:oMathPara>
    </w:p>
    <w:p w14:paraId="1F107CCC" w14:textId="17A7FF2E" w:rsidR="002B434D" w:rsidRDefault="002B434D" w:rsidP="008215CA">
      <w:pPr>
        <w:spacing w:line="480" w:lineRule="auto"/>
        <w:rPr>
          <w:color w:val="000000" w:themeColor="text1"/>
        </w:rPr>
      </w:pPr>
      <w:r>
        <w:rPr>
          <w:color w:val="000000" w:themeColor="text1"/>
        </w:rPr>
        <w:t xml:space="preserve">Where </w:t>
      </w:r>
      <m:oMath>
        <m:r>
          <w:rPr>
            <w:rFonts w:ascii="Cambria Math" w:hAnsi="Cambria Math"/>
            <w:color w:val="000000" w:themeColor="text1"/>
          </w:rPr>
          <m:t>l(⋅)</m:t>
        </m:r>
      </m:oMath>
      <w:r>
        <w:rPr>
          <w:color w:val="000000" w:themeColor="text1"/>
        </w:rPr>
        <w:t xml:space="preserve"> is a generic life table function which, as we will see, can be left unspecified</w:t>
      </w:r>
      <w:r w:rsidR="00A4655A">
        <w:rPr>
          <w:color w:val="000000" w:themeColor="text1"/>
        </w:rPr>
        <w:t>.</w:t>
      </w:r>
    </w:p>
    <w:p w14:paraId="6C4160C8" w14:textId="77777777" w:rsidR="008215CA" w:rsidRDefault="008215CA" w:rsidP="00856A10">
      <w:pPr>
        <w:spacing w:line="480" w:lineRule="auto"/>
        <w:rPr>
          <w:color w:val="000000" w:themeColor="text1"/>
        </w:rPr>
      </w:pPr>
    </w:p>
    <w:p w14:paraId="64C1E80A" w14:textId="1EF007B4" w:rsidR="000848D6" w:rsidRPr="000848D6" w:rsidRDefault="000848D6" w:rsidP="00856A10">
      <w:pPr>
        <w:spacing w:line="480" w:lineRule="auto"/>
        <w:rPr>
          <w:b/>
          <w:bCs/>
          <w:color w:val="000000" w:themeColor="text1"/>
        </w:rPr>
      </w:pPr>
      <w:r w:rsidRPr="000848D6">
        <w:rPr>
          <w:b/>
          <w:bCs/>
          <w:color w:val="000000" w:themeColor="text1"/>
        </w:rPr>
        <w:t xml:space="preserve">A Decomposition for </w:t>
      </w:r>
      <m:oMath>
        <m:r>
          <m:rPr>
            <m:sty m:val="bi"/>
          </m:rPr>
          <w:rPr>
            <w:rFonts w:ascii="Cambria Math" w:hAnsi="Cambria Math"/>
            <w:color w:val="000000" w:themeColor="text1"/>
          </w:rPr>
          <m:t>N=2</m:t>
        </m:r>
      </m:oMath>
    </w:p>
    <w:p w14:paraId="27E578D9" w14:textId="7878158F" w:rsidR="00307B50" w:rsidRDefault="00307B50" w:rsidP="00856A10">
      <w:pPr>
        <w:spacing w:line="480" w:lineRule="auto"/>
        <w:rPr>
          <w:color w:val="000000" w:themeColor="text1"/>
        </w:rPr>
      </w:pPr>
      <w:r>
        <w:rPr>
          <w:color w:val="000000" w:themeColor="text1"/>
        </w:rPr>
        <w:t>Let us consider a population</w:t>
      </w:r>
      <w:r w:rsidR="000848D6">
        <w:rPr>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T</m:t>
            </m:r>
          </m:e>
        </m:d>
      </m:oMath>
      <w:r>
        <w:rPr>
          <w:color w:val="000000" w:themeColor="text1"/>
        </w:rPr>
        <w:t xml:space="preserve"> that is composed of </w:t>
      </w:r>
      <w:r w:rsidR="000848D6">
        <w:rPr>
          <w:color w:val="000000" w:themeColor="text1"/>
        </w:rPr>
        <w:t xml:space="preserve">a baseline population </w:t>
      </w:r>
      <m:oMath>
        <m:r>
          <w:rPr>
            <w:rFonts w:ascii="Cambria Math" w:hAnsi="Cambria Math"/>
            <w:color w:val="000000" w:themeColor="text1"/>
          </w:rPr>
          <m:t>(B)</m:t>
        </m:r>
      </m:oMath>
      <w:r w:rsidR="000848D6">
        <w:rPr>
          <w:color w:val="000000" w:themeColor="text1"/>
        </w:rPr>
        <w:t xml:space="preserve"> and two mutually exclusive contributing 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0848D6">
        <w:rPr>
          <w:color w:val="000000" w:themeColor="text1"/>
        </w:rPr>
        <w:t>.</w:t>
      </w:r>
      <w:r w:rsidR="003575FF">
        <w:rPr>
          <w:color w:val="000000" w:themeColor="text1"/>
        </w:rPr>
        <w:t xml:space="preserve"> Let us also denote the population combining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as </w:t>
      </w:r>
      <m:oMath>
        <m:r>
          <w:rPr>
            <w:rFonts w:ascii="Cambria Math" w:hAnsi="Cambria Math"/>
            <w:color w:val="000000" w:themeColor="text1"/>
          </w:rPr>
          <m:t>G</m:t>
        </m:r>
      </m:oMath>
      <w:r w:rsidR="003575FF">
        <w:rPr>
          <w:color w:val="000000" w:themeColor="text1"/>
        </w:rPr>
        <w:t>. Finally, l</w:t>
      </w:r>
      <w:r w:rsidR="000848D6">
        <w:rPr>
          <w:color w:val="000000" w:themeColor="text1"/>
        </w:rPr>
        <w:t xml:space="preserve">et us be as general as we can and leave the </w:t>
      </w:r>
      <w:r w:rsidR="00904D00">
        <w:rPr>
          <w:color w:val="000000" w:themeColor="text1"/>
        </w:rPr>
        <w:t>life table</w:t>
      </w:r>
      <w:r w:rsidR="000848D6">
        <w:rPr>
          <w:color w:val="000000" w:themeColor="text1"/>
        </w:rPr>
        <w:t xml:space="preserve"> function of interest unspecified. </w:t>
      </w:r>
      <w:r w:rsidR="00825959">
        <w:rPr>
          <w:color w:val="000000" w:themeColor="text1"/>
        </w:rPr>
        <w:t>As in other</w:t>
      </w:r>
      <w:r w:rsidR="005636BE">
        <w:rPr>
          <w:color w:val="000000" w:themeColor="text1"/>
        </w:rPr>
        <w:t xml:space="preserve"> general decomposition </w:t>
      </w:r>
      <w:r w:rsidR="00825959">
        <w:rPr>
          <w:color w:val="000000" w:themeColor="text1"/>
        </w:rPr>
        <w:t xml:space="preserve">techniques, we will see that computationally all that matters is that we can write the </w:t>
      </w:r>
      <w:r w:rsidR="00904D00">
        <w:rPr>
          <w:color w:val="000000" w:themeColor="text1"/>
        </w:rPr>
        <w:t>life table</w:t>
      </w:r>
      <w:r w:rsidR="00825959">
        <w:rPr>
          <w:color w:val="000000" w:themeColor="text1"/>
        </w:rPr>
        <w:t xml:space="preserve"> measure as a function of a single input vector storing exposures and deaths counts</w:t>
      </w:r>
      <w:r w:rsidR="005636BE">
        <w:rPr>
          <w:color w:val="000000" w:themeColor="text1"/>
        </w:rPr>
        <w:t xml:space="preserve"> </w:t>
      </w:r>
      <w:r w:rsidR="005636BE">
        <w:rPr>
          <w:color w:val="000000" w:themeColor="text1"/>
        </w:rPr>
        <w:fldChar w:fldCharType="begin"/>
      </w:r>
      <w:r w:rsidR="002A3578">
        <w:rPr>
          <w:color w:val="000000" w:themeColor="text1"/>
        </w:rPr>
        <w:instrText xml:space="preserve"> ADDIN ZOTERO_ITEM CSL_CITATION {"citationID":"yVMQFBHG","properties":{"formattedCitation":"(Andreev et al. 2002; Caswell 1989; Horiuchi et al. 2008)","plainCitation":"(Andreev et al. 2002; Caswell 1989; Horiuchi et al. 2008)","noteIndex":0},"citationItems":[{"id":"sDgxjefO/OC9lgK67","uris":["http://zotero.org/users/8250957/items/DSEQELWC"],"itemData":{"id":"cHiZulFV/2MDtPPay","type":"article-journal","abstract":"A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5636BE">
        <w:rPr>
          <w:color w:val="000000" w:themeColor="text1"/>
        </w:rPr>
        <w:fldChar w:fldCharType="separate"/>
      </w:r>
      <w:r w:rsidR="00E95306">
        <w:rPr>
          <w:noProof/>
          <w:color w:val="000000" w:themeColor="text1"/>
        </w:rPr>
        <w:t>(Andreev et al. 2002; Caswell 1989; Horiuchi et al. 2008)</w:t>
      </w:r>
      <w:r w:rsidR="005636BE">
        <w:rPr>
          <w:color w:val="000000" w:themeColor="text1"/>
        </w:rPr>
        <w:fldChar w:fldCharType="end"/>
      </w:r>
      <w:r w:rsidR="005636BE">
        <w:rPr>
          <w:color w:val="000000" w:themeColor="text1"/>
        </w:rPr>
        <w:t xml:space="preserve">. </w:t>
      </w:r>
      <w:r w:rsidR="000848D6">
        <w:rPr>
          <w:color w:val="000000" w:themeColor="text1"/>
        </w:rPr>
        <w:t xml:space="preserve">We will denote with </w:t>
      </w:r>
      <m:oMath>
        <m:r>
          <w:rPr>
            <w:rFonts w:ascii="Cambria Math" w:hAnsi="Cambria Math"/>
            <w:color w:val="000000" w:themeColor="text1"/>
          </w:rPr>
          <m:t>l(A)</m:t>
        </m:r>
      </m:oMath>
      <w:r w:rsidR="000848D6">
        <w:rPr>
          <w:color w:val="000000" w:themeColor="text1"/>
        </w:rPr>
        <w:t xml:space="preserve"> the </w:t>
      </w:r>
      <w:r w:rsidR="00904D00">
        <w:rPr>
          <w:color w:val="000000" w:themeColor="text1"/>
        </w:rPr>
        <w:t>life table</w:t>
      </w:r>
      <w:r w:rsidR="000848D6">
        <w:rPr>
          <w:color w:val="000000" w:themeColor="text1"/>
        </w:rPr>
        <w:t xml:space="preserve"> function for population </w:t>
      </w:r>
      <m:oMath>
        <m:r>
          <w:rPr>
            <w:rFonts w:ascii="Cambria Math" w:hAnsi="Cambria Math"/>
            <w:color w:val="000000" w:themeColor="text1"/>
          </w:rPr>
          <m:t>A</m:t>
        </m:r>
      </m:oMath>
      <w:r w:rsidR="000848D6">
        <w:rPr>
          <w:color w:val="000000" w:themeColor="text1"/>
        </w:rPr>
        <w:t xml:space="preserve">. </w:t>
      </w:r>
      <w:r w:rsidR="00904D00">
        <w:rPr>
          <w:color w:val="000000" w:themeColor="text1"/>
        </w:rPr>
        <w:t>To be precise, the</w:t>
      </w:r>
      <w:r w:rsidR="00006D43">
        <w:rPr>
          <w:color w:val="000000" w:themeColor="text1"/>
        </w:rPr>
        <w:t xml:space="preserve"> generic</w:t>
      </w:r>
      <w:r w:rsidR="00904D00">
        <w:rPr>
          <w:color w:val="000000" w:themeColor="text1"/>
        </w:rPr>
        <w:t xml:space="preserve"> </w:t>
      </w:r>
      <m:oMath>
        <m:r>
          <w:rPr>
            <w:rFonts w:ascii="Cambria Math" w:hAnsi="Cambria Math"/>
            <w:color w:val="000000" w:themeColor="text1"/>
          </w:rPr>
          <m:t>l(⋅)</m:t>
        </m:r>
      </m:oMath>
      <w:r w:rsidR="00904D00">
        <w:rPr>
          <w:color w:val="000000" w:themeColor="text1"/>
        </w:rPr>
        <w:t xml:space="preserve"> </w:t>
      </w:r>
      <w:r w:rsidR="00006D43">
        <w:rPr>
          <w:color w:val="000000" w:themeColor="text1"/>
        </w:rPr>
        <w:t xml:space="preserve">function takes as input a vector of age-specific death counts and exposures for population </w:t>
      </w:r>
      <m:oMath>
        <m:r>
          <w:rPr>
            <w:rFonts w:ascii="Cambria Math" w:hAnsi="Cambria Math"/>
            <w:color w:val="000000" w:themeColor="text1"/>
          </w:rPr>
          <m:t>A</m:t>
        </m:r>
      </m:oMath>
      <w:r w:rsidR="00006D43">
        <w:rPr>
          <w:color w:val="000000" w:themeColor="text1"/>
        </w:rPr>
        <w:t xml:space="preserve"> (stacked to form a single vector) and outputs the life table measure </w:t>
      </w:r>
      <m:oMath>
        <m:r>
          <w:rPr>
            <w:rFonts w:ascii="Cambria Math" w:hAnsi="Cambria Math"/>
            <w:color w:val="000000" w:themeColor="text1"/>
          </w:rPr>
          <m:t>l(A)</m:t>
        </m:r>
      </m:oMath>
      <w:r w:rsidR="00006D43">
        <w:rPr>
          <w:color w:val="000000" w:themeColor="text1"/>
        </w:rPr>
        <w:t>.</w:t>
      </w:r>
      <w:r w:rsidR="00904D00">
        <w:rPr>
          <w:color w:val="000000" w:themeColor="text1"/>
        </w:rPr>
        <w:t xml:space="preserve"> </w:t>
      </w:r>
      <w:r w:rsidR="00A4655A">
        <w:rPr>
          <w:color w:val="000000" w:themeColor="text1"/>
        </w:rPr>
        <w:t xml:space="preserve">We can trivially write the </w:t>
      </w:r>
      <w:r w:rsidR="000848D6">
        <w:rPr>
          <w:color w:val="000000" w:themeColor="text1"/>
        </w:rPr>
        <w:t xml:space="preserve">total contribution of the two groups </w:t>
      </w:r>
      <w:r w:rsidR="00A4655A">
        <w:rPr>
          <w:color w:val="000000" w:themeColor="text1"/>
        </w:rPr>
        <w:t>as</w:t>
      </w:r>
      <w:r w:rsidR="00237F1B">
        <w:rPr>
          <w:color w:val="000000" w:themeColor="text1"/>
        </w:rPr>
        <w:t>:</w:t>
      </w:r>
    </w:p>
    <w:p w14:paraId="2B17E7AB" w14:textId="77777777" w:rsidR="000848D6" w:rsidRDefault="000848D6" w:rsidP="00856A10">
      <w:pPr>
        <w:spacing w:line="480" w:lineRule="auto"/>
        <w:rPr>
          <w:color w:val="000000" w:themeColor="text1"/>
        </w:rPr>
      </w:pPr>
    </w:p>
    <w:p w14:paraId="4A3244EA" w14:textId="0A3050D5" w:rsidR="00237F1B" w:rsidRPr="000848D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=l(T)-l(B)</m:t>
          </m:r>
        </m:oMath>
      </m:oMathPara>
    </w:p>
    <w:p w14:paraId="02C17F6C" w14:textId="77777777" w:rsidR="000848D6" w:rsidRPr="00237F1B" w:rsidRDefault="000848D6" w:rsidP="00856A10">
      <w:pPr>
        <w:spacing w:line="480" w:lineRule="auto"/>
        <w:rPr>
          <w:color w:val="000000" w:themeColor="text1"/>
        </w:rPr>
      </w:pPr>
    </w:p>
    <w:p w14:paraId="66972B4E" w14:textId="32B5CC88" w:rsidR="00237F1B" w:rsidRDefault="003575FF" w:rsidP="00856A10">
      <w:pPr>
        <w:spacing w:line="480" w:lineRule="auto"/>
        <w:rPr>
          <w:color w:val="000000" w:themeColor="text1"/>
        </w:rPr>
      </w:pPr>
      <w:r>
        <w:rPr>
          <w:color w:val="000000" w:themeColor="text1"/>
        </w:rPr>
        <w:t xml:space="preserve">Because both the </w:t>
      </w:r>
      <w:r w:rsidR="009F7934">
        <w:rPr>
          <w:color w:val="000000" w:themeColor="text1"/>
        </w:rPr>
        <w:t>exposures</w:t>
      </w:r>
      <w:r>
        <w:rPr>
          <w:color w:val="000000" w:themeColor="text1"/>
        </w:rPr>
        <w:t xml:space="preserve"> and the death counts involved in the computation of </w:t>
      </w:r>
      <w:r w:rsidR="00904D00">
        <w:rPr>
          <w:color w:val="000000" w:themeColor="text1"/>
        </w:rPr>
        <w:t>life table</w:t>
      </w:r>
      <w:r>
        <w:rPr>
          <w:color w:val="000000" w:themeColor="text1"/>
        </w:rPr>
        <w:t>s combine additively, w</w:t>
      </w:r>
      <w:r w:rsidR="000848D6">
        <w:rPr>
          <w:color w:val="000000" w:themeColor="text1"/>
        </w:rPr>
        <w:t>e</w:t>
      </w:r>
      <w:r w:rsidR="00237F1B">
        <w:rPr>
          <w:color w:val="000000" w:themeColor="text1"/>
        </w:rPr>
        <w:t xml:space="preserve"> </w:t>
      </w:r>
      <w:r>
        <w:rPr>
          <w:color w:val="000000" w:themeColor="text1"/>
        </w:rPr>
        <w:t>have that</w:t>
      </w:r>
      <w:r w:rsidR="00237F1B">
        <w:rPr>
          <w:color w:val="000000" w:themeColor="text1"/>
        </w:rPr>
        <w:t xml:space="preserve"> </w:t>
      </w:r>
      <m:oMath>
        <m:r>
          <w:rPr>
            <w:rFonts w:ascii="Cambria Math" w:hAnsi="Cambria Math"/>
            <w:color w:val="000000" w:themeColor="text1"/>
          </w:rPr>
          <m:t>l(B)=l</m:t>
        </m:r>
        <m:d>
          <m:dPr>
            <m:ctrlPr>
              <w:rPr>
                <w:rFonts w:ascii="Cambria Math" w:hAnsi="Cambria Math"/>
                <w:i/>
                <w:color w:val="000000" w:themeColor="text1"/>
              </w:rPr>
            </m:ctrlPr>
          </m:dPr>
          <m:e>
            <m:r>
              <w:rPr>
                <w:rFonts w:ascii="Cambria Math" w:hAnsi="Cambria Math"/>
                <w:color w:val="000000" w:themeColor="text1"/>
              </w:rPr>
              <m:t>T-G</m:t>
            </m:r>
          </m:e>
        </m:d>
      </m:oMath>
      <w:r w:rsidR="00237F1B">
        <w:rPr>
          <w:color w:val="000000" w:themeColor="text1"/>
        </w:rPr>
        <w:t xml:space="preserve">. Equivalently, </w:t>
      </w:r>
      <w:r>
        <w:rPr>
          <w:color w:val="000000" w:themeColor="text1"/>
        </w:rPr>
        <w:t>we could</w:t>
      </w:r>
      <w:r w:rsidR="00237F1B">
        <w:rPr>
          <w:color w:val="000000" w:themeColor="text1"/>
        </w:rPr>
        <w:t xml:space="preserve"> </w:t>
      </w:r>
      <w:r>
        <w:rPr>
          <w:color w:val="000000" w:themeColor="text1"/>
        </w:rPr>
        <w:t>write</w:t>
      </w:r>
      <w:r w:rsidR="00237F1B">
        <w:rPr>
          <w:color w:val="000000" w:themeColor="text1"/>
        </w:rPr>
        <w:t xml:space="preserve"> </w:t>
      </w:r>
      <m:oMath>
        <m:r>
          <w:rPr>
            <w:rFonts w:ascii="Cambria Math" w:hAnsi="Cambria Math"/>
            <w:color w:val="000000" w:themeColor="text1"/>
          </w:rPr>
          <m:t>l(T)=l(B+G)</m:t>
        </m:r>
      </m:oMath>
      <w:r w:rsidR="00237F1B">
        <w:rPr>
          <w:color w:val="000000" w:themeColor="text1"/>
        </w:rPr>
        <w:t xml:space="preserve">. </w:t>
      </w:r>
      <w:r w:rsidR="00006D43">
        <w:rPr>
          <w:color w:val="000000" w:themeColor="text1"/>
        </w:rPr>
        <w:t xml:space="preserve">The two previous equations hold because once death counts and exposures for a population are stacked into a single vector, to obtain the corresponding vector for the combined population we just need to sum the two subpopulation-specific vectors. </w:t>
      </w:r>
      <w:r w:rsidR="00237F1B">
        <w:rPr>
          <w:color w:val="000000" w:themeColor="text1"/>
        </w:rPr>
        <w:t>Together, these two equations allow us to write:</w:t>
      </w:r>
    </w:p>
    <w:p w14:paraId="45C1BCB8" w14:textId="77777777" w:rsidR="003575FF" w:rsidRDefault="003575FF" w:rsidP="00856A10">
      <w:pPr>
        <w:spacing w:line="480" w:lineRule="auto"/>
        <w:rPr>
          <w:color w:val="000000" w:themeColor="text1"/>
        </w:rPr>
      </w:pPr>
    </w:p>
    <w:p w14:paraId="280DB097" w14:textId="028ECD78" w:rsidR="00237F1B" w:rsidRPr="003575FF"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B+G</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-l(T-G)</m:t>
          </m:r>
        </m:oMath>
      </m:oMathPara>
    </w:p>
    <w:p w14:paraId="0AF4B5AC" w14:textId="77777777" w:rsidR="003575FF" w:rsidRPr="00237F1B" w:rsidRDefault="003575FF" w:rsidP="00856A10">
      <w:pPr>
        <w:spacing w:line="480" w:lineRule="auto"/>
        <w:rPr>
          <w:color w:val="000000" w:themeColor="text1"/>
        </w:rPr>
      </w:pPr>
    </w:p>
    <w:p w14:paraId="2B715D12" w14:textId="6A00A622" w:rsidR="00983DF9" w:rsidRDefault="00237F1B" w:rsidP="00856A10">
      <w:pPr>
        <w:spacing w:line="480" w:lineRule="auto"/>
        <w:rPr>
          <w:color w:val="000000" w:themeColor="text1"/>
        </w:rPr>
      </w:pPr>
      <w:r>
        <w:rPr>
          <w:color w:val="000000" w:themeColor="text1"/>
        </w:rPr>
        <w:lastRenderedPageBreak/>
        <w:t xml:space="preserve">Looking at the equation above it is apparent that the total contribution of population </w:t>
      </w:r>
      <m:oMath>
        <m:r>
          <w:rPr>
            <w:rFonts w:ascii="Cambria Math" w:hAnsi="Cambria Math"/>
            <w:color w:val="000000" w:themeColor="text1"/>
          </w:rPr>
          <m:t>G</m:t>
        </m:r>
      </m:oMath>
      <w:r>
        <w:rPr>
          <w:color w:val="000000" w:themeColor="text1"/>
        </w:rPr>
        <w:t xml:space="preserve"> can equivalently be understood </w:t>
      </w:r>
      <w:r w:rsidR="00380FFC">
        <w:rPr>
          <w:color w:val="000000" w:themeColor="text1"/>
        </w:rPr>
        <w:t xml:space="preserve">as an addition process starting from the baseline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or as a subtraction process starting from the total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80FFC">
        <w:rPr>
          <w:color w:val="000000" w:themeColor="text1"/>
        </w:rPr>
        <w:t>. It now becomes useful to introduce another layer of notation</w:t>
      </w:r>
      <w:r w:rsidR="003575FF">
        <w:rPr>
          <w:color w:val="000000" w:themeColor="text1"/>
        </w:rPr>
        <w:t>. W</w:t>
      </w:r>
      <w:r w:rsidR="00380FFC">
        <w:rPr>
          <w:color w:val="000000" w:themeColor="text1"/>
        </w:rPr>
        <w:t xml:space="preserve">e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w:t>
      </w:r>
      <w:r w:rsidR="003575FF">
        <w:rPr>
          <w:color w:val="000000" w:themeColor="text1"/>
        </w:rPr>
        <w:t xml:space="preserve">and call it the “addition contribution” of </w:t>
      </w:r>
      <m:oMath>
        <m:r>
          <w:rPr>
            <w:rFonts w:ascii="Cambria Math" w:hAnsi="Cambria Math"/>
            <w:color w:val="000000" w:themeColor="text1"/>
          </w:rPr>
          <m:t>G</m:t>
        </m:r>
      </m:oMath>
      <w:r w:rsidR="003575FF">
        <w:rPr>
          <w:color w:val="000000" w:themeColor="text1"/>
        </w:rPr>
        <w:t xml:space="preserve">. We instead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575FF">
        <w:rPr>
          <w:color w:val="000000" w:themeColor="text1"/>
        </w:rPr>
        <w:t xml:space="preserve"> and call it the “subtraction contribution” of </w:t>
      </w:r>
      <m:oMath>
        <m:r>
          <w:rPr>
            <w:rFonts w:ascii="Cambria Math" w:hAnsi="Cambria Math"/>
            <w:color w:val="000000" w:themeColor="text1"/>
          </w:rPr>
          <m:t>G</m:t>
        </m:r>
      </m:oMath>
      <w:r w:rsidR="00380FFC">
        <w:rPr>
          <w:color w:val="000000" w:themeColor="text1"/>
        </w:rPr>
        <w:t xml:space="preserve">. Clearly, when a single contributing population is considered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80FFC">
        <w:rPr>
          <w:color w:val="000000" w:themeColor="text1"/>
        </w:rPr>
        <w:t xml:space="preserve">. However, </w:t>
      </w:r>
      <w:r w:rsidR="003575FF">
        <w:rPr>
          <w:color w:val="000000" w:themeColor="text1"/>
        </w:rPr>
        <w:t xml:space="preserve">we will see that even in the case of two contributing subpopulations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575FF">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575FF">
        <w:rPr>
          <w:color w:val="000000" w:themeColor="text1"/>
        </w:rPr>
        <w:t xml:space="preserve"> so that the notation</w:t>
      </w:r>
      <w:r w:rsidR="00BC3860">
        <w:rPr>
          <w:color w:val="000000" w:themeColor="text1"/>
        </w:rPr>
        <w:t xml:space="preserve"> I just introduced</w:t>
      </w:r>
      <w:r w:rsidR="003575FF">
        <w:rPr>
          <w:color w:val="000000" w:themeColor="text1"/>
        </w:rPr>
        <w:t xml:space="preserve"> becomes useful.</w:t>
      </w:r>
      <w:r w:rsidR="00380FFC">
        <w:rPr>
          <w:color w:val="000000" w:themeColor="text1"/>
        </w:rPr>
        <w:t xml:space="preserve"> </w:t>
      </w:r>
      <w:r w:rsidR="003575FF">
        <w:rPr>
          <w:color w:val="000000" w:themeColor="text1"/>
        </w:rPr>
        <w:t xml:space="preserve">To see why these two </w:t>
      </w:r>
      <w:r w:rsidR="004F2514">
        <w:rPr>
          <w:color w:val="000000" w:themeColor="text1"/>
        </w:rPr>
        <w:t xml:space="preserve">inequalities </w:t>
      </w:r>
      <w:r w:rsidR="003575FF">
        <w:rPr>
          <w:color w:val="000000" w:themeColor="text1"/>
        </w:rPr>
        <w:t xml:space="preserve">arise, let us </w:t>
      </w:r>
      <w:r w:rsidR="00380FFC">
        <w:rPr>
          <w:color w:val="000000" w:themeColor="text1"/>
        </w:rPr>
        <w:t xml:space="preserve">consider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w:t>
      </w:r>
      <w:r w:rsidR="003575FF">
        <w:rPr>
          <w:color w:val="000000" w:themeColor="text1"/>
        </w:rPr>
        <w:t>Suppose</w:t>
      </w:r>
      <w:r w:rsidR="00380FFC">
        <w:rPr>
          <w:color w:val="000000" w:themeColor="text1"/>
        </w:rPr>
        <w:t xml:space="preserve"> for the moment</w:t>
      </w:r>
      <w:r w:rsidR="004F2514">
        <w:rPr>
          <w:color w:val="000000" w:themeColor="text1"/>
        </w:rPr>
        <w:t xml:space="preserve"> </w:t>
      </w:r>
      <w:r w:rsidR="00380FFC">
        <w:rPr>
          <w:color w:val="000000" w:themeColor="text1"/>
        </w:rPr>
        <w:t xml:space="preserve">that both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380FFC">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380FFC">
        <w:rPr>
          <w:color w:val="000000" w:themeColor="text1"/>
        </w:rPr>
        <w:t xml:space="preserve"> contribute positively to the life </w:t>
      </w:r>
      <w:r w:rsidR="003575FF">
        <w:rPr>
          <w:color w:val="000000" w:themeColor="text1"/>
        </w:rPr>
        <w:t>table function we are considering</w:t>
      </w:r>
      <w:r w:rsidR="00BC3860">
        <w:rPr>
          <w:color w:val="000000" w:themeColor="text1"/>
        </w:rPr>
        <w:t>, and more precisely that</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&gt;0</m:t>
        </m:r>
      </m:oMath>
      <w:r w:rsidR="00380FFC">
        <w:rPr>
          <w:color w:val="000000" w:themeColor="text1"/>
        </w:rPr>
        <w:t xml:space="preserve">. When </w:t>
      </w:r>
      <w:r w:rsidR="004F2514">
        <w:rPr>
          <w:color w:val="000000" w:themeColor="text1"/>
        </w:rPr>
        <w:t xml:space="preserve">we </w:t>
      </w:r>
      <w:r w:rsidR="008C5EAB">
        <w:rPr>
          <w:color w:val="000000" w:themeColor="text1"/>
        </w:rPr>
        <w:t>compute</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then starting from a population </w:t>
      </w:r>
      <m:oMath>
        <m:r>
          <w:rPr>
            <w:rFonts w:ascii="Cambria Math" w:hAnsi="Cambria Math"/>
            <w:color w:val="000000" w:themeColor="text1"/>
          </w:rPr>
          <m:t>T</m:t>
        </m:r>
      </m:oMath>
      <w:r w:rsidR="008C5EAB">
        <w:rPr>
          <w:color w:val="000000" w:themeColor="text1"/>
        </w:rPr>
        <w:t xml:space="preserve"> which </w:t>
      </w:r>
      <w:r w:rsidR="004F2514">
        <w:rPr>
          <w:color w:val="000000" w:themeColor="text1"/>
        </w:rPr>
        <w:t xml:space="preserve">already encapsulates </w:t>
      </w:r>
      <w:r w:rsidR="008C5EAB">
        <w:rPr>
          <w:color w:val="000000" w:themeColor="text1"/>
        </w:rPr>
        <w:t xml:space="preserve">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On the contrary, when we compute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starting from the baseline population</w:t>
      </w:r>
      <w:r w:rsidR="004F2514">
        <w:rPr>
          <w:color w:val="000000" w:themeColor="text1"/>
        </w:rPr>
        <w:t xml:space="preserve"> </w:t>
      </w:r>
      <m:oMath>
        <m:r>
          <w:rPr>
            <w:rFonts w:ascii="Cambria Math" w:hAnsi="Cambria Math"/>
            <w:color w:val="000000" w:themeColor="text1"/>
          </w:rPr>
          <m:t>B</m:t>
        </m:r>
      </m:oMath>
      <w:r w:rsidR="008C5EAB">
        <w:rPr>
          <w:color w:val="000000" w:themeColor="text1"/>
        </w:rPr>
        <w:t xml:space="preserve"> that has not yet received 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Furthermore, population </w:t>
      </w:r>
      <m:oMath>
        <m:r>
          <w:rPr>
            <w:rFonts w:ascii="Cambria Math" w:hAnsi="Cambria Math"/>
            <w:color w:val="000000" w:themeColor="text1"/>
          </w:rPr>
          <m:t>B</m:t>
        </m:r>
      </m:oMath>
      <w:r w:rsidR="008C5EAB">
        <w:rPr>
          <w:color w:val="000000" w:themeColor="text1"/>
        </w:rPr>
        <w:t xml:space="preserve"> from which are starting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is smaller than population </w:t>
      </w:r>
      <m:oMath>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from which we start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Consequently</w:t>
      </w:r>
      <w:r w:rsidR="008C5EAB">
        <w:rPr>
          <w:color w:val="000000" w:themeColor="text1"/>
        </w:rPr>
        <w:t xml:space="preserve">, the effect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8C5EAB">
        <w:rPr>
          <w:color w:val="000000" w:themeColor="text1"/>
        </w:rPr>
        <w:t xml:space="preserve"> will be larger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than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 specular argument can be made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8C5EAB">
        <w:rPr>
          <w:color w:val="000000" w:themeColor="text1"/>
        </w:rPr>
        <w:t>.</w:t>
      </w:r>
      <w:r w:rsidR="004F2514">
        <w:rPr>
          <w:color w:val="000000" w:themeColor="text1"/>
        </w:rPr>
        <w:t xml:space="preserve"> While</w:t>
      </w:r>
      <w:r w:rsidR="008C5EAB">
        <w:rPr>
          <w:color w:val="000000" w:themeColor="text1"/>
        </w:rPr>
        <w:t xml:space="preserve">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depends on</w:t>
      </w:r>
      <w:r w:rsidR="008C5EAB">
        <w:rPr>
          <w:color w:val="000000" w:themeColor="text1"/>
        </w:rPr>
        <w:t xml:space="preserve"> the assumption that both populations have a positive effect, </w:t>
      </w:r>
      <w:r w:rsidR="00505206">
        <w:rPr>
          <w:color w:val="000000" w:themeColor="text1"/>
        </w:rPr>
        <w:t xml:space="preserve">it </w:t>
      </w:r>
      <w:r w:rsidR="004F2514">
        <w:rPr>
          <w:color w:val="000000" w:themeColor="text1"/>
        </w:rPr>
        <w:t>illustrate</w:t>
      </w:r>
      <w:r w:rsidR="00505206">
        <w:rPr>
          <w:color w:val="000000" w:themeColor="text1"/>
        </w:rPr>
        <w:t>s</w:t>
      </w:r>
      <w:r w:rsidR="004F2514">
        <w:rPr>
          <w:color w:val="000000" w:themeColor="text1"/>
        </w:rPr>
        <w:t xml:space="preserve"> the general principle that lead</w:t>
      </w:r>
      <w:r w:rsidR="00922C60">
        <w:rPr>
          <w:color w:val="000000" w:themeColor="text1"/>
        </w:rPr>
        <w:t>s</w:t>
      </w:r>
      <w:r w:rsidR="004F2514">
        <w:rPr>
          <w:color w:val="000000" w:themeColor="text1"/>
        </w:rPr>
        <w:t xml:space="preserve"> to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983DF9">
        <w:rPr>
          <w:color w:val="000000" w:themeColor="text1"/>
        </w:rPr>
        <w:t xml:space="preserve">. </w:t>
      </w:r>
    </w:p>
    <w:p w14:paraId="3EB5C6AB" w14:textId="77777777" w:rsidR="004F2514" w:rsidRDefault="004F2514" w:rsidP="00856A10">
      <w:pPr>
        <w:spacing w:line="480" w:lineRule="auto"/>
        <w:rPr>
          <w:color w:val="000000" w:themeColor="text1"/>
        </w:rPr>
      </w:pPr>
    </w:p>
    <w:p w14:paraId="59330C97" w14:textId="35F2656E" w:rsidR="004F2514" w:rsidRDefault="009E608D" w:rsidP="00856A10">
      <w:pPr>
        <w:spacing w:line="480" w:lineRule="auto"/>
        <w:rPr>
          <w:color w:val="000000" w:themeColor="text1"/>
        </w:rPr>
      </w:pPr>
      <w:r>
        <w:rPr>
          <w:color w:val="000000" w:themeColor="text1"/>
        </w:rPr>
        <w:t xml:space="preserve">The inequality above means that </w:t>
      </w:r>
      <w:r w:rsidR="00A129CB">
        <w:rPr>
          <w:color w:val="000000" w:themeColor="text1"/>
        </w:rPr>
        <w:t xml:space="preserve">we now have two different measures of the contribution of each group. One way of solving this inconsistency is to introduce a third type of contribution </w:t>
      </w:r>
      <m:oMath>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A129CB">
        <w:rPr>
          <w:color w:val="000000" w:themeColor="text1"/>
        </w:rPr>
        <w:t xml:space="preserve">), which we call the “average contribution”. It turns out that the average contributions have a nice property that both the addition and the subtraction contributions generally lack. </w:t>
      </w:r>
    </w:p>
    <w:p w14:paraId="2A65AFF2" w14:textId="77777777" w:rsidR="00A129CB" w:rsidRDefault="00A129CB" w:rsidP="00856A10">
      <w:pPr>
        <w:spacing w:line="480" w:lineRule="auto"/>
        <w:ind w:left="1985"/>
        <w:rPr>
          <w:color w:val="000000" w:themeColor="text1"/>
        </w:rPr>
      </w:pPr>
    </w:p>
    <w:p w14:paraId="40236660" w14:textId="0518FB19" w:rsidR="00CA30BF" w:rsidRPr="00BE49A4" w:rsidRDefault="00000000" w:rsidP="00856A10">
      <w:pPr>
        <w:spacing w:line="480" w:lineRule="auto"/>
        <w:ind w:left="426" w:firstLine="1559"/>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oMath>
      </m:oMathPara>
    </w:p>
    <w:p w14:paraId="65FE1468" w14:textId="3A5B498F"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w:lastRenderedPageBreak/>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e>
          </m:d>
          <m:r>
            <w:rPr>
              <w:rFonts w:ascii="Cambria Math" w:hAnsi="Cambria Math"/>
              <w:color w:val="000000" w:themeColor="text1"/>
            </w:rPr>
            <m:t>]</m:t>
          </m:r>
        </m:oMath>
      </m:oMathPara>
    </w:p>
    <w:p w14:paraId="2F3FC7C9" w14:textId="2E4B6752"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300C17DE" w14:textId="23B0494D"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748F3CD4" w14:textId="2959766E"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19299567" w14:textId="72AB9434"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e>
          </m:d>
        </m:oMath>
      </m:oMathPara>
    </w:p>
    <w:p w14:paraId="327CA777" w14:textId="2FB0DE2B"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m:oMathPara>
    </w:p>
    <w:p w14:paraId="31D6D156" w14:textId="77777777" w:rsidR="00BE49A4" w:rsidRPr="00CA30BF" w:rsidRDefault="00BE49A4" w:rsidP="00856A10">
      <w:pPr>
        <w:spacing w:line="480" w:lineRule="auto"/>
        <w:rPr>
          <w:color w:val="000000" w:themeColor="text1"/>
        </w:rPr>
      </w:pPr>
    </w:p>
    <w:p w14:paraId="5C7675AD" w14:textId="6015FDDC" w:rsidR="00CA30BF" w:rsidRDefault="00EB2497" w:rsidP="00856A10">
      <w:pPr>
        <w:spacing w:line="480" w:lineRule="auto"/>
        <w:rPr>
          <w:color w:val="000000" w:themeColor="text1"/>
        </w:rPr>
      </w:pPr>
      <w:r>
        <w:rPr>
          <w:color w:val="000000" w:themeColor="text1"/>
        </w:rPr>
        <w:t xml:space="preserve">So, the two average contributions sum to the total contribution of </w:t>
      </w:r>
      <m:oMath>
        <m:r>
          <w:rPr>
            <w:rFonts w:ascii="Cambria Math" w:hAnsi="Cambria Math"/>
            <w:color w:val="000000" w:themeColor="text1"/>
          </w:rPr>
          <m:t>G</m:t>
        </m:r>
      </m:oMath>
      <w:r>
        <w:rPr>
          <w:color w:val="000000" w:themeColor="text1"/>
        </w:rPr>
        <w:t xml:space="preserve">, which </w:t>
      </w:r>
      <w:r w:rsidR="00306423">
        <w:rPr>
          <w:color w:val="000000" w:themeColor="text1"/>
        </w:rPr>
        <w:t xml:space="preserve">establishes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06423">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922C60">
        <w:rPr>
          <w:color w:val="000000" w:themeColor="text1"/>
        </w:rPr>
        <w:t xml:space="preserve">or of the difference </w:t>
      </w: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-l(B)</m:t>
        </m:r>
      </m:oMath>
      <w:r w:rsidR="00306423">
        <w:rPr>
          <w:color w:val="000000" w:themeColor="text1"/>
        </w:rPr>
        <w:t>. Note that t</w:t>
      </w:r>
      <w:r w:rsidR="00BE49A4">
        <w:rPr>
          <w:color w:val="000000" w:themeColor="text1"/>
        </w:rPr>
        <w:t xml:space="preserve">he substitutions in the second last line hold because </w:t>
      </w:r>
      <w:r w:rsidR="00306423">
        <w:rPr>
          <w:color w:val="000000" w:themeColor="text1"/>
        </w:rPr>
        <w:t xml:space="preserve">of the additivity of </w:t>
      </w:r>
      <w:r w:rsidR="009F7934">
        <w:rPr>
          <w:color w:val="000000" w:themeColor="text1"/>
        </w:rPr>
        <w:t>exposures</w:t>
      </w:r>
      <w:r w:rsidR="00306423">
        <w:rPr>
          <w:color w:val="000000" w:themeColor="text1"/>
        </w:rPr>
        <w:t xml:space="preserve"> and deaths so</w:t>
      </w:r>
      <w:r w:rsidR="003351FA">
        <w:rPr>
          <w:color w:val="000000" w:themeColor="text1"/>
        </w:rPr>
        <w:t xml:space="preserve">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oMath>
      <w:r w:rsidR="003351FA">
        <w:rPr>
          <w:color w:val="000000" w:themeColor="text1"/>
        </w:rPr>
        <w:t xml:space="preserve"> and similarly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351FA">
        <w:rPr>
          <w:color w:val="000000" w:themeColor="text1"/>
        </w:rPr>
        <w:t xml:space="preserve">. </w:t>
      </w:r>
      <w:r w:rsidR="00B22E93">
        <w:rPr>
          <w:color w:val="000000" w:themeColor="text1"/>
        </w:rPr>
        <w:t xml:space="preserve">Notice also that no </w:t>
      </w:r>
      <w:r w:rsidR="00306423">
        <w:rPr>
          <w:color w:val="000000" w:themeColor="text1"/>
        </w:rPr>
        <w:t xml:space="preserve">special properties of the </w:t>
      </w:r>
      <w:r w:rsidR="00904D00">
        <w:rPr>
          <w:color w:val="000000" w:themeColor="text1"/>
        </w:rPr>
        <w:t>life table</w:t>
      </w:r>
      <w:r w:rsidR="00306423">
        <w:rPr>
          <w:color w:val="000000" w:themeColor="text1"/>
        </w:rPr>
        <w:t xml:space="preserve"> function </w:t>
      </w:r>
      <w:r w:rsidR="00B22E93">
        <w:rPr>
          <w:color w:val="000000" w:themeColor="text1"/>
        </w:rPr>
        <w:t>were used in the proof</w:t>
      </w:r>
      <w:r w:rsidR="00922C60">
        <w:rPr>
          <w:color w:val="000000" w:themeColor="text1"/>
        </w:rPr>
        <w:t xml:space="preserve">, </w:t>
      </w:r>
      <w:r w:rsidR="00306423">
        <w:rPr>
          <w:color w:val="000000" w:themeColor="text1"/>
        </w:rPr>
        <w:t>which establishes that this approach is valid for functions other than life expectancy</w:t>
      </w:r>
      <w:r w:rsidR="009F7934">
        <w:rPr>
          <w:color w:val="000000" w:themeColor="text1"/>
        </w:rPr>
        <w:t xml:space="preserve"> as long as they can be written as a function of a vector of death counts and exposures</w:t>
      </w:r>
      <w:r w:rsidR="00B22E93">
        <w:rPr>
          <w:color w:val="000000" w:themeColor="text1"/>
        </w:rPr>
        <w:t>.</w:t>
      </w:r>
    </w:p>
    <w:p w14:paraId="585CF07F" w14:textId="77777777" w:rsidR="0055662E" w:rsidRPr="00CA30BF" w:rsidRDefault="0055662E" w:rsidP="00856A10">
      <w:pPr>
        <w:spacing w:line="480" w:lineRule="auto"/>
        <w:rPr>
          <w:color w:val="000000" w:themeColor="text1"/>
        </w:rPr>
      </w:pPr>
    </w:p>
    <w:p w14:paraId="20E4DDC1" w14:textId="2D4F4A9A" w:rsidR="0055662E" w:rsidRPr="000848D6" w:rsidRDefault="00BC3860" w:rsidP="00856A10">
      <w:pPr>
        <w:spacing w:line="480" w:lineRule="auto"/>
        <w:rPr>
          <w:b/>
          <w:bCs/>
          <w:color w:val="000000" w:themeColor="text1"/>
        </w:rPr>
      </w:pPr>
      <w:r>
        <w:rPr>
          <w:b/>
          <w:bCs/>
          <w:color w:val="000000" w:themeColor="text1"/>
        </w:rPr>
        <w:t xml:space="preserve">Extending the </w:t>
      </w:r>
      <w:r w:rsidR="0055662E" w:rsidRPr="000848D6">
        <w:rPr>
          <w:b/>
          <w:bCs/>
          <w:color w:val="000000" w:themeColor="text1"/>
        </w:rPr>
        <w:t xml:space="preserve">Decomposition </w:t>
      </w:r>
      <w:r>
        <w:rPr>
          <w:b/>
          <w:bCs/>
          <w:color w:val="000000" w:themeColor="text1"/>
        </w:rPr>
        <w:t>to the Case</w:t>
      </w:r>
      <w:r w:rsidR="0055662E" w:rsidRPr="000848D6">
        <w:rPr>
          <w:b/>
          <w:bCs/>
          <w:color w:val="000000" w:themeColor="text1"/>
        </w:rPr>
        <w:t xml:space="preserve"> </w:t>
      </w:r>
      <m:oMath>
        <m:r>
          <m:rPr>
            <m:sty m:val="bi"/>
          </m:rPr>
          <w:rPr>
            <w:rFonts w:ascii="Cambria Math" w:hAnsi="Cambria Math"/>
            <w:color w:val="000000" w:themeColor="text1"/>
          </w:rPr>
          <m:t>N=3</m:t>
        </m:r>
      </m:oMath>
    </w:p>
    <w:p w14:paraId="0A59819F" w14:textId="5FC2E9AE" w:rsidR="0027564B" w:rsidRDefault="00DC6E11" w:rsidP="00856A10">
      <w:pPr>
        <w:spacing w:line="480" w:lineRule="auto"/>
        <w:rPr>
          <w:color w:val="000000" w:themeColor="text1"/>
        </w:rPr>
      </w:pPr>
      <w:r>
        <w:rPr>
          <w:color w:val="000000" w:themeColor="text1"/>
        </w:rPr>
        <w:t xml:space="preserve">The case of three groups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introduces a few additional complications which illuminate some properties of this decomposition and will allow us to find a general expression for any number of groups. The main difference with the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case is that our notation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Pr>
          <w:color w:val="000000" w:themeColor="text1"/>
        </w:rPr>
        <w:t xml:space="preserve"> for </w:t>
      </w:r>
      <m:oMath>
        <m:r>
          <w:rPr>
            <w:rFonts w:ascii="Cambria Math" w:hAnsi="Cambria Math"/>
            <w:color w:val="000000" w:themeColor="text1"/>
          </w:rPr>
          <m:t>n=1,2,3</m:t>
        </m:r>
      </m:oMath>
      <w:r>
        <w:rPr>
          <w:color w:val="000000" w:themeColor="text1"/>
        </w:rPr>
        <w:t xml:space="preserve"> is no longer sufficient to describe all possible ways of computing the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the </w:t>
      </w:r>
      <w:r w:rsidR="00904D00">
        <w:rPr>
          <w:color w:val="000000" w:themeColor="text1"/>
        </w:rPr>
        <w:t>life table</w:t>
      </w:r>
      <w:r w:rsidR="007A76D6">
        <w:rPr>
          <w:color w:val="000000" w:themeColor="text1"/>
        </w:rPr>
        <w:t xml:space="preserve"> function for the total population</w:t>
      </w:r>
      <w:r>
        <w:rPr>
          <w:color w:val="000000" w:themeColor="text1"/>
        </w:rPr>
        <w:t xml:space="preserve">. </w:t>
      </w:r>
      <w:r w:rsidR="001B12C9">
        <w:rPr>
          <w:color w:val="000000" w:themeColor="text1"/>
        </w:rPr>
        <w:t xml:space="preserve">Indeed, we now have four ways of computing the contribution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1B12C9">
        <w:rPr>
          <w:color w:val="000000" w:themeColor="text1"/>
        </w:rPr>
        <w:t>:</w:t>
      </w:r>
    </w:p>
    <w:p w14:paraId="3EC07788" w14:textId="77777777" w:rsidR="001B12C9" w:rsidRDefault="001B12C9" w:rsidP="00856A10">
      <w:pPr>
        <w:spacing w:line="480" w:lineRule="auto"/>
        <w:rPr>
          <w:color w:val="000000" w:themeColor="text1"/>
        </w:rPr>
      </w:pPr>
    </w:p>
    <w:p w14:paraId="49D74360" w14:textId="3C40AE3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e>
        </m:d>
        <m:r>
          <w:rPr>
            <w:rFonts w:ascii="Cambria Math" w:hAnsi="Cambria Math"/>
            <w:color w:val="000000" w:themeColor="text1"/>
          </w:rPr>
          <m:t>-l(B)</m:t>
        </m:r>
      </m:oMath>
    </w:p>
    <w:p w14:paraId="7EB57EA4" w14:textId="7F60422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w:lastRenderedPageBreak/>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p>
    <w:p w14:paraId="57B54F40" w14:textId="1DE67950"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p>
    <w:p w14:paraId="762725B0" w14:textId="6ECE109E" w:rsidR="0027564B"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w:t>
      </w:r>
    </w:p>
    <w:p w14:paraId="0A256919" w14:textId="77777777" w:rsidR="001B12C9" w:rsidRPr="001B12C9" w:rsidRDefault="001B12C9" w:rsidP="00856A10">
      <w:pPr>
        <w:spacing w:line="480" w:lineRule="auto"/>
        <w:rPr>
          <w:color w:val="000000" w:themeColor="text1"/>
        </w:rPr>
      </w:pPr>
    </w:p>
    <w:p w14:paraId="66B38285" w14:textId="131595AE" w:rsidR="007A76D6" w:rsidRDefault="001B12C9" w:rsidP="00856A10">
      <w:pPr>
        <w:spacing w:line="480" w:lineRule="auto"/>
        <w:rPr>
          <w:color w:val="000000" w:themeColor="text1"/>
        </w:rPr>
      </w:pPr>
      <w:r>
        <w:rPr>
          <w:color w:val="000000" w:themeColor="text1"/>
        </w:rPr>
        <w:t xml:space="preserve">Number 1 and 4 are equal to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but number 2 and 3 are outside of what we have seen so far. </w:t>
      </w:r>
      <w:r w:rsidR="00FD1A3C">
        <w:rPr>
          <w:color w:val="000000" w:themeColor="text1"/>
        </w:rPr>
        <w:t xml:space="preserve">In the next section, I will introduce a more general notation to capture these cases. However, for the moment, let us focus on how to define the average contribution in this case. </w:t>
      </w:r>
      <w:r w:rsidR="00514E1F">
        <w:rPr>
          <w:color w:val="000000" w:themeColor="text1"/>
        </w:rPr>
        <w:t xml:space="preserve">It turns out that the average contribution in this case assigns </w:t>
      </w:r>
      <w:r w:rsidR="00E27ADB">
        <w:rPr>
          <w:color w:val="000000" w:themeColor="text1"/>
        </w:rPr>
        <w:t xml:space="preserve">weights </w:t>
      </w:r>
      <w:r w:rsidR="00514E1F">
        <w:rPr>
          <w:color w:val="000000" w:themeColor="text1"/>
        </w:rPr>
        <w:t>to each term that</w:t>
      </w:r>
      <w:r w:rsidR="00E27ADB">
        <w:rPr>
          <w:color w:val="000000" w:themeColor="text1"/>
        </w:rPr>
        <w:t xml:space="preserve"> are inversely proportional to the number of groups </w:t>
      </w:r>
      <m:oMath>
        <m:r>
          <w:rPr>
            <w:rFonts w:ascii="Cambria Math" w:hAnsi="Cambria Math"/>
            <w:color w:val="000000" w:themeColor="text1"/>
          </w:rPr>
          <m:t>N=3</m:t>
        </m:r>
      </m:oMath>
      <w:r w:rsidR="00E27ADB">
        <w:rPr>
          <w:color w:val="000000" w:themeColor="text1"/>
        </w:rPr>
        <w:t xml:space="preserve"> and to the number of contributions involving the same number of subpopulations. </w:t>
      </w:r>
      <w:r w:rsidR="00514E1F">
        <w:rPr>
          <w:color w:val="000000" w:themeColor="text1"/>
        </w:rPr>
        <w:t xml:space="preserve">Notice that contributions 1 and 4 involve 1 and 3 subpopulations respectively, while contributions 2 and 3 each involve 2 subpopulations. </w:t>
      </w:r>
      <w:r w:rsidR="00E27ADB">
        <w:rPr>
          <w:color w:val="000000" w:themeColor="text1"/>
        </w:rPr>
        <w:t xml:space="preserve">As such, contributions 1 and 4 </w:t>
      </w:r>
      <w:r w:rsidR="00514E1F">
        <w:rPr>
          <w:color w:val="000000" w:themeColor="text1"/>
        </w:rPr>
        <w:t>have</w:t>
      </w:r>
      <w:r w:rsidR="00E27ADB">
        <w:rPr>
          <w:color w:val="000000" w:themeColor="text1"/>
        </w:rPr>
        <w:t xml:space="preser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w:r w:rsidR="00514E1F">
        <w:rPr>
          <w:color w:val="000000" w:themeColor="text1"/>
        </w:rPr>
        <w:t xml:space="preserve">, while </w:t>
      </w:r>
      <w:r w:rsidR="00E27ADB">
        <w:rPr>
          <w:color w:val="000000" w:themeColor="text1"/>
        </w:rPr>
        <w:t xml:space="preserve">contributions 2 and 3 have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1</m:t>
            </m:r>
          </m:num>
          <m:den>
            <m:r>
              <m:rPr>
                <m:sty m:val="bi"/>
              </m:rP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oMath>
      <w:r w:rsidR="00C614CD">
        <w:rPr>
          <w:color w:val="000000" w:themeColor="text1"/>
        </w:rPr>
        <w:t xml:space="preserve">. </w:t>
      </w:r>
      <w:r w:rsidR="00514E1F">
        <w:rPr>
          <w:color w:val="000000" w:themeColor="text1"/>
        </w:rPr>
        <w:t>The use of these weights</w:t>
      </w:r>
      <w:r w:rsidR="00C614CD">
        <w:rPr>
          <w:color w:val="000000" w:themeColor="text1"/>
        </w:rPr>
        <w:t xml:space="preserve"> is equivalent to first averaging within contributions involving the same number of subpopulations and then averaging between contributions involving different numbers of subpopulations.</w:t>
      </w:r>
      <w:r w:rsidR="00514E1F">
        <w:rPr>
          <w:color w:val="000000" w:themeColor="text1"/>
        </w:rPr>
        <w:t xml:space="preserve"> While this might seem unintuitive, I will now show that it leads to a set of average contributions that sum to the total contribution as in the</w:t>
      </w:r>
      <w:r w:rsidR="00E14DCE">
        <w:rPr>
          <w:color w:val="000000" w:themeColor="text1"/>
        </w:rPr>
        <w:t xml:space="preserve"> </w:t>
      </w:r>
      <m:oMath>
        <m:r>
          <w:rPr>
            <w:rFonts w:ascii="Cambria Math" w:hAnsi="Cambria Math"/>
            <w:color w:val="000000" w:themeColor="text1"/>
          </w:rPr>
          <m:t>N=2</m:t>
        </m:r>
      </m:oMath>
      <w:r w:rsidR="00514E1F">
        <w:rPr>
          <w:color w:val="000000" w:themeColor="text1"/>
        </w:rPr>
        <w:t xml:space="preserve"> case.</w:t>
      </w:r>
      <w:r w:rsidR="00C614CD">
        <w:rPr>
          <w:color w:val="000000" w:themeColor="text1"/>
        </w:rPr>
        <w:t xml:space="preserve"> </w:t>
      </w:r>
    </w:p>
    <w:p w14:paraId="3F0AB32E" w14:textId="77777777" w:rsidR="007A76D6" w:rsidRPr="007A76D6" w:rsidRDefault="007A76D6" w:rsidP="00856A10">
      <w:pPr>
        <w:spacing w:line="480" w:lineRule="auto"/>
        <w:rPr>
          <w:color w:val="000000" w:themeColor="text1"/>
        </w:rPr>
      </w:pPr>
    </w:p>
    <w:p w14:paraId="3E326D5F" w14:textId="73C3FFD8" w:rsidR="000926F8" w:rsidRPr="007A76D6" w:rsidRDefault="00000000" w:rsidP="00856A10">
      <w:pPr>
        <w:spacing w:line="480" w:lineRule="auto"/>
        <w:rPr>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2</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3</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0D026552" w14:textId="0CC23795"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3AB5109A" w14:textId="0B471DA6"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oMath>
      </m:oMathPara>
    </w:p>
    <w:p w14:paraId="5C61963B" w14:textId="77777777" w:rsidR="007A76D6" w:rsidRPr="007A76D6" w:rsidRDefault="007A76D6" w:rsidP="00856A10">
      <w:pPr>
        <w:spacing w:line="480" w:lineRule="auto"/>
        <w:rPr>
          <w:color w:val="000000" w:themeColor="text1"/>
        </w:rPr>
      </w:pPr>
    </w:p>
    <w:p w14:paraId="578C672E" w14:textId="4C26063F" w:rsidR="000926F8" w:rsidRDefault="000926F8" w:rsidP="00856A10">
      <w:pPr>
        <w:spacing w:line="480" w:lineRule="auto"/>
        <w:rPr>
          <w:color w:val="000000" w:themeColor="text1"/>
        </w:rPr>
      </w:pPr>
      <w:r>
        <w:rPr>
          <w:color w:val="000000" w:themeColor="text1"/>
        </w:rPr>
        <w:t>It is easy to see that one can ta</w:t>
      </w:r>
      <w:r w:rsidR="007A76D6">
        <w:rPr>
          <w:color w:val="000000" w:themeColor="text1"/>
        </w:rPr>
        <w:t>ke</w:t>
      </w:r>
      <w:r>
        <w:rPr>
          <w:color w:val="000000" w:themeColor="text1"/>
        </w:rPr>
        <w:t xml:space="preserve"> out of this complicated expression the target value </w:t>
      </w:r>
      <m:oMath>
        <m:r>
          <w:rPr>
            <w:rFonts w:ascii="Cambria Math" w:hAnsi="Cambria Math"/>
            <w:color w:val="000000" w:themeColor="text1"/>
          </w:rPr>
          <m:t>l(T)-l(B)</m:t>
        </m:r>
      </m:oMath>
      <w:r>
        <w:rPr>
          <w:color w:val="000000" w:themeColor="text1"/>
        </w:rPr>
        <w:t>. We can then reorder the remaining terms and write:</w:t>
      </w:r>
    </w:p>
    <w:p w14:paraId="2EFDCEE3" w14:textId="77777777" w:rsidR="00695B0F" w:rsidRDefault="00695B0F" w:rsidP="00856A10">
      <w:pPr>
        <w:spacing w:line="480" w:lineRule="auto"/>
        <w:rPr>
          <w:color w:val="000000" w:themeColor="text1"/>
        </w:rPr>
      </w:pPr>
    </w:p>
    <w:p w14:paraId="2B44DD0F" w14:textId="6ABEE6AC" w:rsidR="009B15AF" w:rsidRPr="009B15AF" w:rsidRDefault="00000000" w:rsidP="00856A10">
      <w:pPr>
        <w:spacing w:line="480" w:lineRule="auto"/>
        <w:ind w:left="1843" w:hanging="2551"/>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10551803" w14:textId="64ABE375"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w:lastRenderedPageBreak/>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e>
          </m:d>
        </m:oMath>
      </m:oMathPara>
    </w:p>
    <w:p w14:paraId="5E024A6F" w14:textId="113D2F74"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d>
            <m:dPr>
              <m:ctrlPr>
                <w:rPr>
                  <w:rFonts w:ascii="Cambria Math" w:hAnsi="Cambria Math"/>
                  <w:i/>
                  <w:color w:val="000000" w:themeColor="text1"/>
                </w:rPr>
              </m:ctrlPr>
            </m:dPr>
            <m:e>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)+ 2l(B+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046C258A" w14:textId="6345C88B" w:rsidR="009B15AF" w:rsidRPr="009B15AF" w:rsidRDefault="000926F8"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m:t>
          </m:r>
        </m:oMath>
      </m:oMathPara>
    </w:p>
    <w:p w14:paraId="54F026DF" w14:textId="77777777" w:rsidR="00695B0F" w:rsidRPr="00CD71CC" w:rsidRDefault="00695B0F" w:rsidP="00856A10">
      <w:pPr>
        <w:spacing w:line="480" w:lineRule="auto"/>
        <w:rPr>
          <w:color w:val="000000" w:themeColor="text1"/>
        </w:rPr>
      </w:pPr>
    </w:p>
    <w:p w14:paraId="5369D44E" w14:textId="77777777" w:rsidR="009B15AF" w:rsidRDefault="00CD71CC" w:rsidP="00856A10">
      <w:pPr>
        <w:spacing w:line="480" w:lineRule="auto"/>
        <w:rPr>
          <w:color w:val="000000" w:themeColor="text1"/>
        </w:rPr>
      </w:pPr>
      <w:r>
        <w:rPr>
          <w:color w:val="000000" w:themeColor="text1"/>
        </w:rPr>
        <w:t xml:space="preserve">From which one can easily verify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oMath>
      <w:r>
        <w:rPr>
          <w:color w:val="000000" w:themeColor="text1"/>
        </w:rPr>
        <w:t xml:space="preserve"> as we wanted to prove. This</w:t>
      </w:r>
      <w:r w:rsidR="00695B0F">
        <w:rPr>
          <w:color w:val="000000" w:themeColor="text1"/>
        </w:rPr>
        <w:t xml:space="preserve"> result establishes </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e>
        </m:d>
      </m:oMath>
      <w:r w:rsidR="00695B0F">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w:t>
      </w:r>
    </w:p>
    <w:p w14:paraId="66B2BC60" w14:textId="77777777" w:rsidR="009B15AF" w:rsidRDefault="009B15AF" w:rsidP="00856A10">
      <w:pPr>
        <w:spacing w:line="480" w:lineRule="auto"/>
        <w:rPr>
          <w:color w:val="000000" w:themeColor="text1"/>
        </w:rPr>
      </w:pPr>
    </w:p>
    <w:p w14:paraId="6EB7DBA3" w14:textId="030B7B4C" w:rsidR="00B52E3F" w:rsidRDefault="009B15AF" w:rsidP="00856A10">
      <w:pPr>
        <w:spacing w:line="480" w:lineRule="auto"/>
        <w:rPr>
          <w:color w:val="000000" w:themeColor="text1"/>
        </w:rPr>
      </w:pPr>
      <w:r>
        <w:rPr>
          <w:color w:val="000000" w:themeColor="text1"/>
        </w:rPr>
        <w:t xml:space="preserve">By comparing the computations involved in the case </w:t>
      </w:r>
      <m:oMath>
        <m:r>
          <w:rPr>
            <w:rFonts w:ascii="Cambria Math" w:hAnsi="Cambria Math"/>
            <w:color w:val="000000" w:themeColor="text1"/>
          </w:rPr>
          <m:t>N=2</m:t>
        </m:r>
      </m:oMath>
      <w:r>
        <w:rPr>
          <w:color w:val="000000" w:themeColor="text1"/>
        </w:rPr>
        <w:t xml:space="preserve"> to those for the case</w:t>
      </w:r>
      <w:r w:rsidR="00E14DCE">
        <w:rPr>
          <w:color w:val="000000" w:themeColor="text1"/>
        </w:rPr>
        <w:t xml:space="preserve"> </w:t>
      </w:r>
      <m:oMath>
        <m:r>
          <w:rPr>
            <w:rFonts w:ascii="Cambria Math" w:hAnsi="Cambria Math"/>
            <w:color w:val="000000" w:themeColor="text1"/>
          </w:rPr>
          <m:t>N=3</m:t>
        </m:r>
      </m:oMath>
      <w:r w:rsidR="00CD71CC">
        <w:rPr>
          <w:color w:val="000000" w:themeColor="text1"/>
        </w:rPr>
        <w:t xml:space="preserve">, </w:t>
      </w:r>
      <w:r>
        <w:rPr>
          <w:color w:val="000000" w:themeColor="text1"/>
        </w:rPr>
        <w:t>becomes</w:t>
      </w:r>
      <w:r w:rsidR="00CD71CC">
        <w:rPr>
          <w:color w:val="000000" w:themeColor="text1"/>
        </w:rPr>
        <w:t xml:space="preserve"> apparent that the computational </w:t>
      </w:r>
      <w:r>
        <w:rPr>
          <w:color w:val="000000" w:themeColor="text1"/>
        </w:rPr>
        <w:t>requirement</w:t>
      </w:r>
      <w:r w:rsidR="00CD71CC">
        <w:rPr>
          <w:color w:val="000000" w:themeColor="text1"/>
        </w:rPr>
        <w:t xml:space="preserve"> for this method increase</w:t>
      </w:r>
      <w:r>
        <w:rPr>
          <w:color w:val="000000" w:themeColor="text1"/>
        </w:rPr>
        <w:t>s</w:t>
      </w:r>
      <w:r w:rsidR="00CD71CC">
        <w:rPr>
          <w:color w:val="000000" w:themeColor="text1"/>
        </w:rPr>
        <w:t xml:space="preserve"> very fast as the number of groups increases.</w:t>
      </w:r>
      <w:r w:rsidR="00C14C56">
        <w:rPr>
          <w:color w:val="000000" w:themeColor="text1"/>
        </w:rPr>
        <w:t xml:space="preserve"> However, the number of groups in the typical demographic application will not be too large and I will show that compared to alternative approached, this decomposition method is </w:t>
      </w:r>
      <w:r w:rsidR="00E14DCE">
        <w:rPr>
          <w:color w:val="000000" w:themeColor="text1"/>
        </w:rPr>
        <w:t>still</w:t>
      </w:r>
      <w:r w:rsidR="00C14C56">
        <w:rPr>
          <w:color w:val="000000" w:themeColor="text1"/>
        </w:rPr>
        <w:t xml:space="preserve"> very fast.</w:t>
      </w:r>
    </w:p>
    <w:p w14:paraId="30DEA8B2" w14:textId="77777777" w:rsidR="00733A10" w:rsidRDefault="00733A10" w:rsidP="00856A10">
      <w:pPr>
        <w:spacing w:line="480" w:lineRule="auto"/>
        <w:rPr>
          <w:color w:val="000000" w:themeColor="text1"/>
        </w:rPr>
      </w:pPr>
    </w:p>
    <w:p w14:paraId="077E5A9F" w14:textId="7AAEB1B0" w:rsidR="00733A10" w:rsidRDefault="00733A10" w:rsidP="00856A10">
      <w:pPr>
        <w:spacing w:line="480" w:lineRule="auto"/>
        <w:rPr>
          <w:b/>
          <w:bCs/>
          <w:color w:val="000000" w:themeColor="text1"/>
        </w:rPr>
      </w:pPr>
      <w:r>
        <w:rPr>
          <w:b/>
          <w:bCs/>
          <w:color w:val="000000" w:themeColor="text1"/>
        </w:rPr>
        <w:t xml:space="preserve">Generalizing the Decomposition to a Population with </w:t>
      </w:r>
      <m:oMath>
        <m:r>
          <m:rPr>
            <m:sty m:val="bi"/>
          </m:rPr>
          <w:rPr>
            <w:rFonts w:ascii="Cambria Math" w:hAnsi="Cambria Math"/>
            <w:color w:val="000000" w:themeColor="text1"/>
          </w:rPr>
          <m:t>N</m:t>
        </m:r>
      </m:oMath>
      <w:r>
        <w:rPr>
          <w:b/>
          <w:bCs/>
          <w:color w:val="000000" w:themeColor="text1"/>
        </w:rPr>
        <w:t xml:space="preserve"> subgroups</w:t>
      </w:r>
    </w:p>
    <w:p w14:paraId="0B0BC729" w14:textId="5264A9B9" w:rsidR="001A4376" w:rsidRDefault="009F1352" w:rsidP="00856A10">
      <w:pPr>
        <w:spacing w:line="480" w:lineRule="auto"/>
        <w:rPr>
          <w:color w:val="000000" w:themeColor="text1"/>
        </w:rPr>
      </w:pPr>
      <w:r>
        <w:rPr>
          <w:color w:val="000000" w:themeColor="text1"/>
        </w:rPr>
        <w:t xml:space="preserve">To study the general case of </w:t>
      </w:r>
      <m:oMath>
        <m:r>
          <w:rPr>
            <w:rFonts w:ascii="Cambria Math" w:hAnsi="Cambria Math"/>
            <w:color w:val="000000" w:themeColor="text1"/>
          </w:rPr>
          <m:t>N</m:t>
        </m:r>
      </m:oMath>
      <w:r>
        <w:rPr>
          <w:color w:val="000000" w:themeColor="text1"/>
        </w:rPr>
        <w:t xml:space="preserve"> contributing groups, it is useful to introduce a slightly more general notation. We define:</w:t>
      </w:r>
    </w:p>
    <w:p w14:paraId="4F5E1FD5" w14:textId="77777777" w:rsidR="00733A10" w:rsidRPr="00733A10" w:rsidRDefault="00733A10" w:rsidP="00856A10">
      <w:pPr>
        <w:spacing w:line="480" w:lineRule="auto"/>
        <w:rPr>
          <w:b/>
          <w:bCs/>
          <w:color w:val="000000" w:themeColor="text1"/>
        </w:rPr>
      </w:pPr>
    </w:p>
    <w:p w14:paraId="6422ECC0" w14:textId="453152E3" w:rsidR="009F1352" w:rsidRPr="00733A10"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m:oMathPara>
    </w:p>
    <w:p w14:paraId="10572763" w14:textId="77777777" w:rsidR="00733A10" w:rsidRDefault="00733A10" w:rsidP="00856A10">
      <w:pPr>
        <w:spacing w:line="480" w:lineRule="auto"/>
        <w:rPr>
          <w:color w:val="000000" w:themeColor="text1"/>
        </w:rPr>
      </w:pPr>
    </w:p>
    <w:p w14:paraId="34D514BA" w14:textId="2E673DE3" w:rsidR="00B24C92" w:rsidRDefault="009F1352" w:rsidP="00856A10">
      <w:pPr>
        <w:spacing w:line="480" w:lineRule="auto"/>
        <w:rPr>
          <w:color w:val="000000" w:themeColor="text1"/>
        </w:rPr>
      </w:pPr>
      <w:r>
        <w:rPr>
          <w:color w:val="000000" w:themeColor="text1"/>
        </w:rPr>
        <w:t xml:space="preserve">With </w:t>
      </w:r>
      <m:oMath>
        <m:r>
          <w:rPr>
            <w:rFonts w:ascii="Cambria Math" w:hAnsi="Cambria Math"/>
            <w:color w:val="000000" w:themeColor="text1"/>
          </w:rPr>
          <m:t>n=</m:t>
        </m:r>
        <m:d>
          <m:dPr>
            <m:begChr m:val="{"/>
            <m:endChr m:val="}"/>
            <m:ctrlPr>
              <w:rPr>
                <w:rFonts w:ascii="Cambria Math" w:hAnsi="Cambria Math"/>
                <w:i/>
                <w:color w:val="000000" w:themeColor="text1"/>
              </w:rPr>
            </m:ctrlPr>
          </m:dPr>
          <m:e>
            <m:r>
              <w:rPr>
                <w:rFonts w:ascii="Cambria Math" w:hAnsi="Cambria Math"/>
                <w:color w:val="000000" w:themeColor="text1"/>
              </w:rPr>
              <m:t>1,2,…,N</m:t>
            </m:r>
          </m:e>
        </m:d>
        <m:r>
          <w:rPr>
            <w:rFonts w:ascii="Cambria Math" w:hAnsi="Cambria Math"/>
            <w:color w:val="000000" w:themeColor="text1"/>
          </w:rPr>
          <m:t>, m=</m:t>
        </m:r>
        <m:d>
          <m:dPr>
            <m:begChr m:val="{"/>
            <m:endChr m:val="}"/>
            <m:ctrlPr>
              <w:rPr>
                <w:rFonts w:ascii="Cambria Math" w:hAnsi="Cambria Math"/>
                <w:i/>
                <w:color w:val="000000" w:themeColor="text1"/>
              </w:rPr>
            </m:ctrlPr>
          </m:dPr>
          <m:e>
            <m:r>
              <w:rPr>
                <w:rFonts w:ascii="Cambria Math" w:hAnsi="Cambria Math"/>
                <w:color w:val="000000" w:themeColor="text1"/>
              </w:rPr>
              <m:t>0,1,…,N-1</m:t>
            </m:r>
          </m:e>
        </m:d>
        <m:r>
          <w:rPr>
            <w:rFonts w:ascii="Cambria Math" w:hAnsi="Cambria Math"/>
            <w:color w:val="000000" w:themeColor="text1"/>
          </w:rPr>
          <m:t>, i={1,2,…,</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r>
          <w:rPr>
            <w:rFonts w:ascii="Cambria Math" w:hAnsi="Cambria Math"/>
            <w:color w:val="000000" w:themeColor="text1"/>
          </w:rPr>
          <m:t>}</m:t>
        </m:r>
      </m:oMath>
      <w:r>
        <w:rPr>
          <w:color w:val="000000" w:themeColor="text1"/>
        </w:rPr>
        <w:t xml:space="preserve"> and where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Pr>
          <w:color w:val="000000" w:themeColor="text1"/>
        </w:rPr>
        <w:t xml:space="preserve"> is 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Pr>
          <w:color w:val="000000" w:themeColor="text1"/>
        </w:rPr>
        <w:t xml:space="preserve"> set of subpopulations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Pr>
          <w:color w:val="000000" w:themeColor="text1"/>
        </w:rPr>
        <w:t xml:space="preserve"> with </w:t>
      </w:r>
      <m:oMath>
        <m:r>
          <w:rPr>
            <w:rFonts w:ascii="Cambria Math" w:hAnsi="Cambria Math"/>
            <w:color w:val="000000" w:themeColor="text1"/>
          </w:rPr>
          <m:t>k≠n</m:t>
        </m:r>
      </m:oMath>
      <w:r>
        <w:rPr>
          <w:color w:val="000000" w:themeColor="text1"/>
        </w:rPr>
        <w:t xml:space="preserve"> such that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m:t>
        </m:r>
      </m:oMath>
      <w:r>
        <w:rPr>
          <w:color w:val="000000" w:themeColor="text1"/>
        </w:rPr>
        <w:t xml:space="preserve">. </w:t>
      </w:r>
      <w:r w:rsidR="00076CF9">
        <w:rPr>
          <w:color w:val="000000" w:themeColor="text1"/>
        </w:rPr>
        <w:t xml:space="preserve">In words,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076CF9">
        <w:rPr>
          <w:color w:val="000000" w:themeColor="text1"/>
        </w:rPr>
        <w:t xml:space="preserve"> is the contribution of subgroup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to the </w:t>
      </w:r>
      <w:r w:rsidR="00904D00">
        <w:rPr>
          <w:color w:val="000000" w:themeColor="text1"/>
        </w:rPr>
        <w:t>life table</w:t>
      </w:r>
      <w:r w:rsidR="008E4BD2">
        <w:rPr>
          <w:color w:val="000000" w:themeColor="text1"/>
        </w:rPr>
        <w:t xml:space="preserve"> function </w:t>
      </w:r>
      <m:oMath>
        <m:r>
          <w:rPr>
            <w:rFonts w:ascii="Cambria Math" w:hAnsi="Cambria Math"/>
            <w:color w:val="000000" w:themeColor="text1"/>
          </w:rPr>
          <m:t>l(⋅)</m:t>
        </m:r>
      </m:oMath>
      <w:r w:rsidR="008E4BD2">
        <w:rPr>
          <w:color w:val="000000" w:themeColor="text1"/>
        </w:rPr>
        <w:t xml:space="preserve"> for the total population</w:t>
      </w:r>
      <w:r w:rsidR="00076CF9">
        <w:rPr>
          <w:color w:val="000000" w:themeColor="text1"/>
        </w:rPr>
        <w:t xml:space="preserve"> calculated as the difference between the </w:t>
      </w:r>
      <w:r w:rsidR="00944A8E">
        <w:rPr>
          <w:color w:val="000000" w:themeColor="text1"/>
        </w:rPr>
        <w:t xml:space="preserve">value of </w:t>
      </w:r>
      <m:oMath>
        <m:r>
          <w:rPr>
            <w:rFonts w:ascii="Cambria Math" w:hAnsi="Cambria Math"/>
            <w:color w:val="000000" w:themeColor="text1"/>
          </w:rPr>
          <m:t>l(⋅)</m:t>
        </m:r>
      </m:oMath>
      <w:r w:rsidR="00944A8E">
        <w:rPr>
          <w:color w:val="000000" w:themeColor="text1"/>
        </w:rPr>
        <w:t xml:space="preserve"> for </w:t>
      </w:r>
      <w:r w:rsidR="00076CF9">
        <w:rPr>
          <w:color w:val="000000" w:themeColor="text1"/>
        </w:rPr>
        <w:t xml:space="preserve">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944A8E">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D70A7">
        <w:rPr>
          <w:color w:val="000000" w:themeColor="text1"/>
        </w:rPr>
        <w:t>,</w:t>
      </w:r>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076CF9">
        <w:rPr>
          <w:color w:val="000000" w:themeColor="text1"/>
        </w:rPr>
        <w:t>, and th</w:t>
      </w:r>
      <w:r w:rsidR="00944A8E">
        <w:rPr>
          <w:color w:val="000000" w:themeColor="text1"/>
        </w:rPr>
        <w:t xml:space="preserve">e value of </w:t>
      </w:r>
      <m:oMath>
        <m:r>
          <w:rPr>
            <w:rFonts w:ascii="Cambria Math" w:hAnsi="Cambria Math"/>
            <w:color w:val="000000" w:themeColor="text1"/>
          </w:rPr>
          <m:t>l(⋅)</m:t>
        </m:r>
      </m:oMath>
      <w:r w:rsidR="00944A8E">
        <w:rPr>
          <w:color w:val="000000" w:themeColor="text1"/>
        </w:rPr>
        <w:t xml:space="preserve"> for</w:t>
      </w:r>
      <w:r w:rsidR="00076CF9">
        <w:rPr>
          <w:color w:val="000000" w:themeColor="text1"/>
        </w:rPr>
        <w:t xml:space="preserve"> 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and </w:t>
      </w:r>
      <w:r w:rsidR="00076CF9">
        <w:rPr>
          <w:color w:val="000000" w:themeColor="text1"/>
        </w:rPr>
        <w:lastRenderedPageBreak/>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D70A7">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w:r w:rsidR="00076CF9">
        <w:rPr>
          <w:color w:val="000000" w:themeColor="text1"/>
        </w:rPr>
        <w:t xml:space="preserve">. This </w:t>
      </w:r>
      <w:r w:rsidR="00E230B9">
        <w:rPr>
          <w:color w:val="000000" w:themeColor="text1"/>
        </w:rPr>
        <w:t xml:space="preserve">definition </w:t>
      </w:r>
      <w:r w:rsidR="00076CF9">
        <w:rPr>
          <w:color w:val="000000" w:themeColor="text1"/>
        </w:rPr>
        <w:t xml:space="preserve">might seem confusing but it’s just a generalization of the types of contributions we have seen in the cases </w:t>
      </w:r>
      <m:oMath>
        <m:r>
          <w:rPr>
            <w:rFonts w:ascii="Cambria Math" w:hAnsi="Cambria Math"/>
            <w:color w:val="000000" w:themeColor="text1"/>
          </w:rPr>
          <m:t>N=2, 3</m:t>
        </m:r>
      </m:oMath>
      <w:r w:rsidR="00076CF9">
        <w:rPr>
          <w:color w:val="000000" w:themeColor="text1"/>
        </w:rPr>
        <w:t xml:space="preserve">. Indeed, for </w:t>
      </w:r>
      <m:oMath>
        <m:r>
          <w:rPr>
            <w:rFonts w:ascii="Cambria Math" w:hAnsi="Cambria Math"/>
            <w:color w:val="000000" w:themeColor="text1"/>
          </w:rPr>
          <m:t>N=2</m:t>
        </m:r>
      </m:oMath>
      <w:r w:rsidR="00E230B9">
        <w:rPr>
          <w:color w:val="000000" w:themeColor="text1"/>
        </w:rPr>
        <w:t>,</w:t>
      </w:r>
      <w:r w:rsidR="00076CF9">
        <w:rPr>
          <w:color w:val="000000" w:themeColor="text1"/>
        </w:rPr>
        <w:t xml:space="preserve"> our familiar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simply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1,0,1</m:t>
            </m:r>
          </m:sup>
        </m:sSup>
      </m:oMath>
      <w:r w:rsidR="00076CF9">
        <w:rPr>
          <w:color w:val="000000" w:themeColor="text1"/>
        </w:rPr>
        <w:t xml:space="preserve"> while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r w:rsidR="00076CF9">
        <w:rPr>
          <w:color w:val="000000" w:themeColor="text1"/>
        </w:rPr>
        <w:t xml:space="preserve">. For </w:t>
      </w:r>
      <m:oMath>
        <m:r>
          <w:rPr>
            <w:rFonts w:ascii="Cambria Math" w:hAnsi="Cambria Math"/>
            <w:color w:val="000000" w:themeColor="text1"/>
          </w:rPr>
          <m:t>N=3</m:t>
        </m:r>
      </m:oMath>
      <w:r w:rsidR="00076CF9">
        <w:rPr>
          <w:color w:val="000000" w:themeColor="text1"/>
        </w:rPr>
        <w:t xml:space="preserve">, we have the more interesting </w:t>
      </w:r>
      <w:r w:rsidR="00B24C92">
        <w:rPr>
          <w:color w:val="000000" w:themeColor="text1"/>
        </w:rPr>
        <w:t>“internal” terms for which we had no notation so far. With this new notation we can write:</w:t>
      </w:r>
    </w:p>
    <w:p w14:paraId="07C16571" w14:textId="77777777" w:rsidR="00B24C92" w:rsidRDefault="00B24C92" w:rsidP="00856A10">
      <w:pPr>
        <w:spacing w:line="480" w:lineRule="auto"/>
        <w:rPr>
          <w:color w:val="000000" w:themeColor="text1"/>
        </w:rPr>
      </w:pPr>
    </w:p>
    <w:p w14:paraId="35CDC3B5" w14:textId="0520E4D0" w:rsidR="00B24C92" w:rsidRPr="0036265F"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p>
    <w:p w14:paraId="31D9C5BB" w14:textId="1CC0956D" w:rsidR="00B24C92"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1,1,2</m:t>
            </m:r>
          </m:sup>
        </m:sSup>
      </m:oMath>
    </w:p>
    <w:p w14:paraId="57299701" w14:textId="77777777" w:rsidR="00B24C92" w:rsidRDefault="00B24C92" w:rsidP="00856A10">
      <w:pPr>
        <w:pStyle w:val="ListParagraph"/>
        <w:spacing w:line="480" w:lineRule="auto"/>
        <w:rPr>
          <w:color w:val="000000" w:themeColor="text1"/>
        </w:rPr>
      </w:pPr>
    </w:p>
    <w:p w14:paraId="13C1DA92" w14:textId="7EF63543" w:rsidR="00B24C92" w:rsidRDefault="00B24C92" w:rsidP="00856A10">
      <w:pPr>
        <w:spacing w:line="480" w:lineRule="auto"/>
        <w:rPr>
          <w:color w:val="000000" w:themeColor="text1"/>
        </w:rPr>
      </w:pPr>
      <w:r>
        <w:rPr>
          <w:color w:val="000000" w:themeColor="text1"/>
        </w:rPr>
        <w:t xml:space="preserve">With these expressions, we can see why </w:t>
      </w:r>
      <m:oMath>
        <m:r>
          <w:rPr>
            <w:rFonts w:ascii="Cambria Math" w:hAnsi="Cambria Math"/>
            <w:color w:val="000000" w:themeColor="text1"/>
          </w:rPr>
          <m:t>m</m:t>
        </m:r>
      </m:oMath>
      <w:r w:rsidR="00C907B4">
        <w:rPr>
          <w:color w:val="000000" w:themeColor="text1"/>
        </w:rPr>
        <w:t xml:space="preserve"> should be bounded between </w:t>
      </w:r>
      <m:oMath>
        <m:r>
          <w:rPr>
            <w:rFonts w:ascii="Cambria Math" w:hAnsi="Cambria Math"/>
            <w:color w:val="000000" w:themeColor="text1"/>
          </w:rPr>
          <m:t>0</m:t>
        </m:r>
      </m:oMath>
      <w:r w:rsidR="00C907B4">
        <w:rPr>
          <w:color w:val="000000" w:themeColor="text1"/>
        </w:rPr>
        <w:t xml:space="preserve"> and </w:t>
      </w:r>
      <m:oMath>
        <m:r>
          <w:rPr>
            <w:rFonts w:ascii="Cambria Math" w:hAnsi="Cambria Math"/>
            <w:color w:val="000000" w:themeColor="text1"/>
          </w:rPr>
          <m:t>N-1</m:t>
        </m:r>
      </m:oMath>
      <w:r w:rsidR="00C907B4">
        <w:rPr>
          <w:color w:val="000000" w:themeColor="text1"/>
        </w:rPr>
        <w:t xml:space="preserve"> and </w:t>
      </w:r>
      <m:oMath>
        <m:r>
          <w:rPr>
            <w:rFonts w:ascii="Cambria Math" w:hAnsi="Cambria Math"/>
            <w:color w:val="000000" w:themeColor="text1"/>
          </w:rPr>
          <m:t>i</m:t>
        </m:r>
      </m:oMath>
      <w:r w:rsidR="00C907B4">
        <w:rPr>
          <w:color w:val="000000" w:themeColor="text1"/>
        </w:rPr>
        <w:t xml:space="preserve"> between </w:t>
      </w:r>
      <m:oMath>
        <m:r>
          <w:rPr>
            <w:rFonts w:ascii="Cambria Math" w:hAnsi="Cambria Math"/>
            <w:color w:val="000000" w:themeColor="text1"/>
          </w:rPr>
          <m:t>1</m:t>
        </m:r>
      </m:oMath>
      <w:r w:rsidR="00C907B4">
        <w:rPr>
          <w:color w:val="000000" w:themeColor="text1"/>
        </w:rPr>
        <w:t xml:space="preserve"> and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With </w:t>
      </w:r>
      <m:oMath>
        <m:r>
          <w:rPr>
            <w:rFonts w:ascii="Cambria Math" w:hAnsi="Cambria Math"/>
            <w:color w:val="000000" w:themeColor="text1"/>
          </w:rPr>
          <m:t>m=0,</m:t>
        </m:r>
      </m:oMath>
      <w:r w:rsidR="00C907B4">
        <w:rPr>
          <w:color w:val="000000" w:themeColor="text1"/>
        </w:rPr>
        <w:t xml:space="preserve"> we recover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C907B4">
        <w:rPr>
          <w:color w:val="000000" w:themeColor="text1"/>
        </w:rPr>
        <w:t xml:space="preserve">, when </w:t>
      </w:r>
      <m:oMath>
        <m:r>
          <w:rPr>
            <w:rFonts w:ascii="Cambria Math" w:hAnsi="Cambria Math"/>
            <w:color w:val="000000" w:themeColor="text1"/>
          </w:rPr>
          <m:t>m=0</m:t>
        </m:r>
      </m:oMath>
      <w:r w:rsidR="00C907B4">
        <w:rPr>
          <w:color w:val="000000" w:themeColor="text1"/>
        </w:rPr>
        <w:t xml:space="preserve">, there is no need for an index </w:t>
      </w:r>
      <m:oMath>
        <m:r>
          <w:rPr>
            <w:rFonts w:ascii="Cambria Math" w:hAnsi="Cambria Math"/>
            <w:color w:val="000000" w:themeColor="text1"/>
          </w:rPr>
          <m:t>i</m:t>
        </m:r>
      </m:oMath>
      <w:r w:rsidR="000D70A7">
        <w:rPr>
          <w:color w:val="000000" w:themeColor="text1"/>
        </w:rPr>
        <w:t xml:space="preserve">, </w:t>
      </w:r>
      <w:r w:rsidR="00C907B4">
        <w:rPr>
          <w:color w:val="000000" w:themeColor="text1"/>
        </w:rPr>
        <w:t xml:space="preserve">which we can conventionally set to </w:t>
      </w:r>
      <m:oMath>
        <m:r>
          <w:rPr>
            <w:rFonts w:ascii="Cambria Math" w:hAnsi="Cambria Math"/>
            <w:color w:val="000000" w:themeColor="text1"/>
          </w:rPr>
          <m:t>1</m:t>
        </m:r>
      </m:oMath>
      <w:r w:rsidR="00C907B4">
        <w:rPr>
          <w:color w:val="000000" w:themeColor="text1"/>
        </w:rPr>
        <w:t xml:space="preserve">. For </w:t>
      </w:r>
      <m:oMath>
        <m:r>
          <w:rPr>
            <w:rFonts w:ascii="Cambria Math" w:hAnsi="Cambria Math"/>
            <w:color w:val="000000" w:themeColor="text1"/>
          </w:rPr>
          <m:t>m=1</m:t>
        </m:r>
      </m:oMath>
      <w:r w:rsidR="00C907B4">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sidR="000D5BC6">
        <w:rPr>
          <w:color w:val="000000" w:themeColor="text1"/>
        </w:rPr>
        <w:t xml:space="preserve"> contains only one element which we can choose</w:t>
      </w:r>
      <w:r w:rsidR="00C907B4">
        <w:rPr>
          <w:color w:val="000000" w:themeColor="text1"/>
        </w:rPr>
        <w:t xml:space="preserve"> out of the </w:t>
      </w:r>
      <m:oMath>
        <m:r>
          <w:rPr>
            <w:rFonts w:ascii="Cambria Math" w:hAnsi="Cambria Math"/>
            <w:color w:val="000000" w:themeColor="text1"/>
          </w:rPr>
          <m:t>N-1</m:t>
        </m:r>
      </m:oMath>
      <w:r w:rsidR="00C907B4">
        <w:rPr>
          <w:color w:val="000000" w:themeColor="text1"/>
        </w:rPr>
        <w:t xml:space="preserve"> groups that are not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C907B4">
        <w:rPr>
          <w:color w:val="000000" w:themeColor="text1"/>
        </w:rPr>
        <w:t xml:space="preserve">. The first of these groups will be denoted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1</m:t>
            </m:r>
          </m:sup>
        </m:sSubSup>
      </m:oMath>
      <w:r w:rsidR="00C907B4">
        <w:rPr>
          <w:color w:val="000000" w:themeColor="text1"/>
        </w:rPr>
        <w:t xml:space="preserve">, the second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2</m:t>
            </m:r>
          </m:sub>
          <m:sup>
            <m:r>
              <w:rPr>
                <w:rFonts w:ascii="Cambria Math" w:hAnsi="Cambria Math"/>
                <w:color w:val="000000" w:themeColor="text1"/>
              </w:rPr>
              <m:t>1</m:t>
            </m:r>
          </m:sup>
        </m:sSubSup>
      </m:oMath>
      <w:r w:rsidR="00C907B4">
        <w:rPr>
          <w:color w:val="000000" w:themeColor="text1"/>
        </w:rPr>
        <w:t>, and so on.</w:t>
      </w:r>
      <w:r w:rsidR="00C61E60">
        <w:rPr>
          <w:color w:val="000000" w:themeColor="text1"/>
        </w:rPr>
        <w:t xml:space="preserve"> The order in which we select the groups does not matter</w:t>
      </w:r>
      <w:r w:rsidR="003E6BAB">
        <w:rPr>
          <w:color w:val="000000" w:themeColor="text1"/>
        </w:rPr>
        <w:t xml:space="preserve"> because addition is commutative</w:t>
      </w:r>
      <w:r w:rsidR="00C61E60">
        <w:rPr>
          <w:color w:val="000000" w:themeColor="text1"/>
        </w:rPr>
        <w:t>.</w:t>
      </w:r>
      <w:r w:rsidR="00C907B4">
        <w:rPr>
          <w:color w:val="000000" w:themeColor="text1"/>
        </w:rPr>
        <w:t xml:space="preserve"> Notice that</w:t>
      </w:r>
      <w:r w:rsidR="000D5BC6">
        <w:rPr>
          <w:color w:val="000000" w:themeColor="text1"/>
        </w:rPr>
        <w:t xml:space="preserve">, for a general </w:t>
      </w:r>
      <w:r w:rsidR="003E6BAB">
        <w:rPr>
          <w:color w:val="000000" w:themeColor="text1"/>
        </w:rPr>
        <w:t xml:space="preserve">value </w:t>
      </w:r>
      <m:oMath>
        <m:r>
          <w:rPr>
            <w:rFonts w:ascii="Cambria Math" w:hAnsi="Cambria Math"/>
            <w:color w:val="000000" w:themeColor="text1"/>
          </w:rPr>
          <m:t>m</m:t>
        </m:r>
      </m:oMath>
      <w:r w:rsidR="000D5BC6">
        <w:rPr>
          <w:color w:val="000000" w:themeColor="text1"/>
        </w:rPr>
        <w:t xml:space="preserve"> </w:t>
      </w:r>
      <w:r w:rsidR="00C907B4">
        <w:rPr>
          <w:color w:val="000000" w:themeColor="text1"/>
        </w:rPr>
        <w:t xml:space="preserve">there will be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of these groups</w:t>
      </w:r>
      <w:r w:rsidR="003E6BAB">
        <w:rPr>
          <w:color w:val="000000" w:themeColor="text1"/>
        </w:rPr>
        <w:t>,</w:t>
      </w:r>
      <w:r w:rsidR="00C907B4">
        <w:rPr>
          <w:color w:val="000000" w:themeColor="text1"/>
        </w:rPr>
        <w:t xml:space="preserve"> which explains the limits imposed on </w:t>
      </w:r>
      <m:oMath>
        <m:r>
          <w:rPr>
            <w:rFonts w:ascii="Cambria Math" w:hAnsi="Cambria Math"/>
            <w:color w:val="000000" w:themeColor="text1"/>
          </w:rPr>
          <m:t>i</m:t>
        </m:r>
      </m:oMath>
      <w:r w:rsidR="00C907B4">
        <w:rPr>
          <w:color w:val="000000" w:themeColor="text1"/>
        </w:rPr>
        <w:t>.</w:t>
      </w:r>
      <w:r w:rsidR="0010301C">
        <w:rPr>
          <w:color w:val="000000" w:themeColor="text1"/>
        </w:rPr>
        <w:t xml:space="preserve"> Finally, when we reach </w:t>
      </w:r>
      <m:oMath>
        <m:r>
          <w:rPr>
            <w:rFonts w:ascii="Cambria Math" w:hAnsi="Cambria Math"/>
            <w:color w:val="000000" w:themeColor="text1"/>
          </w:rPr>
          <m:t>m=N-1</m:t>
        </m:r>
      </m:oMath>
      <w:r w:rsidR="0010301C">
        <w:rPr>
          <w:color w:val="000000" w:themeColor="text1"/>
        </w:rPr>
        <w:t xml:space="preserve">, we obtain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10301C">
        <w:rPr>
          <w:color w:val="000000" w:themeColor="text1"/>
        </w:rPr>
        <w:t xml:space="preserve"> because:</w:t>
      </w:r>
    </w:p>
    <w:p w14:paraId="6ECE9136" w14:textId="77777777" w:rsidR="005636BE" w:rsidRDefault="005636BE" w:rsidP="00856A10">
      <w:pPr>
        <w:spacing w:line="480" w:lineRule="auto"/>
        <w:rPr>
          <w:color w:val="000000" w:themeColor="text1"/>
        </w:rPr>
      </w:pPr>
    </w:p>
    <w:p w14:paraId="2FCAFAFD" w14:textId="0DB675E4" w:rsidR="0010301C" w:rsidRPr="00C61E60" w:rsidRDefault="00C61E60" w:rsidP="00856A10">
      <w:pPr>
        <w:pStyle w:val="ListParagraph"/>
        <w:spacing w:line="480" w:lineRule="auto"/>
        <w:rPr>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m:oMathPara>
    </w:p>
    <w:p w14:paraId="599EC675" w14:textId="77777777" w:rsidR="00C61E60" w:rsidRDefault="00C61E60" w:rsidP="00856A10">
      <w:pPr>
        <w:pStyle w:val="ListParagraph"/>
        <w:spacing w:line="480" w:lineRule="auto"/>
        <w:rPr>
          <w:color w:val="000000" w:themeColor="text1"/>
        </w:rPr>
      </w:pPr>
    </w:p>
    <w:p w14:paraId="6DFF4393" w14:textId="77777777" w:rsidR="000D5BC6" w:rsidRDefault="0010301C" w:rsidP="00856A10">
      <w:pPr>
        <w:spacing w:line="480" w:lineRule="auto"/>
        <w:rPr>
          <w:color w:val="000000" w:themeColor="text1"/>
        </w:rPr>
      </w:pPr>
      <w:r>
        <w:rPr>
          <w:color w:val="000000" w:themeColor="text1"/>
        </w:rPr>
        <w:t xml:space="preserve">Clearly, there is only one way of choosing </w:t>
      </w:r>
      <m:oMath>
        <m:r>
          <w:rPr>
            <w:rFonts w:ascii="Cambria Math" w:hAnsi="Cambria Math"/>
            <w:color w:val="000000" w:themeColor="text1"/>
          </w:rPr>
          <m:t>N-1</m:t>
        </m:r>
      </m:oMath>
      <w:r>
        <w:rPr>
          <w:color w:val="000000" w:themeColor="text1"/>
        </w:rPr>
        <w:t xml:space="preserve"> elements from a set of </w:t>
      </w:r>
      <m:oMath>
        <m:r>
          <w:rPr>
            <w:rFonts w:ascii="Cambria Math" w:hAnsi="Cambria Math"/>
            <w:color w:val="000000" w:themeColor="text1"/>
          </w:rPr>
          <m:t>N-1</m:t>
        </m:r>
      </m:oMath>
      <w:r>
        <w:rPr>
          <w:color w:val="000000" w:themeColor="text1"/>
        </w:rPr>
        <w:t xml:space="preserve"> elements.</w:t>
      </w:r>
      <w:r w:rsidR="00D66608">
        <w:rPr>
          <w:color w:val="000000" w:themeColor="text1"/>
        </w:rPr>
        <w:t xml:space="preserve"> </w:t>
      </w:r>
    </w:p>
    <w:p w14:paraId="78E410D0" w14:textId="77777777" w:rsidR="000D5BC6" w:rsidRDefault="000D5BC6" w:rsidP="00856A10">
      <w:pPr>
        <w:spacing w:line="480" w:lineRule="auto"/>
        <w:rPr>
          <w:color w:val="000000" w:themeColor="text1"/>
        </w:rPr>
      </w:pPr>
    </w:p>
    <w:p w14:paraId="1D90A969" w14:textId="6F0DAF30" w:rsidR="0010301C" w:rsidRDefault="00D66608" w:rsidP="00856A10">
      <w:pPr>
        <w:spacing w:line="480" w:lineRule="auto"/>
        <w:rPr>
          <w:color w:val="000000" w:themeColor="text1"/>
        </w:rPr>
      </w:pPr>
      <w:r>
        <w:rPr>
          <w:color w:val="000000" w:themeColor="text1"/>
        </w:rPr>
        <w:t xml:space="preserve">As for the </w:t>
      </w:r>
      <m:oMath>
        <m:r>
          <w:rPr>
            <w:rFonts w:ascii="Cambria Math" w:hAnsi="Cambria Math"/>
            <w:color w:val="000000" w:themeColor="text1"/>
          </w:rPr>
          <m:t>N=3</m:t>
        </m:r>
      </m:oMath>
      <w:r>
        <w:rPr>
          <w:color w:val="000000" w:themeColor="text1"/>
        </w:rPr>
        <w:t xml:space="preserve"> case, we </w:t>
      </w:r>
      <w:r w:rsidR="000D5BC6">
        <w:rPr>
          <w:color w:val="000000" w:themeColor="text1"/>
        </w:rPr>
        <w:t xml:space="preserve">now </w:t>
      </w:r>
      <w:r>
        <w:rPr>
          <w:color w:val="000000" w:themeColor="text1"/>
        </w:rPr>
        <w:t xml:space="preserve">need to find appropriate weights for each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Pr>
          <w:color w:val="000000" w:themeColor="text1"/>
        </w:rPr>
        <w:t xml:space="preserve">. </w:t>
      </w:r>
      <w:r w:rsidR="00B522A6">
        <w:rPr>
          <w:color w:val="000000" w:themeColor="text1"/>
        </w:rPr>
        <w:t>The general principle is still the same, we need</w:t>
      </w:r>
      <w:r w:rsidR="00265512">
        <w:rPr>
          <w:color w:val="000000" w:themeColor="text1"/>
        </w:rPr>
        <w:t xml:space="preserve"> weights </w:t>
      </w:r>
      <w:r w:rsidR="005636BE">
        <w:rPr>
          <w:color w:val="000000" w:themeColor="text1"/>
        </w:rPr>
        <w:t xml:space="preserve">that </w:t>
      </w:r>
      <w:r w:rsidR="00265512">
        <w:rPr>
          <w:color w:val="000000" w:themeColor="text1"/>
        </w:rPr>
        <w:t>are</w:t>
      </w:r>
      <w:r w:rsidR="00B522A6">
        <w:rPr>
          <w:color w:val="000000" w:themeColor="text1"/>
        </w:rPr>
        <w:t xml:space="preserve"> inversely</w:t>
      </w:r>
      <w:r w:rsidR="00265512">
        <w:rPr>
          <w:color w:val="000000" w:themeColor="text1"/>
        </w:rPr>
        <w:t xml:space="preserve"> proportional to the number of contribution types </w:t>
      </w:r>
      <m:oMath>
        <m:r>
          <w:rPr>
            <w:rFonts w:ascii="Cambria Math" w:hAnsi="Cambria Math"/>
            <w:color w:val="000000" w:themeColor="text1"/>
          </w:rPr>
          <m:t>N</m:t>
        </m:r>
      </m:oMath>
      <w:r w:rsidR="00265512">
        <w:rPr>
          <w:color w:val="000000" w:themeColor="text1"/>
        </w:rPr>
        <w:t xml:space="preserve"> and </w:t>
      </w:r>
      <w:r w:rsidR="00B522A6">
        <w:rPr>
          <w:color w:val="000000" w:themeColor="text1"/>
        </w:rPr>
        <w:t xml:space="preserve">inversely proportional to </w:t>
      </w:r>
      <w:r w:rsidR="00265512">
        <w:rPr>
          <w:color w:val="000000" w:themeColor="text1"/>
        </w:rPr>
        <w:t xml:space="preserve">the number of contributions for the specific type </w:t>
      </w:r>
      <m:oMath>
        <m:r>
          <w:rPr>
            <w:rFonts w:ascii="Cambria Math" w:hAnsi="Cambria Math"/>
            <w:color w:val="000000" w:themeColor="text1"/>
          </w:rPr>
          <m:t>m</m:t>
        </m:r>
      </m:oMath>
      <w:r w:rsidR="00265512">
        <w:rPr>
          <w:color w:val="000000" w:themeColor="text1"/>
        </w:rPr>
        <w:t>. This consideration leads to a simple expression:</w:t>
      </w:r>
    </w:p>
    <w:p w14:paraId="55504E91" w14:textId="77777777" w:rsidR="00B522A6" w:rsidRDefault="00B522A6" w:rsidP="00856A10">
      <w:pPr>
        <w:spacing w:line="480" w:lineRule="auto"/>
        <w:rPr>
          <w:color w:val="000000" w:themeColor="text1"/>
        </w:rPr>
      </w:pPr>
    </w:p>
    <w:p w14:paraId="4EAB1E79" w14:textId="2B6A0633" w:rsidR="00265512"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m:oMathPara>
    </w:p>
    <w:p w14:paraId="134B1919" w14:textId="77777777" w:rsidR="00B522A6" w:rsidRDefault="00B522A6" w:rsidP="00856A10">
      <w:pPr>
        <w:spacing w:line="480" w:lineRule="auto"/>
        <w:rPr>
          <w:color w:val="000000" w:themeColor="text1"/>
        </w:rPr>
      </w:pPr>
    </w:p>
    <w:p w14:paraId="4A0FC83C" w14:textId="48D99B17" w:rsidR="000D5BC6" w:rsidRDefault="00B522A6" w:rsidP="00856A10">
      <w:pPr>
        <w:spacing w:line="480" w:lineRule="auto"/>
        <w:rPr>
          <w:color w:val="000000" w:themeColor="text1"/>
        </w:rPr>
      </w:pPr>
      <w:r>
        <w:rPr>
          <w:color w:val="000000" w:themeColor="text1"/>
        </w:rPr>
        <w:t xml:space="preserve">Which is just a generalization of the weights we derived for </w:t>
      </w:r>
      <m:oMath>
        <m:r>
          <w:rPr>
            <w:rFonts w:ascii="Cambria Math" w:hAnsi="Cambria Math"/>
            <w:color w:val="000000" w:themeColor="text1"/>
          </w:rPr>
          <m:t>(N=3)</m:t>
        </m:r>
      </m:oMath>
      <w:r>
        <w:rPr>
          <w:color w:val="000000" w:themeColor="text1"/>
        </w:rPr>
        <w:t>. In the expression above</w:t>
      </w:r>
      <w:r w:rsidR="003E6BAB">
        <w:rPr>
          <w:color w:val="000000" w:themeColor="text1"/>
        </w:rPr>
        <w:t>,</w:t>
      </w:r>
      <w:r w:rsidR="0050357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50357C">
        <w:rPr>
          <w:color w:val="000000" w:themeColor="text1"/>
        </w:rPr>
        <w:t xml:space="preserve"> denotes the weight for all terms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50357C">
        <w:rPr>
          <w:color w:val="000000" w:themeColor="text1"/>
        </w:rPr>
        <w:t xml:space="preserve">. </w:t>
      </w:r>
      <w:r w:rsidR="000D5BC6">
        <w:rPr>
          <w:color w:val="000000" w:themeColor="text1"/>
        </w:rPr>
        <w:t xml:space="preserve">These weights are equal for all </w:t>
      </w:r>
      <m:oMath>
        <m:r>
          <w:rPr>
            <w:rFonts w:ascii="Cambria Math" w:hAnsi="Cambria Math"/>
            <w:color w:val="000000" w:themeColor="text1"/>
          </w:rPr>
          <m:t>m</m:t>
        </m:r>
      </m:oMath>
      <w:r w:rsidR="000D5BC6">
        <w:rPr>
          <w:color w:val="000000" w:themeColor="text1"/>
        </w:rPr>
        <w:t xml:space="preserve">-type contributions and </w:t>
      </w:r>
      <w:r>
        <w:rPr>
          <w:color w:val="000000" w:themeColor="text1"/>
        </w:rPr>
        <w:t>en</w:t>
      </w:r>
      <w:r w:rsidR="000D5BC6">
        <w:rPr>
          <w:color w:val="000000" w:themeColor="text1"/>
        </w:rPr>
        <w:t xml:space="preserve">sure that each set of </w:t>
      </w:r>
      <m:oMath>
        <m:r>
          <w:rPr>
            <w:rFonts w:ascii="Cambria Math" w:hAnsi="Cambria Math"/>
            <w:color w:val="000000" w:themeColor="text1"/>
          </w:rPr>
          <m:t>m</m:t>
        </m:r>
      </m:oMath>
      <w:r w:rsidR="000D5BC6">
        <w:rPr>
          <w:color w:val="000000" w:themeColor="text1"/>
        </w:rPr>
        <w:t xml:space="preserve">-contributions is collectively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0D5BC6">
        <w:rPr>
          <w:color w:val="000000" w:themeColor="text1"/>
        </w:rPr>
        <w:t xml:space="preserve"> while each of its members is also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w:r w:rsidR="000D5BC6">
        <w:rPr>
          <w:color w:val="000000" w:themeColor="text1"/>
        </w:rPr>
        <w:t xml:space="preserve">. With our new notation and having defined appropriate weights, we can define the average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D5BC6">
        <w:rPr>
          <w:color w:val="000000" w:themeColor="text1"/>
        </w:rPr>
        <w:t xml:space="preserve"> as:</w:t>
      </w:r>
    </w:p>
    <w:p w14:paraId="526A2486" w14:textId="77777777" w:rsidR="00B522A6" w:rsidRDefault="00B522A6" w:rsidP="00856A10">
      <w:pPr>
        <w:spacing w:line="480" w:lineRule="auto"/>
        <w:rPr>
          <w:color w:val="000000" w:themeColor="text1"/>
        </w:rPr>
      </w:pPr>
    </w:p>
    <w:p w14:paraId="2766EAA0" w14:textId="6BBCA886" w:rsidR="000D5BC6"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m=0</m:t>
              </m:r>
            </m:sub>
            <m:sup>
              <m:r>
                <w:rPr>
                  <w:rFonts w:ascii="Cambria Math" w:hAnsi="Cambria Math"/>
                  <w:color w:val="000000" w:themeColor="text1"/>
                </w:rPr>
                <m:t>N-1</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e>
              </m:nary>
            </m:e>
          </m:nary>
        </m:oMath>
      </m:oMathPara>
    </w:p>
    <w:p w14:paraId="4B016FB3" w14:textId="77777777" w:rsidR="00B522A6" w:rsidRDefault="00B522A6" w:rsidP="00856A10">
      <w:pPr>
        <w:spacing w:line="480" w:lineRule="auto"/>
        <w:rPr>
          <w:color w:val="000000" w:themeColor="text1"/>
        </w:rPr>
      </w:pPr>
    </w:p>
    <w:p w14:paraId="0C17190C" w14:textId="3F3D036E" w:rsidR="00D94235" w:rsidRDefault="00D94235" w:rsidP="00856A10">
      <w:pPr>
        <w:spacing w:line="480" w:lineRule="auto"/>
        <w:rPr>
          <w:color w:val="000000" w:themeColor="text1"/>
        </w:rPr>
      </w:pPr>
      <w:r>
        <w:rPr>
          <w:color w:val="000000" w:themeColor="text1"/>
        </w:rPr>
        <w:t xml:space="preserve">To establish that average contributions defined in this way form a </w:t>
      </w:r>
      <w:r w:rsidR="00B522A6">
        <w:rPr>
          <w:color w:val="000000" w:themeColor="text1"/>
        </w:rPr>
        <w:t xml:space="preserve">valid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B522A6">
        <w:rPr>
          <w:color w:val="000000" w:themeColor="text1"/>
        </w:rPr>
        <w:t xml:space="preserve"> into group-specific contributions</w:t>
      </w:r>
      <w:r>
        <w:rPr>
          <w:color w:val="000000" w:themeColor="text1"/>
        </w:rPr>
        <w:t>, we need to prove that:</w:t>
      </w:r>
    </w:p>
    <w:p w14:paraId="6E691BDE" w14:textId="77777777" w:rsidR="00B522A6" w:rsidRDefault="00B522A6" w:rsidP="00856A10">
      <w:pPr>
        <w:spacing w:line="480" w:lineRule="auto"/>
        <w:rPr>
          <w:color w:val="000000" w:themeColor="text1"/>
        </w:rPr>
      </w:pPr>
    </w:p>
    <w:p w14:paraId="48614D3C" w14:textId="162B57FF" w:rsidR="00D94235" w:rsidRPr="00B522A6"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45F6F60C" w14:textId="77777777" w:rsidR="00B522A6" w:rsidRDefault="00B522A6" w:rsidP="00856A10">
      <w:pPr>
        <w:spacing w:line="480" w:lineRule="auto"/>
        <w:rPr>
          <w:color w:val="000000" w:themeColor="text1"/>
        </w:rPr>
      </w:pPr>
    </w:p>
    <w:p w14:paraId="3396D693" w14:textId="6AEE5CA3" w:rsidR="00B0622D" w:rsidRDefault="002B51D1" w:rsidP="00856A10">
      <w:pPr>
        <w:spacing w:line="480" w:lineRule="auto"/>
        <w:rPr>
          <w:color w:val="000000" w:themeColor="text1"/>
        </w:rPr>
      </w:pPr>
      <w:r>
        <w:rPr>
          <w:color w:val="000000" w:themeColor="text1"/>
        </w:rPr>
        <w:t>W</w:t>
      </w:r>
      <w:r w:rsidR="00704E5F">
        <w:rPr>
          <w:color w:val="000000" w:themeColor="text1"/>
        </w:rPr>
        <w:t>e already saw that</w:t>
      </w:r>
      <w:r>
        <w:rPr>
          <w:color w:val="000000" w:themeColor="text1"/>
        </w:rPr>
        <w:t xml:space="preserve"> for </w:t>
      </w:r>
      <m:oMath>
        <m:r>
          <w:rPr>
            <w:rFonts w:ascii="Cambria Math" w:hAnsi="Cambria Math"/>
            <w:color w:val="000000" w:themeColor="text1"/>
          </w:rPr>
          <m:t>N=2, 3</m:t>
        </m:r>
      </m:oMath>
      <w:r>
        <w:rPr>
          <w:color w:val="000000" w:themeColor="text1"/>
        </w:rPr>
        <w:t xml:space="preserve">, the proof involves showing that all terms except </w:t>
      </w:r>
      <m:oMath>
        <m:r>
          <w:rPr>
            <w:rFonts w:ascii="Cambria Math" w:hAnsi="Cambria Math"/>
            <w:color w:val="000000" w:themeColor="text1"/>
          </w:rPr>
          <m:t>l(T)</m:t>
        </m:r>
      </m:oMath>
      <w:r>
        <w:rPr>
          <w:color w:val="000000" w:themeColor="text1"/>
        </w:rPr>
        <w:t xml:space="preserve"> and </w:t>
      </w:r>
      <m:oMath>
        <m:r>
          <w:rPr>
            <w:rFonts w:ascii="Cambria Math" w:hAnsi="Cambria Math"/>
            <w:color w:val="000000" w:themeColor="text1"/>
          </w:rPr>
          <m:t>l(B)</m:t>
        </m:r>
      </m:oMath>
      <w:r>
        <w:rPr>
          <w:color w:val="000000" w:themeColor="text1"/>
        </w:rPr>
        <w:t xml:space="preserve"> have weights summing to </w:t>
      </w:r>
      <m:oMath>
        <m:r>
          <w:rPr>
            <w:rFonts w:ascii="Cambria Math" w:hAnsi="Cambria Math"/>
            <w:color w:val="000000" w:themeColor="text1"/>
          </w:rPr>
          <m:t>0.</m:t>
        </m:r>
      </m:oMath>
      <w:r>
        <w:rPr>
          <w:color w:val="000000" w:themeColor="text1"/>
        </w:rPr>
        <w:t xml:space="preserve"> </w:t>
      </w:r>
      <w:r w:rsidR="00704E5F">
        <w:rPr>
          <w:color w:val="000000" w:themeColor="text1"/>
        </w:rPr>
        <w:t>This is harder to do directly now that we have many terms. However, w</w:t>
      </w:r>
      <w:r w:rsidR="00B0622D">
        <w:rPr>
          <w:color w:val="000000" w:themeColor="text1"/>
        </w:rPr>
        <w:t xml:space="preserve">e </w:t>
      </w:r>
      <w:r w:rsidR="00704E5F">
        <w:rPr>
          <w:color w:val="000000" w:themeColor="text1"/>
        </w:rPr>
        <w:t>can</w:t>
      </w:r>
      <w:r w:rsidR="00B0622D">
        <w:rPr>
          <w:color w:val="000000" w:themeColor="text1"/>
        </w:rPr>
        <w:t xml:space="preserve"> start by recognizing that the </w:t>
      </w:r>
      <w:r w:rsidR="00904D00">
        <w:rPr>
          <w:color w:val="000000" w:themeColor="text1"/>
        </w:rPr>
        <w:t>life table</w:t>
      </w:r>
      <w:r w:rsidR="00704E5F">
        <w:rPr>
          <w:color w:val="000000" w:themeColor="text1"/>
        </w:rPr>
        <w:t xml:space="preserve"> function computed for</w:t>
      </w:r>
      <w:r w:rsidR="00B0622D">
        <w:rPr>
          <w:color w:val="000000" w:themeColor="text1"/>
        </w:rPr>
        <w:t xml:space="preserve"> a given </w:t>
      </w:r>
      <w:r w:rsidR="00704E5F">
        <w:rPr>
          <w:color w:val="000000" w:themeColor="text1"/>
        </w:rPr>
        <w:t xml:space="preserve">population composed by a </w:t>
      </w:r>
      <w:r w:rsidR="00B0622D">
        <w:rPr>
          <w:color w:val="000000" w:themeColor="text1"/>
        </w:rPr>
        <w:t xml:space="preserve">set of </w:t>
      </w:r>
      <w:r w:rsidR="00704E5F">
        <w:rPr>
          <w:color w:val="000000" w:themeColor="text1"/>
        </w:rPr>
        <w:t xml:space="preserve">subgroups </w:t>
      </w:r>
      <w:r>
        <w:rPr>
          <w:color w:val="000000" w:themeColor="text1"/>
        </w:rPr>
        <w:t>plus the baseline population</w:t>
      </w:r>
      <w:r w:rsidR="00B0622D">
        <w:rPr>
          <w:color w:val="000000" w:themeColor="text1"/>
        </w:rPr>
        <w:t xml:space="preserve"> can appear in two ways:</w:t>
      </w:r>
    </w:p>
    <w:p w14:paraId="37E3E400" w14:textId="77777777" w:rsidR="00704E5F" w:rsidRDefault="00704E5F" w:rsidP="00856A10">
      <w:pPr>
        <w:spacing w:line="480" w:lineRule="auto"/>
        <w:rPr>
          <w:color w:val="000000" w:themeColor="text1"/>
        </w:rPr>
      </w:pPr>
    </w:p>
    <w:p w14:paraId="27CE8F13" w14:textId="77857F74" w:rsidR="00B0622D" w:rsidRPr="00B0622D" w:rsidRDefault="00B0622D" w:rsidP="00856A10">
      <w:pPr>
        <w:pStyle w:val="ListParagraph"/>
        <w:numPr>
          <w:ilvl w:val="0"/>
          <w:numId w:val="8"/>
        </w:numPr>
        <w:spacing w:line="480" w:lineRule="auto"/>
        <w:rPr>
          <w:color w:val="000000" w:themeColor="text1"/>
        </w:rPr>
      </w:pPr>
      <w:r>
        <w:rPr>
          <w:color w:val="000000" w:themeColor="text1"/>
        </w:rPr>
        <w:lastRenderedPageBreak/>
        <w:t xml:space="preserve">As a term of the form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Pr>
          <w:color w:val="000000" w:themeColor="text1"/>
        </w:rPr>
        <w:t xml:space="preserve"> 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p>
    <w:p w14:paraId="72905A3B" w14:textId="389223A4" w:rsid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m+1</m:t>
                </m:r>
              </m:sup>
            </m:sSubSup>
          </m:e>
        </m:d>
      </m:oMath>
      <w:r w:rsidR="009F1EF7">
        <w:rPr>
          <w:color w:val="000000" w:themeColor="text1"/>
        </w:rPr>
        <w:t xml:space="preserve"> </w:t>
      </w:r>
      <w:r>
        <w:rPr>
          <w:color w:val="000000" w:themeColor="text1"/>
        </w:rPr>
        <w:t xml:space="preserve">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k,m,i</m:t>
            </m:r>
          </m:sup>
        </m:sSup>
      </m:oMath>
      <w:r w:rsidR="001921AE">
        <w:rPr>
          <w:color w:val="000000" w:themeColor="text1"/>
        </w:rPr>
        <w:t xml:space="preserve"> where </w:t>
      </w:r>
      <m:oMath>
        <m:r>
          <w:rPr>
            <w:rFonts w:ascii="Cambria Math" w:hAnsi="Cambria Math"/>
            <w:color w:val="000000" w:themeColor="text1"/>
          </w:rPr>
          <m:t>k≠n</m:t>
        </m:r>
      </m:oMath>
      <w:r w:rsidR="001921AE">
        <w:rPr>
          <w:color w:val="000000" w:themeColor="text1"/>
        </w:rPr>
        <w:t>.</w:t>
      </w:r>
    </w:p>
    <w:p w14:paraId="13CE889A" w14:textId="77777777" w:rsidR="00704E5F" w:rsidRPr="00704E5F" w:rsidRDefault="00704E5F" w:rsidP="00856A10">
      <w:pPr>
        <w:spacing w:line="480" w:lineRule="auto"/>
        <w:rPr>
          <w:color w:val="000000" w:themeColor="text1"/>
        </w:rPr>
      </w:pPr>
    </w:p>
    <w:p w14:paraId="34D8B34C" w14:textId="0DDD87D4" w:rsidR="00B0622D" w:rsidRDefault="00B0622D" w:rsidP="00856A10">
      <w:pPr>
        <w:spacing w:line="480" w:lineRule="auto"/>
        <w:rPr>
          <w:color w:val="000000" w:themeColor="text1"/>
        </w:rPr>
      </w:pPr>
      <w:r>
        <w:rPr>
          <w:color w:val="000000" w:themeColor="text1"/>
        </w:rPr>
        <w:t xml:space="preserve">In the first case, </w:t>
      </w:r>
      <w:r w:rsidR="001921AE">
        <w:rPr>
          <w:color w:val="000000" w:themeColor="text1"/>
        </w:rPr>
        <w:t xml:space="preserve">the </w:t>
      </w:r>
      <w:r w:rsidR="00904D00">
        <w:rPr>
          <w:color w:val="000000" w:themeColor="text1"/>
        </w:rPr>
        <w:t>life table</w:t>
      </w:r>
      <w:r w:rsidR="009F1EF7">
        <w:rPr>
          <w:color w:val="000000" w:themeColor="text1"/>
        </w:rPr>
        <w:t xml:space="preserve"> function </w:t>
      </w:r>
      <w:r>
        <w:rPr>
          <w:color w:val="000000" w:themeColor="text1"/>
        </w:rPr>
        <w:t xml:space="preserve">will have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Pr>
          <w:color w:val="000000" w:themeColor="text1"/>
        </w:rPr>
        <w:t xml:space="preserve"> and in the second case it will have weight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5661A2">
        <w:rPr>
          <w:color w:val="000000" w:themeColor="text1"/>
        </w:rPr>
        <w:t xml:space="preserve">. </w:t>
      </w:r>
      <w:r w:rsidR="001921AE">
        <w:rPr>
          <w:color w:val="000000" w:themeColor="text1"/>
        </w:rPr>
        <w:t xml:space="preserve">To understand what the final weight will be for each term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9F1EF7">
        <w:rPr>
          <w:color w:val="000000" w:themeColor="text1"/>
        </w:rPr>
        <w:t xml:space="preserve">, </w:t>
      </w:r>
      <w:r w:rsidR="001921AE">
        <w:rPr>
          <w:color w:val="000000" w:themeColor="text1"/>
        </w:rPr>
        <w:t xml:space="preserve">we just need to know how many times it will appear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1921AE">
        <w:rPr>
          <w:color w:val="000000" w:themeColor="text1"/>
        </w:rPr>
        <w:t xml:space="preserve"> and how many times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1921AE">
        <w:rPr>
          <w:color w:val="000000" w:themeColor="text1"/>
        </w:rPr>
        <w:t>. For terms of the first type,</w:t>
      </w:r>
      <w:r w:rsidR="00AC044A">
        <w:rPr>
          <w:color w:val="000000" w:themeColor="text1"/>
        </w:rPr>
        <w:t xml:space="preserve"> we have </w:t>
      </w:r>
      <m:oMath>
        <m:r>
          <w:rPr>
            <w:rFonts w:ascii="Cambria Math" w:hAnsi="Cambria Math"/>
            <w:color w:val="000000" w:themeColor="text1"/>
          </w:rPr>
          <m:t>m+1</m:t>
        </m:r>
      </m:oMath>
      <w:r w:rsidR="00AC044A">
        <w:rPr>
          <w:color w:val="000000" w:themeColor="text1"/>
        </w:rPr>
        <w:t xml:space="preserve"> ways of choosing </w:t>
      </w:r>
      <m:oMath>
        <m:r>
          <w:rPr>
            <w:rFonts w:ascii="Cambria Math" w:hAnsi="Cambria Math"/>
            <w:color w:val="000000" w:themeColor="text1"/>
          </w:rPr>
          <m:t>n</m:t>
        </m:r>
      </m:oMath>
      <w:r w:rsidR="00AC044A">
        <w:rPr>
          <w:color w:val="000000" w:themeColor="text1"/>
        </w:rPr>
        <w:t xml:space="preserve"> while keeping the </w:t>
      </w:r>
      <w:r w:rsidR="009F1EF7">
        <w:rPr>
          <w:color w:val="000000" w:themeColor="text1"/>
        </w:rPr>
        <w:t xml:space="preserve">subgroups </w:t>
      </w:r>
      <w:r w:rsidR="00AC044A">
        <w:rPr>
          <w:color w:val="000000" w:themeColor="text1"/>
        </w:rPr>
        <w:t xml:space="preserve">involved the same. </w:t>
      </w:r>
      <w:r w:rsidR="009F1EF7">
        <w:rPr>
          <w:color w:val="000000" w:themeColor="text1"/>
        </w:rPr>
        <w:t>On the other hand, terms</w:t>
      </w:r>
      <w:r w:rsidR="00AC044A">
        <w:rPr>
          <w:color w:val="000000" w:themeColor="text1"/>
        </w:rPr>
        <w:t xml:space="preserve"> of the second type</w:t>
      </w:r>
      <w:r w:rsidR="009F1EF7">
        <w:rPr>
          <w:color w:val="000000" w:themeColor="text1"/>
        </w:rPr>
        <w:t xml:space="preserve"> </w:t>
      </w:r>
      <w:r w:rsidR="00DF24E2">
        <w:rPr>
          <w:color w:val="000000" w:themeColor="text1"/>
        </w:rPr>
        <w:t xml:space="preserve">can only appear in contributions involving the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m+1</m:t>
            </m:r>
          </m:e>
        </m:d>
      </m:oMath>
      <w:r w:rsidR="00DF24E2">
        <w:rPr>
          <w:color w:val="000000" w:themeColor="text1"/>
        </w:rPr>
        <w:t xml:space="preserve"> excluded groups. With this information, we are now able to compute the weight associated with </w:t>
      </w:r>
      <w:r w:rsidR="009F1EF7">
        <w:rPr>
          <w:color w:val="000000" w:themeColor="text1"/>
        </w:rPr>
        <w:t>the</w:t>
      </w:r>
      <w:r w:rsidR="00DF24E2">
        <w:rPr>
          <w:color w:val="000000" w:themeColor="text1"/>
        </w:rPr>
        <w:t xml:space="preserve"> </w:t>
      </w:r>
      <w:r w:rsidR="00904D00">
        <w:rPr>
          <w:color w:val="000000" w:themeColor="text1"/>
        </w:rPr>
        <w:t>life table</w:t>
      </w:r>
      <w:r w:rsidR="009F1EF7">
        <w:rPr>
          <w:color w:val="000000" w:themeColor="text1"/>
        </w:rPr>
        <w:t xml:space="preserve"> function computed for each population</w:t>
      </w:r>
      <w:r w:rsidR="00DF24E2">
        <w:rPr>
          <w:color w:val="000000" w:themeColor="text1"/>
        </w:rPr>
        <w:t>:</w:t>
      </w:r>
    </w:p>
    <w:p w14:paraId="3B6D6CE4" w14:textId="77777777" w:rsidR="009F1EF7" w:rsidRDefault="009F1EF7" w:rsidP="00856A10">
      <w:pPr>
        <w:spacing w:line="480" w:lineRule="auto"/>
        <w:rPr>
          <w:color w:val="000000" w:themeColor="text1"/>
        </w:rPr>
      </w:pPr>
    </w:p>
    <w:p w14:paraId="683B4541" w14:textId="183918A3" w:rsidR="005661A2" w:rsidRPr="00DF24E2" w:rsidRDefault="00DF24E2" w:rsidP="00856A10">
      <w:pPr>
        <w:spacing w:line="480" w:lineRule="auto"/>
        <w:ind w:left="284" w:hanging="284"/>
        <w:rPr>
          <w:color w:val="000000" w:themeColor="text1"/>
        </w:rPr>
      </w:pPr>
      <m:oMathPara>
        <m:oMathParaPr>
          <m:jc m:val="left"/>
        </m:oMathParaPr>
        <m:oMath>
          <m:r>
            <w:rPr>
              <w:rFonts w:ascii="Cambria Math" w:hAnsi="Cambria Math"/>
              <w:color w:val="000000" w:themeColor="text1"/>
            </w:rPr>
            <m:t>w</m:t>
          </m:r>
          <m:d>
            <m:dPr>
              <m:ctrlPr>
                <w:rPr>
                  <w:rFonts w:ascii="Cambria Math" w:hAnsi="Cambria Math"/>
                  <w:i/>
                  <w:color w:val="000000" w:themeColor="text1"/>
                </w:rPr>
              </m:ctrlPr>
            </m:dPr>
            <m:e>
              <m:r>
                <w:rPr>
                  <w:rFonts w:ascii="Cambria Math" w:hAnsi="Cambria Math"/>
                  <w:color w:val="000000" w:themeColor="text1"/>
                </w:rPr>
                <m:t>l(</m:t>
              </m:r>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m:oMathPara>
    </w:p>
    <w:p w14:paraId="42C29341" w14:textId="788F963C" w:rsidR="005661A2"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m+1</m:t>
                      </m:r>
                    </m:den>
                  </m:f>
                </m:e>
              </m:d>
            </m:den>
          </m:f>
        </m:oMath>
      </m:oMathPara>
    </w:p>
    <w:p w14:paraId="5658580A" w14:textId="35E2C724"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den>
          </m:f>
        </m:oMath>
      </m:oMathPara>
    </w:p>
    <w:p w14:paraId="50FB58DC" w14:textId="57FE6FB1"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5B1D37D2" w14:textId="570FBB4E"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(m+1)!</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6CA513CC" w14:textId="39631951" w:rsidR="003E34E3" w:rsidRPr="009F1EF7" w:rsidRDefault="003E34E3"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=0</m:t>
          </m:r>
        </m:oMath>
      </m:oMathPara>
    </w:p>
    <w:p w14:paraId="10FACCEE" w14:textId="77777777" w:rsidR="009F1EF7" w:rsidRPr="00DF24E2" w:rsidRDefault="009F1EF7" w:rsidP="00856A10">
      <w:pPr>
        <w:spacing w:line="480" w:lineRule="auto"/>
        <w:ind w:left="1701" w:hanging="1701"/>
        <w:rPr>
          <w:color w:val="000000" w:themeColor="text1"/>
        </w:rPr>
      </w:pPr>
    </w:p>
    <w:p w14:paraId="1AE52321" w14:textId="3CC5698A" w:rsidR="003E34E3" w:rsidRDefault="009F1EF7" w:rsidP="00856A10">
      <w:pPr>
        <w:spacing w:line="480" w:lineRule="auto"/>
        <w:rPr>
          <w:color w:val="000000" w:themeColor="text1"/>
        </w:rPr>
      </w:pPr>
      <w:r>
        <w:rPr>
          <w:color w:val="000000" w:themeColor="text1"/>
        </w:rPr>
        <w:t xml:space="preserve">Which proves that </w:t>
      </w:r>
      <w:r w:rsidR="00904D00">
        <w:rPr>
          <w:color w:val="000000" w:themeColor="text1"/>
        </w:rPr>
        <w:t>life table</w:t>
      </w:r>
      <w:r>
        <w:rPr>
          <w:color w:val="000000" w:themeColor="text1"/>
        </w:rPr>
        <w:t xml:space="preserve"> functions for all populations of the type </w:t>
      </w:r>
      <m:oMath>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 xml:space="preserve"> </m:t>
        </m:r>
      </m:oMath>
      <w:r>
        <w:rPr>
          <w:color w:val="000000" w:themeColor="text1"/>
        </w:rPr>
        <w:t xml:space="preserve">cancel out. </w:t>
      </w:r>
      <w:r w:rsidR="003E34E3">
        <w:rPr>
          <w:color w:val="000000" w:themeColor="text1"/>
        </w:rPr>
        <w:t xml:space="preserve">The only </w:t>
      </w:r>
      <w:r>
        <w:rPr>
          <w:color w:val="000000" w:themeColor="text1"/>
        </w:rPr>
        <w:t xml:space="preserve">two </w:t>
      </w:r>
      <w:r w:rsidR="003E34E3">
        <w:rPr>
          <w:color w:val="000000" w:themeColor="text1"/>
        </w:rPr>
        <w:t xml:space="preserve">exceptions are </w:t>
      </w:r>
      <m:oMath>
        <m:r>
          <w:rPr>
            <w:rFonts w:ascii="Cambria Math" w:hAnsi="Cambria Math"/>
            <w:color w:val="000000" w:themeColor="text1"/>
          </w:rPr>
          <m:t>l(B)</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Pr>
          <w:color w:val="000000" w:themeColor="text1"/>
        </w:rPr>
        <w:t xml:space="preserve">, </w:t>
      </w:r>
      <w:r w:rsidR="003E34E3">
        <w:rPr>
          <w:color w:val="000000" w:themeColor="text1"/>
        </w:rPr>
        <w:t xml:space="preserve">and </w:t>
      </w:r>
      <m:oMath>
        <m:r>
          <w:rPr>
            <w:rFonts w:ascii="Cambria Math" w:hAnsi="Cambria Math"/>
            <w:color w:val="000000" w:themeColor="text1"/>
          </w:rPr>
          <m:t>l(T)</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3E34E3">
        <w:rPr>
          <w:color w:val="000000" w:themeColor="text1"/>
        </w:rPr>
        <w:t xml:space="preserve">. Thus, summing the average contributions for our </w:t>
      </w:r>
      <m:oMath>
        <m:r>
          <w:rPr>
            <w:rFonts w:ascii="Cambria Math" w:hAnsi="Cambria Math"/>
            <w:color w:val="000000" w:themeColor="text1"/>
          </w:rPr>
          <m:t>N</m:t>
        </m:r>
      </m:oMath>
      <w:r w:rsidR="003E34E3">
        <w:rPr>
          <w:color w:val="000000" w:themeColor="text1"/>
        </w:rPr>
        <w:t xml:space="preserve"> groups we obtain:</w:t>
      </w:r>
    </w:p>
    <w:p w14:paraId="7B8DBF1F" w14:textId="77777777" w:rsidR="009F1EF7" w:rsidRDefault="009F1EF7" w:rsidP="00856A10">
      <w:pPr>
        <w:spacing w:line="480" w:lineRule="auto"/>
        <w:rPr>
          <w:color w:val="000000" w:themeColor="text1"/>
        </w:rPr>
      </w:pPr>
    </w:p>
    <w:p w14:paraId="383CF12F" w14:textId="62EF44EA" w:rsidR="003E34E3" w:rsidRPr="009F1EF7"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018F1E84" w14:textId="77777777" w:rsidR="009F1EF7" w:rsidRPr="00B24C92" w:rsidRDefault="009F1EF7" w:rsidP="00856A10">
      <w:pPr>
        <w:spacing w:line="480" w:lineRule="auto"/>
        <w:rPr>
          <w:color w:val="000000" w:themeColor="text1"/>
        </w:rPr>
      </w:pPr>
    </w:p>
    <w:p w14:paraId="76DE21C6" w14:textId="5D2F60B4" w:rsidR="005661A2" w:rsidRDefault="00DF24E2" w:rsidP="003E6BAB">
      <w:pPr>
        <w:spacing w:line="480" w:lineRule="auto"/>
        <w:rPr>
          <w:color w:val="000000" w:themeColor="text1"/>
        </w:rPr>
      </w:pPr>
      <w:r>
        <w:rPr>
          <w:color w:val="000000" w:themeColor="text1"/>
        </w:rPr>
        <w:t>a</w:t>
      </w:r>
      <w:r w:rsidR="003E34E3">
        <w:rPr>
          <w:color w:val="000000" w:themeColor="text1"/>
        </w:rPr>
        <w:t xml:space="preserve">s desired. </w:t>
      </w:r>
      <w:r w:rsidR="00333F2A">
        <w:rPr>
          <w:color w:val="000000" w:themeColor="text1"/>
        </w:rPr>
        <w:t xml:space="preserve">This result shows </w:t>
      </w:r>
      <w:r w:rsidR="00926C27">
        <w:rPr>
          <w:color w:val="000000" w:themeColor="text1"/>
        </w:rPr>
        <w:t xml:space="preserve">that </w:t>
      </w:r>
      <w:r w:rsidR="009F1EF7">
        <w:rPr>
          <w:color w:val="000000" w:themeColor="text1"/>
        </w:rPr>
        <w:t xml:space="preserve">the average contributions provide a decomposition of the total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9F1EF7">
        <w:rPr>
          <w:color w:val="000000" w:themeColor="text1"/>
        </w:rPr>
        <w:t xml:space="preserve"> even in the case of </w:t>
      </w:r>
      <m:oMath>
        <m:r>
          <w:rPr>
            <w:rFonts w:ascii="Cambria Math" w:hAnsi="Cambria Math"/>
            <w:color w:val="000000" w:themeColor="text1"/>
          </w:rPr>
          <m:t>N</m:t>
        </m:r>
      </m:oMath>
      <w:r w:rsidR="009F1EF7">
        <w:rPr>
          <w:color w:val="000000" w:themeColor="text1"/>
        </w:rPr>
        <w:t xml:space="preserve"> subgroups.</w:t>
      </w:r>
    </w:p>
    <w:p w14:paraId="16949C3E" w14:textId="77777777" w:rsidR="00A4655A" w:rsidRDefault="00A4655A" w:rsidP="003E6BAB">
      <w:pPr>
        <w:spacing w:line="480" w:lineRule="auto"/>
        <w:rPr>
          <w:color w:val="000000" w:themeColor="text1"/>
        </w:rPr>
      </w:pPr>
    </w:p>
    <w:p w14:paraId="38E59DF0" w14:textId="22B96888" w:rsidR="00A4655A" w:rsidRPr="00A4655A" w:rsidRDefault="00A4655A" w:rsidP="003E6BAB">
      <w:pPr>
        <w:spacing w:line="480" w:lineRule="auto"/>
        <w:rPr>
          <w:b/>
          <w:bCs/>
          <w:color w:val="000000" w:themeColor="text1"/>
        </w:rPr>
      </w:pPr>
      <w:r w:rsidRPr="00A4655A">
        <w:rPr>
          <w:b/>
          <w:bCs/>
          <w:color w:val="000000" w:themeColor="text1"/>
        </w:rPr>
        <w:t>Origins of the Decomposition and Notes on Its Interpretation</w:t>
      </w:r>
    </w:p>
    <w:p w14:paraId="217C2043" w14:textId="77777777" w:rsidR="00A4655A" w:rsidRDefault="00A4655A" w:rsidP="00A4655A">
      <w:pPr>
        <w:spacing w:line="480" w:lineRule="auto"/>
        <w:rPr>
          <w:color w:val="000000" w:themeColor="text1"/>
        </w:rPr>
      </w:pPr>
      <w:r>
        <w:rPr>
          <w:color w:val="000000" w:themeColor="text1"/>
        </w:rPr>
        <w:t xml:space="preserve">The basic idea for the decomposition method developed in this paper was originally proposed by Hendi and Ho (2021) to investigate the contribution of the foreign born population to the national life expectancy at age 1 in the United States </w:t>
      </w:r>
      <w:r>
        <w:rPr>
          <w:color w:val="000000" w:themeColor="text1"/>
        </w:rPr>
        <w:fldChar w:fldCharType="begin"/>
      </w:r>
      <w:r>
        <w:rPr>
          <w:color w:val="000000" w:themeColor="text1"/>
        </w:rPr>
        <w:instrText xml:space="preserve"> ADDIN ZOTERO_ITEM CSL_CITATION {"citationID":"rair1U22","properties":{"formattedCitation":"(Hendi and Ho 2021)","plainCitation":"(Hendi and Ho 2021)","noteIndex":0},"citationItems":[{"id":909,"uris":["http://zotero.org/users/8250957/items/B23WS3BF"],"itemData":{"id":909,"type":"article-journal","abstract":"Despite the immigrant mortality advantage and the increasing share of the population born abroad, relatively little is known about how immigration has impacted trends in US life expectancy. How immigrants contribute to national life expectancy trends is of increasing interest, particularly in the context of an unprecedented stagnation in American mortality. We find that immigration increases US life expectancy by 1.5 years for men and 1.4 years for women. Over half of these contributions occur at the prime working ages of 25–64. The difference between foreign-born and US-born mortality has grown substantially since 1990, with the ratio of US-born to foreign-born mortality rates nearly doubling by 2017. In that year, foreign-born life expectancy reached 81.4 and 85.7 years for men and women, respectively—7.0 and 6.2 years higher than their US-origin counterparts. These life expectancy levels are remarkable by most standards. Foreign-born male life expectancy exceeds that of Swiss men, the world leaders in male life expectancy. Life expectancy for foreign-born women is close to that of Japanese women, the world leaders in female life expectancy. The widening mortality difference between the US-born and foreign-born populations, coupled with an increase in the share of the population born abroad, has been responsible for much of the increase in national life expectancy in recent years. Between 2007 and 2017, foreign-born men and women were responsible for 44% and 60% of national life expectancy improvements. Between 2010 and 2017, immigrants experienced gains while the US-born experienced declines in life expectancy. Thus, nearly all of the post-2010 mortality stagnation is due to adverse trends among the US-born. Without immigrants and their children, national life expectancy in 2017 would be reduced to its 2003 levels. These findings demonstrate that immigration acts to bolster American life expectancy, with particularly valuable contributions at the prime working ages.","container-title":"SSM - Population Health","DOI":"10.1016/j.ssmph.2021.100914","ISSN":"2352-8273","journalAbbreviation":"SSM - Population Health","language":"en","page":"100914","source":"ScienceDirect","title":"Immigration and improvements in American life expectancy","volume":"15","author":[{"family":"Hendi","given":"Arun S."},{"family":"Ho","given":"Jessica Y."}],"issued":{"date-parts":[["2021",9,1]]}}}],"schema":"https://github.com/citation-style-language/schema/raw/master/csl-citation.json"} </w:instrText>
      </w:r>
      <w:r>
        <w:rPr>
          <w:color w:val="000000" w:themeColor="text1"/>
        </w:rPr>
        <w:fldChar w:fldCharType="separate"/>
      </w:r>
      <w:r>
        <w:rPr>
          <w:noProof/>
          <w:color w:val="000000" w:themeColor="text1"/>
        </w:rPr>
        <w:t>(Hendi and Ho 2021)</w:t>
      </w:r>
      <w:r>
        <w:rPr>
          <w:color w:val="000000" w:themeColor="text1"/>
        </w:rPr>
        <w:fldChar w:fldCharType="end"/>
      </w:r>
      <w:r>
        <w:rPr>
          <w:color w:val="000000" w:themeColor="text1"/>
        </w:rPr>
        <w:t xml:space="preserve">. In that context, Hendi and Ho considered a total population </w:t>
      </w:r>
      <m:oMath>
        <m:r>
          <w:rPr>
            <w:rFonts w:ascii="Cambria Math" w:hAnsi="Cambria Math"/>
            <w:color w:val="000000" w:themeColor="text1"/>
          </w:rPr>
          <m:t>T</m:t>
        </m:r>
      </m:oMath>
      <w:r>
        <w:rPr>
          <w:color w:val="000000" w:themeColor="text1"/>
        </w:rPr>
        <w:t xml:space="preserve"> including all residents of the United States, a baseline population </w:t>
      </w:r>
      <m:oMath>
        <m:r>
          <w:rPr>
            <w:rFonts w:ascii="Cambria Math" w:hAnsi="Cambria Math"/>
            <w:color w:val="000000" w:themeColor="text1"/>
          </w:rPr>
          <m:t>B</m:t>
        </m:r>
      </m:oMath>
      <w:r>
        <w:rPr>
          <w:color w:val="000000" w:themeColor="text1"/>
        </w:rPr>
        <w:t xml:space="preserve"> including only US-born residents, and a single contributing group </w:t>
      </w:r>
      <m:oMath>
        <m:r>
          <w:rPr>
            <w:rFonts w:ascii="Cambria Math" w:hAnsi="Cambria Math"/>
            <w:color w:val="000000" w:themeColor="text1"/>
          </w:rPr>
          <m:t>G</m:t>
        </m:r>
      </m:oMath>
      <w:r>
        <w:rPr>
          <w:color w:val="000000" w:themeColor="text1"/>
        </w:rPr>
        <w:t xml:space="preserve"> including all foreign-born residents. They proposed to compute the contribution of the foreign-born population to the US life expectancy at age 1 as:</w:t>
      </w:r>
    </w:p>
    <w:p w14:paraId="31EE6755" w14:textId="77777777" w:rsidR="00A4655A" w:rsidRDefault="00A4655A" w:rsidP="00A4655A">
      <w:pPr>
        <w:spacing w:line="480" w:lineRule="auto"/>
        <w:rPr>
          <w:color w:val="000000" w:themeColor="text1"/>
        </w:rPr>
      </w:pPr>
    </w:p>
    <w:p w14:paraId="21FEFC2D" w14:textId="77777777" w:rsidR="00A4655A" w:rsidRPr="000848D6" w:rsidRDefault="00A4655A" w:rsidP="00A4655A">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m:oMathPara>
    </w:p>
    <w:p w14:paraId="4E1D0B16" w14:textId="77777777" w:rsidR="00A4655A" w:rsidRPr="008646FD" w:rsidRDefault="00A4655A" w:rsidP="00A4655A">
      <w:pPr>
        <w:spacing w:line="480" w:lineRule="auto"/>
        <w:rPr>
          <w:color w:val="000000" w:themeColor="text1"/>
        </w:rPr>
      </w:pPr>
    </w:p>
    <w:p w14:paraId="4B3F226F" w14:textId="77777777" w:rsidR="00A4655A" w:rsidRDefault="00A4655A" w:rsidP="00A4655A">
      <w:pPr>
        <w:spacing w:line="480" w:lineRule="auto"/>
        <w:rPr>
          <w:color w:val="000000" w:themeColor="text1"/>
        </w:rPr>
      </w:pPr>
      <w:r w:rsidRPr="00BD050C">
        <w:rPr>
          <w:color w:val="000000" w:themeColor="text1"/>
        </w:rPr>
        <w:t xml:space="preserve">Where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sidRPr="00BD050C">
        <w:rPr>
          <w:color w:val="000000" w:themeColor="text1"/>
        </w:rPr>
        <w:t xml:space="preserve"> is the life expectancy at age 1 for the total population and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sidRPr="00BD050C">
        <w:rPr>
          <w:color w:val="000000" w:themeColor="text1"/>
        </w:rPr>
        <w:t xml:space="preserve"> is the life expectancy at age 1 for</w:t>
      </w:r>
      <w:r>
        <w:rPr>
          <w:color w:val="000000" w:themeColor="text1"/>
        </w:rPr>
        <w:t xml:space="preserve"> US-born residents (the baseline population</w:t>
      </w:r>
      <w:r w:rsidRPr="0067517C">
        <w:rPr>
          <w:color w:val="000000" w:themeColor="text1"/>
        </w:rPr>
        <w:t>). The logic behind this formula is clear, the difference between the life expectancy of all US residents and US-born residents must be explained by the contribution of the foreign-born population.</w:t>
      </w:r>
      <w:r>
        <w:rPr>
          <w:color w:val="000000" w:themeColor="text1"/>
        </w:rPr>
        <w:t xml:space="preserve"> However, it is important to highlight some possible difficulties in the interpretation of such contribution before moving forward. Using Hendi and Ho (2020) example, if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is the vector of period age-specific mortality rates for US-born residents,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oMath>
      <w:r>
        <w:rPr>
          <w:color w:val="000000" w:themeColor="text1"/>
        </w:rPr>
        <w:t xml:space="preserve"> is the vector of period age-specific mortality rates for the foreign-born residents, and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oMath>
      <w:r>
        <w:rPr>
          <w:color w:val="000000" w:themeColor="text1"/>
        </w:rPr>
        <w:t xml:space="preserve"> is the vector of age-specific mortality rates for the total population, and assuming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oMath>
      <w:r>
        <w:rPr>
          <w:color w:val="000000" w:themeColor="text1"/>
        </w:rPr>
        <w:t>, there is no guarantee that:</w:t>
      </w:r>
    </w:p>
    <w:p w14:paraId="5018D530" w14:textId="77777777" w:rsidR="00A4655A" w:rsidRDefault="00A4655A" w:rsidP="00A4655A">
      <w:pPr>
        <w:spacing w:line="480" w:lineRule="auto"/>
        <w:rPr>
          <w:color w:val="000000" w:themeColor="text1"/>
        </w:rPr>
      </w:pPr>
    </w:p>
    <w:p w14:paraId="63B77C9C" w14:textId="77777777" w:rsidR="00A4655A" w:rsidRPr="000B51B2" w:rsidRDefault="00A4655A" w:rsidP="00A4655A">
      <w:pPr>
        <w:spacing w:line="480" w:lineRule="auto"/>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oMath>
      </m:oMathPara>
    </w:p>
    <w:p w14:paraId="11345546" w14:textId="77777777" w:rsidR="00A4655A" w:rsidRPr="00FF30E3" w:rsidRDefault="00A4655A" w:rsidP="00A4655A">
      <w:pPr>
        <w:spacing w:line="480" w:lineRule="auto"/>
        <w:rPr>
          <w:color w:val="000000" w:themeColor="text1"/>
        </w:rPr>
      </w:pPr>
    </w:p>
    <w:p w14:paraId="1FB827C9" w14:textId="77777777" w:rsidR="00A4655A" w:rsidRDefault="00A4655A" w:rsidP="00A4655A">
      <w:pPr>
        <w:spacing w:line="480" w:lineRule="auto"/>
        <w:rPr>
          <w:color w:val="000000" w:themeColor="text1"/>
        </w:rPr>
      </w:pPr>
      <w:r>
        <w:rPr>
          <w:color w:val="000000" w:themeColor="text1"/>
        </w:rPr>
        <w:t xml:space="preserve">Where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oMath>
      <w:r>
        <w:rPr>
          <w:color w:val="000000" w:themeColor="text1"/>
        </w:rPr>
        <w:t xml:space="preserve"> are vectors of age-specific weights proportional to the share of the foreign-born and US-born in the population, respectively, and such that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=1 ∀i</m:t>
        </m:r>
      </m:oMath>
      <w:r>
        <w:rPr>
          <w:color w:val="000000" w:themeColor="text1"/>
        </w:rPr>
        <w:t>. The two inequalities fail to hold because a priori:</w:t>
      </w:r>
    </w:p>
    <w:p w14:paraId="76DB1D30" w14:textId="77777777" w:rsidR="00A4655A" w:rsidRDefault="00A4655A" w:rsidP="00A4655A">
      <w:pPr>
        <w:spacing w:line="480" w:lineRule="auto"/>
        <w:rPr>
          <w:color w:val="000000" w:themeColor="text1"/>
        </w:rPr>
      </w:pPr>
    </w:p>
    <w:p w14:paraId="4EFBAC1A" w14:textId="77777777" w:rsidR="00A4655A" w:rsidRDefault="00A4655A" w:rsidP="00A4655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2806506A" w14:textId="77777777" w:rsidR="00A4655A" w:rsidRDefault="00A4655A" w:rsidP="00A4655A">
      <w:pPr>
        <w:spacing w:line="480" w:lineRule="auto"/>
        <w:rPr>
          <w:color w:val="000000" w:themeColor="text1"/>
        </w:rPr>
      </w:pPr>
    </w:p>
    <w:p w14:paraId="1547CCB9" w14:textId="77777777" w:rsidR="00A4655A" w:rsidRDefault="00A4655A" w:rsidP="00A4655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minimums and:</w:t>
      </w:r>
    </w:p>
    <w:p w14:paraId="7E85A35B" w14:textId="77777777" w:rsidR="00A4655A" w:rsidRDefault="00A4655A" w:rsidP="00A4655A">
      <w:pPr>
        <w:spacing w:line="480" w:lineRule="auto"/>
        <w:rPr>
          <w:color w:val="000000" w:themeColor="text1"/>
        </w:rPr>
      </w:pPr>
    </w:p>
    <w:p w14:paraId="67D8C534" w14:textId="77777777" w:rsidR="00A4655A" w:rsidRDefault="00A4655A" w:rsidP="00A4655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r>
                <w:rPr>
                  <w:rFonts w:ascii="Cambria Math" w:hAnsi="Cambria Math"/>
                  <w:color w:val="000000" w:themeColor="text1"/>
                </w:rPr>
                <m:t xml:space="preserve"> </m:t>
              </m:r>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02125282" w14:textId="77777777" w:rsidR="00A4655A" w:rsidRDefault="00A4655A" w:rsidP="00A4655A">
      <w:pPr>
        <w:spacing w:line="480" w:lineRule="auto"/>
        <w:rPr>
          <w:color w:val="000000" w:themeColor="text1"/>
        </w:rPr>
      </w:pPr>
    </w:p>
    <w:p w14:paraId="13F3E6F3" w14:textId="77777777" w:rsidR="00A4655A" w:rsidRDefault="00A4655A" w:rsidP="00A4655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maximums. Equivalently, as long as the two sets of mortality rates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cross at some point (i.e. </w:t>
      </w:r>
      <m:oMath>
        <m:r>
          <w:rPr>
            <w:rFonts w:ascii="Cambria Math" w:hAnsi="Cambria Math"/>
            <w:color w:val="000000" w:themeColor="text1"/>
          </w:rPr>
          <m:t xml:space="preserve">∃i,j  s.t.   </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 xml:space="preserve">   x</m:t>
                </m:r>
              </m:e>
              <m:sub>
                <m:r>
                  <w:rPr>
                    <w:rFonts w:ascii="Cambria Math" w:hAnsi="Cambria Math"/>
                    <w:color w:val="000000" w:themeColor="text1"/>
                  </w:rPr>
                  <m:t>j</m:t>
                </m:r>
              </m:sub>
              <m:sup>
                <m:r>
                  <w:rPr>
                    <w:rFonts w:ascii="Cambria Math" w:hAnsi="Cambria Math"/>
                    <w:color w:val="000000" w:themeColor="text1"/>
                  </w:rPr>
                  <m:t>FB</m:t>
                </m:r>
              </m:sup>
            </m:sSubSup>
            <m:r>
              <w:rPr>
                <w:rFonts w:ascii="Cambria Math" w:hAnsi="Cambria Math"/>
                <w:color w:val="000000" w:themeColor="text1"/>
              </w:rPr>
              <m:t>&lt;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USB</m:t>
                </m:r>
              </m:sup>
            </m:sSubSup>
          </m:e>
        </m:nary>
        <m:r>
          <w:rPr>
            <w:rFonts w:ascii="Cambria Math" w:hAnsi="Cambria Math"/>
            <w:color w:val="000000" w:themeColor="text1"/>
          </w:rPr>
          <m:t xml:space="preserve"> )</m:t>
        </m:r>
      </m:oMath>
      <w:r>
        <w:rPr>
          <w:color w:val="000000" w:themeColor="text1"/>
        </w:rPr>
        <w:t xml:space="preserve">, there will be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&gt;</m:t>
        </m:r>
        <m:r>
          <m:rPr>
            <m:sty m:val="p"/>
          </m:rPr>
          <w:rPr>
            <w:rFonts w:ascii="Cambria Math" w:hAnsi="Cambria Math"/>
            <w:color w:val="000000" w:themeColor="text1"/>
          </w:rPr>
          <m:t>max⁡</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and also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&lt;</m:t>
        </m:r>
        <m:r>
          <m:rPr>
            <m:sty m:val="p"/>
          </m:rPr>
          <w:rPr>
            <w:rFonts w:ascii="Cambria Math" w:hAnsi="Cambria Math"/>
            <w:color w:val="000000" w:themeColor="text1"/>
          </w:rPr>
          <m:t>min⁡</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The failure of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Pr>
          <w:color w:val="000000" w:themeColor="text1"/>
        </w:rPr>
        <w:t xml:space="preserve"> to be bounded by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has two consequences that affect how we think of the contribution of a group </w:t>
      </w:r>
      <m:oMath>
        <m:r>
          <w:rPr>
            <w:rFonts w:ascii="Cambria Math" w:hAnsi="Cambria Math"/>
            <w:color w:val="000000" w:themeColor="text1"/>
          </w:rPr>
          <m:t>G</m:t>
        </m:r>
      </m:oMath>
      <w:r>
        <w:rPr>
          <w:color w:val="000000" w:themeColor="text1"/>
        </w:rPr>
        <w:t xml:space="preserve"> to the total life-expectancy given a certain baseline population:</w:t>
      </w:r>
    </w:p>
    <w:p w14:paraId="0EEFA1B8" w14:textId="77777777" w:rsidR="00A4655A" w:rsidRDefault="00A4655A" w:rsidP="00A4655A">
      <w:pPr>
        <w:spacing w:line="480" w:lineRule="auto"/>
        <w:rPr>
          <w:color w:val="000000" w:themeColor="text1"/>
        </w:rPr>
      </w:pPr>
    </w:p>
    <w:p w14:paraId="1A1BC51F" w14:textId="77777777" w:rsidR="00A4655A" w:rsidRPr="00FF30E3" w:rsidRDefault="00A4655A" w:rsidP="00A4655A">
      <w:pPr>
        <w:pStyle w:val="ListParagraph"/>
        <w:numPr>
          <w:ilvl w:val="0"/>
          <w:numId w:val="10"/>
        </w:numPr>
        <w:spacing w:line="480" w:lineRule="auto"/>
        <w:rPr>
          <w:color w:val="000000" w:themeColor="text1"/>
        </w:rPr>
      </w:pPr>
      <w:r>
        <w:rPr>
          <w:color w:val="000000" w:themeColor="text1"/>
        </w:rPr>
        <w:t xml:space="preserve">It can happen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Pr>
          <w:color w:val="000000" w:themeColor="text1"/>
        </w:rPr>
        <w:t xml:space="preserve">. In words, a group </w:t>
      </w:r>
      <m:oMath>
        <m:r>
          <w:rPr>
            <w:rFonts w:ascii="Cambria Math" w:hAnsi="Cambria Math"/>
            <w:color w:val="000000" w:themeColor="text1"/>
          </w:rPr>
          <m:t>G</m:t>
        </m:r>
      </m:oMath>
      <w:r>
        <w:rPr>
          <w:color w:val="000000" w:themeColor="text1"/>
        </w:rPr>
        <w:t xml:space="preserve"> could contribute more years to the total life expectancy than the difference between its life expectancy and that of the baseline population.</w:t>
      </w:r>
    </w:p>
    <w:p w14:paraId="3665EF5C" w14:textId="77777777" w:rsidR="00A4655A" w:rsidRDefault="00A4655A" w:rsidP="00A4655A">
      <w:pPr>
        <w:pStyle w:val="ListParagraph"/>
        <w:numPr>
          <w:ilvl w:val="0"/>
          <w:numId w:val="10"/>
        </w:numPr>
        <w:spacing w:line="480" w:lineRule="auto"/>
        <w:rPr>
          <w:color w:val="000000" w:themeColor="text1"/>
        </w:rPr>
      </w:pPr>
      <w:r>
        <w:rPr>
          <w:color w:val="000000" w:themeColor="text1"/>
        </w:rPr>
        <w:t xml:space="preserve">Suppose we exchange the role of the contributing group </w:t>
      </w:r>
      <m:oMath>
        <m:r>
          <w:rPr>
            <w:rFonts w:ascii="Cambria Math" w:hAnsi="Cambria Math"/>
            <w:color w:val="000000" w:themeColor="text1"/>
          </w:rPr>
          <m:t>G</m:t>
        </m:r>
      </m:oMath>
      <w:r>
        <w:rPr>
          <w:color w:val="000000" w:themeColor="text1"/>
        </w:rPr>
        <w:t xml:space="preserve"> and that of the baseline population </w:t>
      </w:r>
      <m:oMath>
        <m:r>
          <w:rPr>
            <w:rFonts w:ascii="Cambria Math" w:hAnsi="Cambria Math"/>
            <w:color w:val="000000" w:themeColor="text1"/>
          </w:rPr>
          <m:t>B</m:t>
        </m:r>
      </m:oMath>
      <w:r>
        <w:rPr>
          <w:color w:val="000000" w:themeColor="text1"/>
        </w:rPr>
        <w:t xml:space="preserve">. We would then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oMath>
      <w:r>
        <w:rPr>
          <w:color w:val="000000" w:themeColor="text1"/>
        </w:rPr>
        <w:t xml:space="preserve">. It is possible that both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&gt;0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&gt;0</m:t>
        </m:r>
      </m:oMath>
      <w:r>
        <w:rPr>
          <w:color w:val="000000" w:themeColor="text1"/>
        </w:rPr>
        <w:t xml:space="preserve"> even though </w:t>
      </w:r>
      <m:oMath>
        <m:r>
          <w:rPr>
            <w:rFonts w:ascii="Cambria Math" w:hAnsi="Cambria Math"/>
            <w:color w:val="000000" w:themeColor="text1"/>
          </w:rPr>
          <m:t>B</m:t>
        </m:r>
      </m:oMath>
      <w:r>
        <w:rPr>
          <w:color w:val="000000" w:themeColor="text1"/>
        </w:rPr>
        <w:t xml:space="preserve"> and </w:t>
      </w:r>
      <m:oMath>
        <m:r>
          <w:rPr>
            <w:rFonts w:ascii="Cambria Math" w:hAnsi="Cambria Math"/>
            <w:color w:val="000000" w:themeColor="text1"/>
          </w:rPr>
          <m:t>G</m:t>
        </m:r>
      </m:oMath>
      <w:r>
        <w:rPr>
          <w:color w:val="000000" w:themeColor="text1"/>
        </w:rPr>
        <w:t xml:space="preserve">, by definition, form the total population </w:t>
      </w:r>
      <m:oMath>
        <m:r>
          <w:rPr>
            <w:rFonts w:ascii="Cambria Math" w:hAnsi="Cambria Math"/>
            <w:color w:val="000000" w:themeColor="text1"/>
          </w:rPr>
          <m:t>T</m:t>
        </m:r>
      </m:oMath>
      <w:r>
        <w:rPr>
          <w:color w:val="000000" w:themeColor="text1"/>
        </w:rPr>
        <w:t xml:space="preserve">. Of course, it is also possible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&lt;0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&lt;0</m:t>
        </m:r>
      </m:oMath>
      <w:r>
        <w:rPr>
          <w:color w:val="000000" w:themeColor="text1"/>
        </w:rPr>
        <w:t>.</w:t>
      </w:r>
    </w:p>
    <w:p w14:paraId="7F9C5FA1" w14:textId="77777777" w:rsidR="00A4655A" w:rsidRDefault="00A4655A" w:rsidP="00A4655A">
      <w:pPr>
        <w:spacing w:line="480" w:lineRule="auto"/>
        <w:rPr>
          <w:color w:val="000000" w:themeColor="text1"/>
        </w:rPr>
      </w:pPr>
    </w:p>
    <w:p w14:paraId="37FDDFB6" w14:textId="727DC497" w:rsidR="00A4655A" w:rsidRDefault="00A4655A" w:rsidP="003E6BAB">
      <w:pPr>
        <w:spacing w:line="480" w:lineRule="auto"/>
        <w:rPr>
          <w:color w:val="000000" w:themeColor="text1"/>
        </w:rPr>
      </w:pPr>
      <w:r>
        <w:rPr>
          <w:color w:val="000000" w:themeColor="text1"/>
        </w:rPr>
        <w:t xml:space="preserve">Given these two facts, it is important to understand that the contribution of group </w:t>
      </w:r>
      <m:oMath>
        <m:r>
          <w:rPr>
            <w:rFonts w:ascii="Cambria Math" w:hAnsi="Cambria Math"/>
            <w:color w:val="000000" w:themeColor="text1"/>
          </w:rPr>
          <m:t>G</m:t>
        </m:r>
      </m:oMath>
      <w:r>
        <w:rPr>
          <w:color w:val="000000" w:themeColor="text1"/>
        </w:rPr>
        <w:t xml:space="preserve"> computed with the Hendi and Ho (2020) formula, and similar contributions computed with the technique developed in this paper, depend on the mortality rates of the baseline population and thus on the choice of a baseline. More precisely, the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does not capture the effect of group </w:t>
      </w:r>
      <m:oMath>
        <m:r>
          <w:rPr>
            <w:rFonts w:ascii="Cambria Math" w:hAnsi="Cambria Math"/>
            <w:color w:val="000000" w:themeColor="text1"/>
          </w:rPr>
          <m:t>G</m:t>
        </m:r>
      </m:oMath>
      <w:r>
        <w:rPr>
          <w:color w:val="000000" w:themeColor="text1"/>
        </w:rPr>
        <w:t xml:space="preserve"> “in isolation” but also its interaction with the mortality conditions of the baseline population. Keeping this is mind, when the choice of a baseline does not have strong theoretical foundations, researchers should test the robustness of the results to the choice of a different baseline and, if mayor differences are found, discuss why it might be the case. While the choice of a baseline may seem intuitive in the case of two populations, it will become less obvious when multiple groups are considered, such as populations living in different Census Divisions, or in counties classified along the urban-rural continuum.</w:t>
      </w:r>
    </w:p>
    <w:p w14:paraId="22CF59D8" w14:textId="77777777" w:rsidR="003E6C62" w:rsidRDefault="003E6C62" w:rsidP="00856A10">
      <w:pPr>
        <w:spacing w:line="480" w:lineRule="auto"/>
        <w:rPr>
          <w:color w:val="000000" w:themeColor="text1"/>
        </w:rPr>
      </w:pPr>
    </w:p>
    <w:p w14:paraId="7F6F375A" w14:textId="7183CF1D" w:rsidR="003E6C62" w:rsidRPr="003E6C62" w:rsidRDefault="003E6C62" w:rsidP="00856A10">
      <w:pPr>
        <w:spacing w:line="480" w:lineRule="auto"/>
        <w:rPr>
          <w:b/>
          <w:bCs/>
          <w:color w:val="000000" w:themeColor="text1"/>
        </w:rPr>
      </w:pPr>
      <w:r w:rsidRPr="003E6C62">
        <w:rPr>
          <w:b/>
          <w:bCs/>
          <w:color w:val="000000" w:themeColor="text1"/>
        </w:rPr>
        <w:t>Use Cases</w:t>
      </w:r>
    </w:p>
    <w:p w14:paraId="5CDE0142" w14:textId="301ED3E8" w:rsidR="00036834" w:rsidRDefault="003E6C62" w:rsidP="00856A10">
      <w:pPr>
        <w:spacing w:line="480" w:lineRule="auto"/>
        <w:rPr>
          <w:color w:val="000000" w:themeColor="text1"/>
        </w:rPr>
      </w:pPr>
      <w:r>
        <w:rPr>
          <w:color w:val="000000" w:themeColor="text1"/>
        </w:rPr>
        <w:t xml:space="preserve">The decomposition developed in this paper can be used to investigate the contribution of any set of mutually exclusive groups </w:t>
      </w:r>
      <w:r w:rsidR="00FE0240">
        <w:rPr>
          <w:color w:val="000000" w:themeColor="text1"/>
        </w:rPr>
        <w:t xml:space="preserve">to the values of a </w:t>
      </w:r>
      <w:r w:rsidR="00904D00">
        <w:rPr>
          <w:color w:val="000000" w:themeColor="text1"/>
        </w:rPr>
        <w:t>life table</w:t>
      </w:r>
      <w:r w:rsidR="00FE0240">
        <w:rPr>
          <w:color w:val="000000" w:themeColor="text1"/>
        </w:rPr>
        <w:t xml:space="preserve"> function for the total population. </w:t>
      </w:r>
      <w:r w:rsidR="00A23821">
        <w:rPr>
          <w:color w:val="000000" w:themeColor="text1"/>
        </w:rPr>
        <w:t>As mentioned before, t</w:t>
      </w:r>
      <w:r w:rsidR="00E95123">
        <w:rPr>
          <w:color w:val="000000" w:themeColor="text1"/>
        </w:rPr>
        <w:t xml:space="preserve">he basic decomposition for the </w:t>
      </w:r>
      <m:oMath>
        <m:r>
          <w:rPr>
            <w:rFonts w:ascii="Cambria Math" w:hAnsi="Cambria Math"/>
            <w:color w:val="000000" w:themeColor="text1"/>
          </w:rPr>
          <m:t>N</m:t>
        </m:r>
        <m:r>
          <m:rPr>
            <m:sty m:val="p"/>
          </m:rPr>
          <w:rPr>
            <w:rFonts w:ascii="Cambria Math" w:hAnsi="Cambria Math"/>
            <w:color w:val="000000" w:themeColor="text1"/>
          </w:rPr>
          <m:t>=1</m:t>
        </m:r>
      </m:oMath>
      <w:r w:rsidR="00E95123">
        <w:rPr>
          <w:color w:val="000000" w:themeColor="text1"/>
        </w:rPr>
        <w:t xml:space="preserve"> case was introduced by Hendi and Ho (2021) to study how the foreign-born population contributes to the </w:t>
      </w:r>
      <w:r w:rsidR="00A23821">
        <w:rPr>
          <w:color w:val="000000" w:themeColor="text1"/>
        </w:rPr>
        <w:t>US</w:t>
      </w:r>
      <w:r w:rsidR="00E95123">
        <w:rPr>
          <w:color w:val="000000" w:themeColor="text1"/>
        </w:rPr>
        <w:t xml:space="preserve"> life expectancy. However, the contributions subgroups of the foreign-born population, by origin or race/ethnicity for example, can be studied with the decomposition developed in this paper. Other interesting applications include the investigation of how different regions contribute to national life expectancy</w:t>
      </w:r>
      <w:r w:rsidR="00A23821">
        <w:rPr>
          <w:color w:val="000000" w:themeColor="text1"/>
        </w:rPr>
        <w:t xml:space="preserve">, </w:t>
      </w:r>
      <w:r w:rsidR="00E95123">
        <w:rPr>
          <w:color w:val="000000" w:themeColor="text1"/>
        </w:rPr>
        <w:t>how different countries contribute to the regional life expectancy</w:t>
      </w:r>
      <w:r w:rsidR="00A23821">
        <w:rPr>
          <w:color w:val="000000" w:themeColor="text1"/>
        </w:rPr>
        <w:t>, or how different educational groups contribute to the difference between the life expectancy of the lowest group and that of the total population</w:t>
      </w:r>
      <w:r w:rsidR="00E95123">
        <w:rPr>
          <w:color w:val="000000" w:themeColor="text1"/>
        </w:rPr>
        <w:t>.</w:t>
      </w:r>
    </w:p>
    <w:p w14:paraId="63B947E3" w14:textId="77777777" w:rsidR="00036834" w:rsidRDefault="00036834" w:rsidP="00856A10">
      <w:pPr>
        <w:spacing w:line="480" w:lineRule="auto"/>
        <w:rPr>
          <w:color w:val="000000" w:themeColor="text1"/>
        </w:rPr>
      </w:pPr>
    </w:p>
    <w:p w14:paraId="78B8CDA3" w14:textId="1DCC80B0" w:rsidR="00993631" w:rsidRDefault="00036834" w:rsidP="00856A10">
      <w:pPr>
        <w:spacing w:line="480" w:lineRule="auto"/>
        <w:rPr>
          <w:b/>
          <w:bCs/>
          <w:color w:val="000000" w:themeColor="text1"/>
        </w:rPr>
      </w:pPr>
      <w:r w:rsidRPr="003E3540">
        <w:rPr>
          <w:b/>
          <w:bCs/>
          <w:color w:val="000000" w:themeColor="text1"/>
        </w:rPr>
        <w:t xml:space="preserve">Example Application: The Contribution of Counties along the </w:t>
      </w:r>
      <w:r w:rsidR="003E3540" w:rsidRPr="003E3540">
        <w:rPr>
          <w:b/>
          <w:bCs/>
          <w:color w:val="000000" w:themeColor="text1"/>
        </w:rPr>
        <w:t xml:space="preserve">Urban-Rural Classification to </w:t>
      </w:r>
      <w:r w:rsidR="00A23821">
        <w:rPr>
          <w:b/>
          <w:bCs/>
          <w:color w:val="000000" w:themeColor="text1"/>
        </w:rPr>
        <w:t>the Gap between Life Expectancy at Birth in Large Central Metro and in the United States</w:t>
      </w:r>
    </w:p>
    <w:p w14:paraId="7C9F0AD6" w14:textId="3DB7F0A9" w:rsidR="00F449A4" w:rsidRDefault="00974F3C" w:rsidP="003E3540">
      <w:pPr>
        <w:spacing w:line="480" w:lineRule="auto"/>
        <w:rPr>
          <w:color w:val="000000" w:themeColor="text1"/>
        </w:rPr>
      </w:pPr>
      <w:r>
        <w:rPr>
          <w:color w:val="000000" w:themeColor="text1"/>
        </w:rPr>
        <w:lastRenderedPageBreak/>
        <w:t xml:space="preserve">For this application, </w:t>
      </w:r>
      <w:r w:rsidR="003E3540" w:rsidRPr="003E3540">
        <w:rPr>
          <w:color w:val="000000" w:themeColor="text1"/>
        </w:rPr>
        <w:t>I use death counts and population data from the National Center for Health Statistics obtained through CDC WONDER. Deaths and population are classified by year (2017-2019), sex, five-year age groups (&lt;1,</w:t>
      </w:r>
      <w:r>
        <w:rPr>
          <w:color w:val="000000" w:themeColor="text1"/>
        </w:rPr>
        <w:t xml:space="preserve"> </w:t>
      </w:r>
      <w:r w:rsidR="003E3540" w:rsidRPr="003E3540">
        <w:rPr>
          <w:color w:val="000000" w:themeColor="text1"/>
        </w:rPr>
        <w:t>1-4,</w:t>
      </w:r>
      <w:r>
        <w:rPr>
          <w:color w:val="000000" w:themeColor="text1"/>
        </w:rPr>
        <w:t xml:space="preserve"> </w:t>
      </w:r>
      <w:r w:rsidR="003E3540" w:rsidRPr="003E3540">
        <w:rPr>
          <w:color w:val="000000" w:themeColor="text1"/>
        </w:rPr>
        <w:t>5-9,</w:t>
      </w:r>
      <w:r>
        <w:rPr>
          <w:color w:val="000000" w:themeColor="text1"/>
        </w:rPr>
        <w:t xml:space="preserve"> </w:t>
      </w:r>
      <w:r w:rsidR="003E3540" w:rsidRPr="003E3540">
        <w:rPr>
          <w:color w:val="000000" w:themeColor="text1"/>
        </w:rPr>
        <w:t>…,</w:t>
      </w:r>
      <w:r>
        <w:rPr>
          <w:color w:val="000000" w:themeColor="text1"/>
        </w:rPr>
        <w:t xml:space="preserve"> </w:t>
      </w:r>
      <w:r w:rsidR="003E3540" w:rsidRPr="003E3540">
        <w:rPr>
          <w:color w:val="000000" w:themeColor="text1"/>
        </w:rPr>
        <w:t>85+), and one of six urban-rural codes. The six codes schema classifies counties into four metropolitan categories and two non-metropolitan categories. The metropolitan categories are large central metro, large fringe metro, medium</w:t>
      </w:r>
      <w:r w:rsidR="003E3540">
        <w:rPr>
          <w:color w:val="000000" w:themeColor="text1"/>
        </w:rPr>
        <w:t xml:space="preserve"> metro, and small metro. The non-metropolitan categories are micropolitan and noncore. Details on the classification criteria are available in the NCHS </w:t>
      </w:r>
      <w:r w:rsidR="009F4601">
        <w:rPr>
          <w:color w:val="000000" w:themeColor="text1"/>
        </w:rPr>
        <w:t xml:space="preserve">online </w:t>
      </w:r>
      <w:r w:rsidR="003E3540">
        <w:rPr>
          <w:color w:val="000000" w:themeColor="text1"/>
        </w:rPr>
        <w:t xml:space="preserve">documentation </w:t>
      </w:r>
      <w:r w:rsidR="003E3540">
        <w:rPr>
          <w:color w:val="000000" w:themeColor="text1"/>
        </w:rPr>
        <w:fldChar w:fldCharType="begin"/>
      </w:r>
      <w:r w:rsidR="000166D5">
        <w:rPr>
          <w:color w:val="000000" w:themeColor="text1"/>
        </w:rPr>
        <w:instrText xml:space="preserve"> ADDIN ZOTERO_ITEM CSL_CITATION {"citationID":"EWOocFko","properties":{"formattedCitation":"(NCHS 2023)","plainCitation":"(NCHS 2023)","noteIndex":0},"citationItems":[{"id":1051,"uris":["http://zotero.org/users/8250957/items/8IT8BFI8"],"itemData":{"id":1051,"type":"webpage","language":"en-us","title":"NCHS Urban Rural Classification Scheme for Counties","URL":"https://www.cdc.gov/nchs/data_access/urban_rural.htm","author":[{"family":"NCHS","given":""}],"accessed":{"date-parts":[["2023",9,21]]},"issued":{"date-parts":[["2023",4,6]]}}}],"schema":"https://github.com/citation-style-language/schema/raw/master/csl-citation.json"} </w:instrText>
      </w:r>
      <w:r w:rsidR="003E3540">
        <w:rPr>
          <w:color w:val="000000" w:themeColor="text1"/>
        </w:rPr>
        <w:fldChar w:fldCharType="separate"/>
      </w:r>
      <w:r w:rsidR="003E3540">
        <w:rPr>
          <w:noProof/>
          <w:color w:val="000000" w:themeColor="text1"/>
        </w:rPr>
        <w:t>(NCHS 2023)</w:t>
      </w:r>
      <w:r w:rsidR="003E3540">
        <w:rPr>
          <w:color w:val="000000" w:themeColor="text1"/>
        </w:rPr>
        <w:fldChar w:fldCharType="end"/>
      </w:r>
      <w:r w:rsidR="003E3540">
        <w:rPr>
          <w:color w:val="000000" w:themeColor="text1"/>
        </w:rPr>
        <w:t xml:space="preserve">. </w:t>
      </w:r>
    </w:p>
    <w:p w14:paraId="653472A0" w14:textId="77777777" w:rsidR="00F449A4" w:rsidRDefault="00F449A4" w:rsidP="003E3540">
      <w:pPr>
        <w:spacing w:line="480" w:lineRule="auto"/>
        <w:rPr>
          <w:color w:val="000000" w:themeColor="text1"/>
        </w:rPr>
      </w:pPr>
    </w:p>
    <w:p w14:paraId="1024D99D" w14:textId="24642DB7" w:rsidR="00D6612B" w:rsidRDefault="006134CE" w:rsidP="003E3540">
      <w:pPr>
        <w:spacing w:line="480" w:lineRule="auto"/>
        <w:rPr>
          <w:color w:val="000000" w:themeColor="text1"/>
        </w:rPr>
      </w:pPr>
      <w:r>
        <w:rPr>
          <w:color w:val="000000" w:themeColor="text1"/>
        </w:rPr>
        <w:t>As can be seen in Figure 1, a</w:t>
      </w:r>
      <w:r w:rsidR="003E3540">
        <w:rPr>
          <w:color w:val="000000" w:themeColor="text1"/>
        </w:rPr>
        <w:t xml:space="preserve">t the national level, </w:t>
      </w:r>
      <w:r w:rsidR="009A1D9D">
        <w:rPr>
          <w:color w:val="000000" w:themeColor="text1"/>
        </w:rPr>
        <w:t>large fringe metro counties have the highest life expectancy</w:t>
      </w:r>
      <w:r w:rsidR="00424E13">
        <w:rPr>
          <w:color w:val="000000" w:themeColor="text1"/>
        </w:rPr>
        <w:t xml:space="preserve"> for males</w:t>
      </w:r>
      <w:r w:rsidR="009A1D9D">
        <w:rPr>
          <w:color w:val="000000" w:themeColor="text1"/>
        </w:rPr>
        <w:t xml:space="preserve">, followed by large central metro counties, medium metro counties, small metro counties, micropolitan counties, and noncore counties. </w:t>
      </w:r>
      <w:r w:rsidR="00424E13">
        <w:rPr>
          <w:color w:val="000000" w:themeColor="text1"/>
        </w:rPr>
        <w:t>The ordering is essentially the same for females, the only difference being that large central metro counties have the highest life expectancy, with large fringe metro counties coming second.</w:t>
      </w:r>
      <w:r>
        <w:rPr>
          <w:color w:val="000000" w:themeColor="text1"/>
        </w:rPr>
        <w:t xml:space="preserve"> </w:t>
      </w:r>
      <w:r w:rsidR="008F3D5E">
        <w:rPr>
          <w:color w:val="000000" w:themeColor="text1"/>
        </w:rPr>
        <w:t xml:space="preserve">Figure 2 shows the group-specific contributions to national life-expectancy using the </w:t>
      </w:r>
      <w:r w:rsidR="00A23821">
        <w:rPr>
          <w:color w:val="000000" w:themeColor="text1"/>
        </w:rPr>
        <w:t xml:space="preserve">groupwise </w:t>
      </w:r>
      <w:r w:rsidR="008F3D5E">
        <w:rPr>
          <w:color w:val="000000" w:themeColor="text1"/>
        </w:rPr>
        <w:t>decomposition.</w:t>
      </w:r>
      <w:r w:rsidR="00662C0C">
        <w:rPr>
          <w:color w:val="000000" w:themeColor="text1"/>
        </w:rPr>
        <w:t xml:space="preserve"> </w:t>
      </w:r>
      <w:r w:rsidR="00B5163D">
        <w:rPr>
          <w:color w:val="000000" w:themeColor="text1"/>
        </w:rPr>
        <w:t xml:space="preserve">As we would have expected, all groups but large fringe metro counties contribute negatively to the national life expectancy. Micropolitan counties have the largest absolute contribution followed by noncore counties, medium metro counties, small metro counties, and large fringe metro counties. </w:t>
      </w:r>
      <w:r w:rsidR="00316183">
        <w:rPr>
          <w:color w:val="000000" w:themeColor="text1"/>
        </w:rPr>
        <w:t>The</w:t>
      </w:r>
      <w:r w:rsidR="00B5163D">
        <w:rPr>
          <w:color w:val="000000" w:themeColor="text1"/>
        </w:rPr>
        <w:t xml:space="preserve"> size of each contribution is </w:t>
      </w:r>
      <w:r w:rsidR="00D6612B">
        <w:rPr>
          <w:color w:val="000000" w:themeColor="text1"/>
        </w:rPr>
        <w:t xml:space="preserve">determined by </w:t>
      </w:r>
      <w:r w:rsidR="00316183">
        <w:rPr>
          <w:color w:val="000000" w:themeColor="text1"/>
        </w:rPr>
        <w:t xml:space="preserve">the interaction of </w:t>
      </w:r>
      <w:r w:rsidR="00D6612B">
        <w:rPr>
          <w:color w:val="000000" w:themeColor="text1"/>
        </w:rPr>
        <w:t>three factors</w:t>
      </w:r>
      <w:r w:rsidR="00316183">
        <w:rPr>
          <w:color w:val="000000" w:themeColor="text1"/>
        </w:rPr>
        <w:t xml:space="preserve">: </w:t>
      </w:r>
      <w:r w:rsidR="00D6612B">
        <w:rPr>
          <w:color w:val="000000" w:themeColor="text1"/>
        </w:rPr>
        <w:t xml:space="preserve">the population size of counties belonging to the specific group, the population’s age distribution, and its age-specific mortality rates (which life expectancy </w:t>
      </w:r>
      <w:r w:rsidR="00974F3C">
        <w:rPr>
          <w:color w:val="000000" w:themeColor="text1"/>
        </w:rPr>
        <w:t xml:space="preserve">conveniently </w:t>
      </w:r>
      <w:r w:rsidR="00D6612B">
        <w:rPr>
          <w:color w:val="000000" w:themeColor="text1"/>
        </w:rPr>
        <w:t>summarizes).</w:t>
      </w:r>
    </w:p>
    <w:p w14:paraId="7D8EA96D" w14:textId="77777777" w:rsidR="00735EC9" w:rsidRDefault="00735EC9" w:rsidP="003E3540">
      <w:pPr>
        <w:spacing w:line="480" w:lineRule="auto"/>
        <w:rPr>
          <w:color w:val="000000" w:themeColor="text1"/>
        </w:rPr>
      </w:pPr>
    </w:p>
    <w:p w14:paraId="500DA737" w14:textId="1322717C" w:rsidR="00735EC9" w:rsidRDefault="00735EC9" w:rsidP="003E3540">
      <w:pPr>
        <w:spacing w:line="480" w:lineRule="auto"/>
        <w:rPr>
          <w:color w:val="000000" w:themeColor="text1"/>
        </w:rPr>
      </w:pPr>
      <w:r>
        <w:rPr>
          <w:color w:val="000000" w:themeColor="text1"/>
        </w:rPr>
        <w:t xml:space="preserve">As a further test of the validity of the </w:t>
      </w:r>
      <w:r w:rsidR="00A23821">
        <w:rPr>
          <w:color w:val="000000" w:themeColor="text1"/>
        </w:rPr>
        <w:t>groupwise decomposition</w:t>
      </w:r>
      <w:r>
        <w:rPr>
          <w:color w:val="000000" w:themeColor="text1"/>
        </w:rPr>
        <w:t xml:space="preserve">, I </w:t>
      </w:r>
      <w:r w:rsidR="00E95306">
        <w:rPr>
          <w:color w:val="000000" w:themeColor="text1"/>
        </w:rPr>
        <w:t xml:space="preserve">adapted the three general decomposition methods </w:t>
      </w:r>
      <w:r w:rsidR="00E95306">
        <w:rPr>
          <w:color w:val="000000" w:themeColor="text1"/>
        </w:rPr>
        <w:fldChar w:fldCharType="begin"/>
      </w:r>
      <w:r w:rsidR="002A3578">
        <w:rPr>
          <w:color w:val="000000" w:themeColor="text1"/>
        </w:rPr>
        <w:instrText xml:space="preserve"> ADDIN ZOTERO_ITEM CSL_CITATION {"citationID":"OQpVihKz","properties":{"formattedCitation":"(Andreev et al. 2002; Caswell 1989; Horiuchi et al. 2008)","plainCitation":"(Andreev et al. 2002; Caswell 1989; Horiuchi et al. 2008)","noteIndex":0},"citationItems":[{"id":"sDgxjefO/OC9lgK67","uris":["http://zotero.org/users/8250957/items/DSEQELWC"],"itemData":{"id":"S9LI65xL/mKOMXE6Y","type":"article-journal","abstract":"A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E95306">
        <w:rPr>
          <w:color w:val="000000" w:themeColor="text1"/>
        </w:rPr>
        <w:fldChar w:fldCharType="separate"/>
      </w:r>
      <w:r w:rsidR="00B924C8">
        <w:rPr>
          <w:noProof/>
          <w:color w:val="000000" w:themeColor="text1"/>
        </w:rPr>
        <w:t>(Andreev et al. 2002; Caswell 1989; Horiuchi et al. 2008)</w:t>
      </w:r>
      <w:r w:rsidR="00E95306">
        <w:rPr>
          <w:color w:val="000000" w:themeColor="text1"/>
        </w:rPr>
        <w:fldChar w:fldCharType="end"/>
      </w:r>
      <w:r w:rsidR="00112259">
        <w:rPr>
          <w:color w:val="000000" w:themeColor="text1"/>
        </w:rPr>
        <w:t xml:space="preserve"> </w:t>
      </w:r>
      <w:r w:rsidR="002A3578">
        <w:rPr>
          <w:color w:val="000000" w:themeColor="text1"/>
        </w:rPr>
        <w:t xml:space="preserve">as </w:t>
      </w:r>
      <w:r w:rsidR="00E95306">
        <w:rPr>
          <w:color w:val="000000" w:themeColor="text1"/>
        </w:rPr>
        <w:t xml:space="preserve">implemented in the </w:t>
      </w:r>
      <w:r w:rsidR="00E95306" w:rsidRPr="00E95306">
        <w:rPr>
          <w:rFonts w:ascii="Andale Mono" w:hAnsi="Andale Mono"/>
          <w:color w:val="000000" w:themeColor="text1"/>
        </w:rPr>
        <w:t>DemoDecomp</w:t>
      </w:r>
      <w:r w:rsidR="00E95306">
        <w:rPr>
          <w:color w:val="000000" w:themeColor="text1"/>
        </w:rPr>
        <w:t xml:space="preserve"> package </w:t>
      </w:r>
      <w:r w:rsidR="00E95306">
        <w:rPr>
          <w:color w:val="000000" w:themeColor="text1"/>
        </w:rPr>
        <w:fldChar w:fldCharType="begin"/>
      </w:r>
      <w:r w:rsidR="00E95306">
        <w:rPr>
          <w:color w:val="000000" w:themeColor="text1"/>
        </w:rPr>
        <w:instrText xml:space="preserve"> ADDIN ZOTERO_ITEM CSL_CITATION {"citationID":"c0iiKDMY","properties":{"formattedCitation":"(Riffe 2019)","plainCitation":"(Riffe 2019)","noteIndex":0},"citationItems":[{"id":2722,"uris":["http://zotero.org/users/8250957/items/XUINPGAT"],"itemData":{"id":2722,"type":"software","title":"DemoDecomp: General demographic decomposition methods","URL":"https://github.com/timriffe/DemoDecomp","author":[{"family":"Riffe","given":"Tim"}],"issued":{"date-parts":[["2019"]]}}}],"schema":"https://github.com/citation-style-language/schema/raw/master/csl-citation.json"} </w:instrText>
      </w:r>
      <w:r w:rsidR="00E95306">
        <w:rPr>
          <w:color w:val="000000" w:themeColor="text1"/>
        </w:rPr>
        <w:fldChar w:fldCharType="separate"/>
      </w:r>
      <w:r w:rsidR="00E95306">
        <w:rPr>
          <w:noProof/>
          <w:color w:val="000000" w:themeColor="text1"/>
        </w:rPr>
        <w:t>(Riffe 2019)</w:t>
      </w:r>
      <w:r w:rsidR="00E95306">
        <w:rPr>
          <w:color w:val="000000" w:themeColor="text1"/>
        </w:rPr>
        <w:fldChar w:fldCharType="end"/>
      </w:r>
      <w:r w:rsidR="00E95306">
        <w:rPr>
          <w:color w:val="000000" w:themeColor="text1"/>
        </w:rPr>
        <w:t xml:space="preserve"> to obtain a decomposition by group similar to the one developed in this paper. The results of the comparison between the results obtained with the </w:t>
      </w:r>
      <w:r w:rsidR="00A23821">
        <w:rPr>
          <w:color w:val="000000" w:themeColor="text1"/>
        </w:rPr>
        <w:t>groupwise decomposition</w:t>
      </w:r>
      <w:r w:rsidR="00E95306">
        <w:rPr>
          <w:color w:val="000000" w:themeColor="text1"/>
        </w:rPr>
        <w:t xml:space="preserve"> and those obtained with each of the three methods are presented in Figure </w:t>
      </w:r>
      <w:r w:rsidR="00956D84">
        <w:rPr>
          <w:color w:val="000000" w:themeColor="text1"/>
        </w:rPr>
        <w:t>3</w:t>
      </w:r>
      <w:r w:rsidR="00E95306">
        <w:rPr>
          <w:color w:val="000000" w:themeColor="text1"/>
        </w:rPr>
        <w:t xml:space="preserve"> and Figure </w:t>
      </w:r>
      <w:r w:rsidR="00956D84">
        <w:rPr>
          <w:color w:val="000000" w:themeColor="text1"/>
        </w:rPr>
        <w:t>4</w:t>
      </w:r>
      <w:r w:rsidR="00E95306">
        <w:rPr>
          <w:color w:val="000000" w:themeColor="text1"/>
        </w:rPr>
        <w:t xml:space="preserve"> (in which the </w:t>
      </w:r>
      <w:r w:rsidR="00B924C8">
        <w:rPr>
          <w:color w:val="000000" w:themeColor="text1"/>
        </w:rPr>
        <w:t>stepwise</w:t>
      </w:r>
      <w:r w:rsidR="00E95306">
        <w:rPr>
          <w:color w:val="000000" w:themeColor="text1"/>
        </w:rPr>
        <w:t xml:space="preserve"> decomposition </w:t>
      </w:r>
      <w:r w:rsidR="00E95306">
        <w:rPr>
          <w:color w:val="000000" w:themeColor="text1"/>
        </w:rPr>
        <w:lastRenderedPageBreak/>
        <w:t xml:space="preserve">is removed). They show that the </w:t>
      </w:r>
      <w:r w:rsidR="00A23821">
        <w:rPr>
          <w:color w:val="000000" w:themeColor="text1"/>
        </w:rPr>
        <w:t>groupwise decomposition</w:t>
      </w:r>
      <w:r w:rsidR="00E95306">
        <w:rPr>
          <w:color w:val="000000" w:themeColor="text1"/>
        </w:rPr>
        <w:t xml:space="preserve"> produces result almost identical </w:t>
      </w:r>
      <w:r w:rsidR="00112259">
        <w:rPr>
          <w:color w:val="000000" w:themeColor="text1"/>
        </w:rPr>
        <w:t>to those of</w:t>
      </w:r>
      <w:r w:rsidR="00E95306">
        <w:rPr>
          <w:color w:val="000000" w:themeColor="text1"/>
        </w:rPr>
        <w:t xml:space="preserve"> the line-integral method</w:t>
      </w:r>
      <w:r w:rsidR="00B924C8">
        <w:rPr>
          <w:color w:val="000000" w:themeColor="text1"/>
        </w:rPr>
        <w:t xml:space="preserve"> </w:t>
      </w:r>
      <w:r w:rsidR="002A3578">
        <w:rPr>
          <w:color w:val="000000" w:themeColor="text1"/>
        </w:rPr>
        <w:fldChar w:fldCharType="begin"/>
      </w:r>
      <w:r w:rsidR="002A3578">
        <w:rPr>
          <w:color w:val="000000" w:themeColor="text1"/>
        </w:rPr>
        <w:instrText xml:space="preserve"> ADDIN ZOTERO_ITEM CSL_CITATION {"citationID":"gRIal5FY","properties":{"formattedCitation":"(Horiuchi et al. 2008)","plainCitation":"(Horiuchi et al. 2008)","noteIndex":0},"citationItems":[{"id":2645,"uris":["http://zotero.org/users/8250957/items/825TENDU"],"itemData":{"id":2645,"type":"article-journal","abstract":"A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2A3578">
        <w:rPr>
          <w:color w:val="000000" w:themeColor="text1"/>
        </w:rPr>
        <w:fldChar w:fldCharType="separate"/>
      </w:r>
      <w:r w:rsidR="002A3578">
        <w:rPr>
          <w:noProof/>
          <w:color w:val="000000" w:themeColor="text1"/>
        </w:rPr>
        <w:t>(Horiuchi et al. 2008)</w:t>
      </w:r>
      <w:r w:rsidR="002A3578">
        <w:rPr>
          <w:color w:val="000000" w:themeColor="text1"/>
        </w:rPr>
        <w:fldChar w:fldCharType="end"/>
      </w:r>
      <w:r w:rsidR="002A3578">
        <w:rPr>
          <w:color w:val="000000" w:themeColor="text1"/>
        </w:rPr>
        <w:t xml:space="preserve"> </w:t>
      </w:r>
      <w:r w:rsidR="00E95306">
        <w:rPr>
          <w:color w:val="000000" w:themeColor="text1"/>
        </w:rPr>
        <w:t xml:space="preserve">and </w:t>
      </w:r>
      <w:r w:rsidR="00B924C8">
        <w:rPr>
          <w:color w:val="000000" w:themeColor="text1"/>
        </w:rPr>
        <w:t>close</w:t>
      </w:r>
      <w:r w:rsidR="00E95306">
        <w:rPr>
          <w:color w:val="000000" w:themeColor="text1"/>
        </w:rPr>
        <w:t xml:space="preserve"> to the ones of the life table response experiment</w:t>
      </w:r>
      <w:r w:rsidR="002A3578">
        <w:rPr>
          <w:color w:val="000000" w:themeColor="text1"/>
        </w:rPr>
        <w:t xml:space="preserve"> </w:t>
      </w:r>
      <w:r w:rsidR="002A3578">
        <w:rPr>
          <w:color w:val="000000" w:themeColor="text1"/>
        </w:rPr>
        <w:fldChar w:fldCharType="begin"/>
      </w:r>
      <w:r w:rsidR="002A3578">
        <w:rPr>
          <w:color w:val="000000" w:themeColor="text1"/>
        </w:rPr>
        <w:instrText xml:space="preserve"> ADDIN ZOTERO_ITEM CSL_CITATION {"citationID":"8uc0HMsi","properties":{"formattedCitation":"(Caswell 1989)","plainCitation":"(Caswell 1989)","noteIndex":0},"citationItems":[{"id":2643,"uris":["http://zotero.org/users/8250957/items/KAUJ6BG5"],"itemData":{"id":2643,"type":"article-journal","abstract":"Life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rate","volume":"46","author":[{"family":"Caswell","given":"Hal"}],"issued":{"date-parts":[["1989",8,1]]}}}],"schema":"https://github.com/citation-style-language/schema/raw/master/csl-citation.json"} </w:instrText>
      </w:r>
      <w:r w:rsidR="002A3578">
        <w:rPr>
          <w:color w:val="000000" w:themeColor="text1"/>
        </w:rPr>
        <w:fldChar w:fldCharType="separate"/>
      </w:r>
      <w:r w:rsidR="002A3578">
        <w:rPr>
          <w:noProof/>
          <w:color w:val="000000" w:themeColor="text1"/>
        </w:rPr>
        <w:t>(Caswell 1989)</w:t>
      </w:r>
      <w:r w:rsidR="002A3578">
        <w:rPr>
          <w:color w:val="000000" w:themeColor="text1"/>
        </w:rPr>
        <w:fldChar w:fldCharType="end"/>
      </w:r>
      <w:r w:rsidR="00E95306">
        <w:rPr>
          <w:color w:val="000000" w:themeColor="text1"/>
        </w:rPr>
        <w:t xml:space="preserve">. The </w:t>
      </w:r>
      <w:r w:rsidR="00B924C8">
        <w:rPr>
          <w:color w:val="000000" w:themeColor="text1"/>
        </w:rPr>
        <w:t>stepwise</w:t>
      </w:r>
      <w:r w:rsidR="00E95306">
        <w:rPr>
          <w:color w:val="000000" w:themeColor="text1"/>
        </w:rPr>
        <w:t xml:space="preserve"> decomposition fails to produce reasonable results.</w:t>
      </w:r>
      <w:r w:rsidR="002B3B64">
        <w:rPr>
          <w:color w:val="000000" w:themeColor="text1"/>
        </w:rPr>
        <w:t xml:space="preserve"> A legitimate question is why one should use the </w:t>
      </w:r>
      <w:r w:rsidR="00A23821">
        <w:rPr>
          <w:color w:val="000000" w:themeColor="text1"/>
        </w:rPr>
        <w:t>groupwise decomposition</w:t>
      </w:r>
      <w:r w:rsidR="002B3B64">
        <w:rPr>
          <w:color w:val="000000" w:themeColor="text1"/>
        </w:rPr>
        <w:t xml:space="preserve"> if both the line-integral and the life table response experiment methods provide similar results. </w:t>
      </w:r>
      <w:r w:rsidR="002A3578">
        <w:rPr>
          <w:color w:val="000000" w:themeColor="text1"/>
        </w:rPr>
        <w:t>One</w:t>
      </w:r>
      <w:r w:rsidR="002B3B64">
        <w:rPr>
          <w:color w:val="000000" w:themeColor="text1"/>
        </w:rPr>
        <w:t xml:space="preserve"> answer is </w:t>
      </w:r>
      <w:r w:rsidR="002A3578">
        <w:rPr>
          <w:color w:val="000000" w:themeColor="text1"/>
        </w:rPr>
        <w:t xml:space="preserve">that </w:t>
      </w:r>
      <w:r w:rsidR="002B3B64">
        <w:rPr>
          <w:color w:val="000000" w:themeColor="text1"/>
        </w:rPr>
        <w:t xml:space="preserve">the </w:t>
      </w:r>
      <w:r w:rsidR="00A23821">
        <w:rPr>
          <w:color w:val="000000" w:themeColor="text1"/>
        </w:rPr>
        <w:t>groupwise decomposition</w:t>
      </w:r>
      <w:r w:rsidR="002B3B64">
        <w:rPr>
          <w:color w:val="000000" w:themeColor="text1"/>
        </w:rPr>
        <w:t xml:space="preserve"> is computationally very efficient compared with the alternatives. For the example presented above, where a very simple life table function is used (</w:t>
      </w:r>
      <w:r w:rsidR="002B3B64" w:rsidRPr="002B3B64">
        <w:rPr>
          <w:rFonts w:ascii="Andale Mono" w:hAnsi="Andale Mono"/>
          <w:color w:val="000000" w:themeColor="text1"/>
        </w:rPr>
        <w:t>LTabr</w:t>
      </w:r>
      <w:r w:rsidR="002B3B64">
        <w:rPr>
          <w:color w:val="000000" w:themeColor="text1"/>
        </w:rPr>
        <w:t xml:space="preserve"> from </w:t>
      </w:r>
      <w:r w:rsidR="002B3B64" w:rsidRPr="002B3B64">
        <w:rPr>
          <w:rFonts w:ascii="Andale Mono" w:hAnsi="Andale Mono"/>
          <w:color w:val="000000" w:themeColor="text1"/>
        </w:rPr>
        <w:t>DemoDecomp</w:t>
      </w:r>
      <w:r w:rsidR="002B3B64">
        <w:rPr>
          <w:color w:val="000000" w:themeColor="text1"/>
        </w:rPr>
        <w:t xml:space="preserve">) the average execution time measured with the </w:t>
      </w:r>
      <w:r w:rsidR="002B3B64" w:rsidRPr="00846B3E">
        <w:rPr>
          <w:rFonts w:ascii="Andale Mono" w:hAnsi="Andale Mono"/>
          <w:color w:val="000000" w:themeColor="text1"/>
        </w:rPr>
        <w:t>microbenchmark</w:t>
      </w:r>
      <w:r w:rsidR="002B3B64">
        <w:rPr>
          <w:color w:val="000000" w:themeColor="text1"/>
        </w:rPr>
        <w:t xml:space="preserve"> package </w:t>
      </w:r>
      <w:r w:rsidR="002B3B64">
        <w:rPr>
          <w:color w:val="000000" w:themeColor="text1"/>
        </w:rPr>
        <w:fldChar w:fldCharType="begin"/>
      </w:r>
      <w:r w:rsidR="002B3B64">
        <w:rPr>
          <w:color w:val="000000" w:themeColor="text1"/>
        </w:rPr>
        <w:instrText xml:space="preserve"> ADDIN ZOTERO_ITEM CSL_CITATION {"citationID":"QoGO0GL7","properties":{"formattedCitation":"(Mersmann et al. 2023)","plainCitation":"(Mersmann et al. 2023)","noteIndex":0},"citationItems":[{"id":3273,"uris":["http://zotero.org/users/8250957/items/GVG686EW"],"itemData":{"id":3273,"type":"software","abstract":"Provides infrastructure to accurately measure and compare the execution time of R expressions.","license":"BSD_2_clause + file LICENSE","source":"R-Packages","title":"microbenchmark: Accurate Timing Functions","title-short":"microbenchmark","URL":"https://cran.r-project.org/web/packages/microbenchmark/index.html","version":"1.4.10","author":[{"family":"Mersmann","given":"Olaf"},{"family":"Beleites","given":"Claudia"},{"family":"Hurling","given":"Rainer"},{"family":"Friedman","given":"Ari"},{"family":"Ulrich","given":"Joshua M."}],"accessed":{"date-parts":[["2024",4,3]]},"issued":{"date-parts":[["2023",4,28]]}}}],"schema":"https://github.com/citation-style-language/schema/raw/master/csl-citation.json"} </w:instrText>
      </w:r>
      <w:r w:rsidR="002B3B64">
        <w:rPr>
          <w:color w:val="000000" w:themeColor="text1"/>
        </w:rPr>
        <w:fldChar w:fldCharType="separate"/>
      </w:r>
      <w:r w:rsidR="002B3B64">
        <w:rPr>
          <w:noProof/>
          <w:color w:val="000000" w:themeColor="text1"/>
        </w:rPr>
        <w:t>(Mersmann et al. 2023)</w:t>
      </w:r>
      <w:r w:rsidR="002B3B64">
        <w:rPr>
          <w:color w:val="000000" w:themeColor="text1"/>
        </w:rPr>
        <w:fldChar w:fldCharType="end"/>
      </w:r>
      <w:r w:rsidR="002B3B64">
        <w:rPr>
          <w:color w:val="000000" w:themeColor="text1"/>
        </w:rPr>
        <w:t xml:space="preserve">, was 0.15 seconds for the </w:t>
      </w:r>
      <w:r w:rsidR="00A23821">
        <w:rPr>
          <w:color w:val="000000" w:themeColor="text1"/>
        </w:rPr>
        <w:t>groupwise decomposition</w:t>
      </w:r>
      <w:r w:rsidR="002B3B64">
        <w:rPr>
          <w:color w:val="000000" w:themeColor="text1"/>
        </w:rPr>
        <w:t>, 68.59 for the line-integral method, and 249.30 for the life tables experiment</w:t>
      </w:r>
      <w:r w:rsidR="002A3578">
        <w:rPr>
          <w:color w:val="000000" w:themeColor="text1"/>
        </w:rPr>
        <w:t xml:space="preserve">, both of the latter as implemented in the </w:t>
      </w:r>
      <w:r w:rsidR="002A3578" w:rsidRPr="002B3B64">
        <w:rPr>
          <w:rFonts w:ascii="Andale Mono" w:hAnsi="Andale Mono"/>
          <w:color w:val="000000" w:themeColor="text1"/>
        </w:rPr>
        <w:t>DemoDecomp</w:t>
      </w:r>
      <w:r w:rsidR="002A3578">
        <w:rPr>
          <w:rFonts w:ascii="Andale Mono" w:hAnsi="Andale Mono"/>
          <w:color w:val="000000" w:themeColor="text1"/>
        </w:rPr>
        <w:t xml:space="preserve"> </w:t>
      </w:r>
      <w:r w:rsidR="002A3578" w:rsidRPr="002A3578">
        <w:rPr>
          <w:color w:val="000000" w:themeColor="text1"/>
        </w:rPr>
        <w:t>package</w:t>
      </w:r>
      <w:r w:rsidR="002B3B64">
        <w:rPr>
          <w:color w:val="000000" w:themeColor="text1"/>
        </w:rPr>
        <w:t xml:space="preserve">. In this relatively simple application, the </w:t>
      </w:r>
      <w:r w:rsidR="00A23821">
        <w:rPr>
          <w:color w:val="000000" w:themeColor="text1"/>
        </w:rPr>
        <w:t>groupwise decomposition</w:t>
      </w:r>
      <w:r w:rsidR="002B3B64">
        <w:rPr>
          <w:color w:val="000000" w:themeColor="text1"/>
        </w:rPr>
        <w:t xml:space="preserve"> is thus about 460 times faster than the line-integral method and about 1670 times faster than the life table experiment method. The computational advantage increases when more complex functions are used and more groups are considered.</w:t>
      </w:r>
    </w:p>
    <w:p w14:paraId="73EC60C5" w14:textId="77777777" w:rsidR="00115048" w:rsidRDefault="00115048" w:rsidP="003E3540">
      <w:pPr>
        <w:spacing w:line="480" w:lineRule="auto"/>
        <w:rPr>
          <w:color w:val="000000" w:themeColor="text1"/>
        </w:rPr>
      </w:pPr>
    </w:p>
    <w:p w14:paraId="456C7A99" w14:textId="216E599A" w:rsidR="0088614B" w:rsidRDefault="00115048" w:rsidP="00115048">
      <w:pPr>
        <w:spacing w:line="480" w:lineRule="auto"/>
        <w:rPr>
          <w:b/>
          <w:bCs/>
          <w:color w:val="000000" w:themeColor="text1"/>
        </w:rPr>
      </w:pPr>
      <w:r>
        <w:rPr>
          <w:b/>
          <w:bCs/>
          <w:color w:val="000000" w:themeColor="text1"/>
        </w:rPr>
        <w:t>A Simple Extension</w:t>
      </w:r>
      <w:r w:rsidRPr="003E3540">
        <w:rPr>
          <w:b/>
          <w:bCs/>
          <w:color w:val="000000" w:themeColor="text1"/>
        </w:rPr>
        <w:t xml:space="preserve">: </w:t>
      </w:r>
      <w:r>
        <w:rPr>
          <w:b/>
          <w:bCs/>
          <w:color w:val="000000" w:themeColor="text1"/>
        </w:rPr>
        <w:t xml:space="preserve">Combining </w:t>
      </w:r>
      <w:r w:rsidR="0088614B">
        <w:rPr>
          <w:b/>
          <w:bCs/>
          <w:color w:val="000000" w:themeColor="text1"/>
        </w:rPr>
        <w:t>Decomposition Techniques to Compute Age- and Group-Specific Contributions</w:t>
      </w:r>
    </w:p>
    <w:p w14:paraId="660948B7" w14:textId="4D06357D" w:rsidR="0088614B" w:rsidRDefault="0088614B" w:rsidP="00115048">
      <w:pPr>
        <w:spacing w:line="480" w:lineRule="auto"/>
        <w:rPr>
          <w:color w:val="000000" w:themeColor="text1"/>
        </w:rPr>
      </w:pPr>
      <w:r w:rsidRPr="0088614B">
        <w:rPr>
          <w:color w:val="000000" w:themeColor="text1"/>
        </w:rPr>
        <w:t xml:space="preserve">Once we have seen </w:t>
      </w:r>
      <w:r>
        <w:rPr>
          <w:color w:val="000000" w:themeColor="text1"/>
        </w:rPr>
        <w:t>how the decomposition works, we can quickly recognize two facts. First, while we only considered a function mapping vectors to scalars, nothing in the proof requires it. We can thus extend the decomposition to functions that take as input a vector of deaths counts and exposures and output a vector</w:t>
      </w:r>
      <w:r w:rsidR="00112259">
        <w:rPr>
          <w:color w:val="000000" w:themeColor="text1"/>
        </w:rPr>
        <w:t xml:space="preserve"> of contributions</w:t>
      </w:r>
      <w:r>
        <w:rPr>
          <w:color w:val="000000" w:themeColor="text1"/>
        </w:rPr>
        <w:t xml:space="preserve">. Second, </w:t>
      </w:r>
      <w:r w:rsidR="00C60752">
        <w:rPr>
          <w:color w:val="000000" w:themeColor="text1"/>
        </w:rPr>
        <w:t xml:space="preserve">general decomposition techniques themselves are </w:t>
      </w:r>
      <w:r>
        <w:rPr>
          <w:color w:val="000000" w:themeColor="text1"/>
        </w:rPr>
        <w:t xml:space="preserve">a useful class of vector-to-vector functions that satisfy this property. With these two realizations we see that we can easily combine other decomposition techniques with the </w:t>
      </w:r>
      <w:r w:rsidR="00A23821">
        <w:rPr>
          <w:color w:val="000000" w:themeColor="text1"/>
        </w:rPr>
        <w:t>groupwise decomposition</w:t>
      </w:r>
      <w:r>
        <w:rPr>
          <w:color w:val="000000" w:themeColor="text1"/>
        </w:rPr>
        <w:t xml:space="preserve"> </w:t>
      </w:r>
      <w:r w:rsidR="006A7773">
        <w:rPr>
          <w:color w:val="000000" w:themeColor="text1"/>
        </w:rPr>
        <w:t>to further decompose group-specific contributions by other dimensions.</w:t>
      </w:r>
    </w:p>
    <w:p w14:paraId="4D654910" w14:textId="77777777" w:rsidR="00956D84" w:rsidRDefault="00956D84" w:rsidP="00115048">
      <w:pPr>
        <w:spacing w:line="480" w:lineRule="auto"/>
        <w:rPr>
          <w:color w:val="000000" w:themeColor="text1"/>
        </w:rPr>
      </w:pPr>
    </w:p>
    <w:p w14:paraId="49D8492C" w14:textId="097BE884" w:rsidR="00021591" w:rsidRDefault="00956D84" w:rsidP="003E3540">
      <w:pPr>
        <w:spacing w:line="480" w:lineRule="auto"/>
        <w:rPr>
          <w:color w:val="000000" w:themeColor="text1"/>
        </w:rPr>
      </w:pPr>
      <w:r>
        <w:rPr>
          <w:color w:val="000000" w:themeColor="text1"/>
        </w:rPr>
        <w:lastRenderedPageBreak/>
        <w:t xml:space="preserve">Figure 5 shows the results of this extension, </w:t>
      </w:r>
      <w:r w:rsidR="00846B3E">
        <w:rPr>
          <w:color w:val="000000" w:themeColor="text1"/>
        </w:rPr>
        <w:t>using age as</w:t>
      </w:r>
      <w:r>
        <w:rPr>
          <w:color w:val="000000" w:themeColor="text1"/>
        </w:rPr>
        <w:t xml:space="preserve"> the additional dimension.</w:t>
      </w:r>
      <w:r w:rsidR="00052677">
        <w:rPr>
          <w:color w:val="000000" w:themeColor="text1"/>
        </w:rPr>
        <w:t xml:space="preserve"> Figure 6 replicates the decomposition using the line-integral method and once again shows that the results are nearly identical. </w:t>
      </w:r>
      <w:r w:rsidR="002B3B64">
        <w:rPr>
          <w:color w:val="000000" w:themeColor="text1"/>
        </w:rPr>
        <w:t>In t</w:t>
      </w:r>
      <w:r w:rsidR="00846B3E">
        <w:rPr>
          <w:color w:val="000000" w:themeColor="text1"/>
        </w:rPr>
        <w:t xml:space="preserve">his more complex </w:t>
      </w:r>
      <w:r w:rsidR="00730E49">
        <w:rPr>
          <w:color w:val="000000" w:themeColor="text1"/>
        </w:rPr>
        <w:t>application,</w:t>
      </w:r>
      <w:r w:rsidR="00846B3E">
        <w:rPr>
          <w:color w:val="000000" w:themeColor="text1"/>
        </w:rPr>
        <w:t xml:space="preserve"> the computational advantages of th</w:t>
      </w:r>
      <w:r w:rsidR="00E16DD8">
        <w:rPr>
          <w:color w:val="000000" w:themeColor="text1"/>
        </w:rPr>
        <w:t xml:space="preserve">e </w:t>
      </w:r>
      <w:r w:rsidR="00A23821">
        <w:rPr>
          <w:color w:val="000000" w:themeColor="text1"/>
        </w:rPr>
        <w:t>groupwise decomposition</w:t>
      </w:r>
      <w:r w:rsidR="00730E49">
        <w:rPr>
          <w:color w:val="000000" w:themeColor="text1"/>
        </w:rPr>
        <w:t xml:space="preserve"> are a bit smaller because the function being decomposed now outputs vector</w:t>
      </w:r>
      <w:r w:rsidR="00021591">
        <w:rPr>
          <w:color w:val="000000" w:themeColor="text1"/>
        </w:rPr>
        <w:t>s</w:t>
      </w:r>
      <w:r w:rsidR="00730E49">
        <w:rPr>
          <w:color w:val="000000" w:themeColor="text1"/>
        </w:rPr>
        <w:t xml:space="preserve"> rather than a scalar, while the computations for the line-integral decomposition remain the same</w:t>
      </w:r>
      <w:r w:rsidR="00846B3E">
        <w:rPr>
          <w:color w:val="000000" w:themeColor="text1"/>
        </w:rPr>
        <w:t xml:space="preserve">. </w:t>
      </w:r>
      <w:r w:rsidR="008501C8">
        <w:rPr>
          <w:color w:val="000000" w:themeColor="text1"/>
        </w:rPr>
        <w:t>Again,</w:t>
      </w:r>
      <w:r w:rsidR="00730E49">
        <w:rPr>
          <w:color w:val="000000" w:themeColor="text1"/>
        </w:rPr>
        <w:t xml:space="preserve"> using</w:t>
      </w:r>
      <w:r w:rsidR="00846B3E">
        <w:rPr>
          <w:color w:val="000000" w:themeColor="text1"/>
        </w:rPr>
        <w:t xml:space="preserve"> the </w:t>
      </w:r>
      <w:r w:rsidR="00846B3E" w:rsidRPr="00846B3E">
        <w:rPr>
          <w:rFonts w:ascii="Andale Mono" w:hAnsi="Andale Mono"/>
          <w:color w:val="000000" w:themeColor="text1"/>
        </w:rPr>
        <w:t>microbenchmark</w:t>
      </w:r>
      <w:r w:rsidR="00846B3E">
        <w:rPr>
          <w:color w:val="000000" w:themeColor="text1"/>
        </w:rPr>
        <w:t xml:space="preserve"> package, I timed the mean execution time for the </w:t>
      </w:r>
      <w:r w:rsidR="00A23821">
        <w:rPr>
          <w:color w:val="000000" w:themeColor="text1"/>
        </w:rPr>
        <w:t>groupwise decomposition</w:t>
      </w:r>
      <w:r w:rsidR="00846B3E">
        <w:rPr>
          <w:color w:val="000000" w:themeColor="text1"/>
        </w:rPr>
        <w:t xml:space="preserve"> at 2.25 seconds compared with 94.77 seconds for the line-integral method as implemented in the </w:t>
      </w:r>
      <w:r w:rsidR="00846B3E" w:rsidRPr="00846B3E">
        <w:rPr>
          <w:rFonts w:ascii="Andale Mono" w:hAnsi="Andale Mono"/>
          <w:color w:val="000000" w:themeColor="text1"/>
        </w:rPr>
        <w:t>DemoDecomp</w:t>
      </w:r>
      <w:r w:rsidR="00846B3E">
        <w:rPr>
          <w:color w:val="000000" w:themeColor="text1"/>
        </w:rPr>
        <w:t xml:space="preserve"> package</w:t>
      </w:r>
      <w:r w:rsidR="003B43AE">
        <w:rPr>
          <w:color w:val="000000" w:themeColor="text1"/>
        </w:rPr>
        <w:t xml:space="preserve"> (with the </w:t>
      </w:r>
      <w:r w:rsidR="00A23821">
        <w:rPr>
          <w:color w:val="000000" w:themeColor="text1"/>
        </w:rPr>
        <w:t>groupwise decomposition</w:t>
      </w:r>
      <w:r w:rsidR="003B43AE">
        <w:rPr>
          <w:color w:val="000000" w:themeColor="text1"/>
        </w:rPr>
        <w:t xml:space="preserve"> 42 times faster)</w:t>
      </w:r>
      <w:r w:rsidR="00846B3E">
        <w:rPr>
          <w:color w:val="000000" w:themeColor="text1"/>
        </w:rPr>
        <w:t>.</w:t>
      </w:r>
    </w:p>
    <w:p w14:paraId="70D0499A" w14:textId="77777777" w:rsidR="00E325C6" w:rsidRDefault="00E325C6" w:rsidP="003E3540">
      <w:pPr>
        <w:spacing w:line="480" w:lineRule="auto"/>
        <w:rPr>
          <w:color w:val="000000" w:themeColor="text1"/>
        </w:rPr>
      </w:pPr>
    </w:p>
    <w:p w14:paraId="14458BFE" w14:textId="4E5BB06B" w:rsidR="003E6C62" w:rsidRPr="003E3540" w:rsidRDefault="003E6C62" w:rsidP="003E3540">
      <w:pPr>
        <w:spacing w:line="480" w:lineRule="auto"/>
        <w:rPr>
          <w:b/>
          <w:bCs/>
          <w:color w:val="000000" w:themeColor="text1"/>
        </w:rPr>
      </w:pPr>
      <w:r w:rsidRPr="003E3540">
        <w:rPr>
          <w:b/>
          <w:bCs/>
          <w:color w:val="000000" w:themeColor="text1"/>
        </w:rPr>
        <w:br w:type="page"/>
      </w:r>
    </w:p>
    <w:p w14:paraId="65DF1782" w14:textId="77777777" w:rsidR="00B24C92" w:rsidRPr="00B24C92" w:rsidRDefault="00B24C92" w:rsidP="00856A10">
      <w:pPr>
        <w:spacing w:line="480" w:lineRule="auto"/>
        <w:rPr>
          <w:color w:val="000000" w:themeColor="text1"/>
        </w:rPr>
      </w:pPr>
    </w:p>
    <w:p w14:paraId="38BC95DB" w14:textId="42DA374A" w:rsidR="00B24C92" w:rsidRPr="003E6C62" w:rsidRDefault="003E6C62" w:rsidP="00856A10">
      <w:pPr>
        <w:spacing w:line="480" w:lineRule="auto"/>
        <w:rPr>
          <w:b/>
          <w:bCs/>
          <w:color w:val="000000" w:themeColor="text1"/>
        </w:rPr>
      </w:pPr>
      <w:r w:rsidRPr="003E6C62">
        <w:rPr>
          <w:b/>
          <w:bCs/>
          <w:color w:val="000000" w:themeColor="text1"/>
        </w:rPr>
        <w:t>References</w:t>
      </w:r>
    </w:p>
    <w:p w14:paraId="14C1CA0F" w14:textId="77777777" w:rsidR="002A3578" w:rsidRPr="002A3578" w:rsidRDefault="00076CF9" w:rsidP="002A3578">
      <w:pPr>
        <w:pStyle w:val="Bibliography"/>
        <w:rPr>
          <w:color w:val="000000"/>
          <w:lang w:val="en-GB"/>
        </w:rPr>
      </w:pPr>
      <w:r w:rsidRPr="002A3578">
        <w:rPr>
          <w:color w:val="000000" w:themeColor="text1"/>
          <w:lang w:val="en-US"/>
        </w:rPr>
        <w:t xml:space="preserve"> </w:t>
      </w:r>
      <w:r w:rsidR="003E6C62">
        <w:rPr>
          <w:color w:val="000000" w:themeColor="text1"/>
        </w:rPr>
        <w:fldChar w:fldCharType="begin"/>
      </w:r>
      <w:r w:rsidR="0031183F" w:rsidRPr="002A3578">
        <w:rPr>
          <w:color w:val="000000" w:themeColor="text1"/>
          <w:lang w:val="en-US"/>
        </w:rPr>
        <w:instrText xml:space="preserve"> ADDIN ZOTERO_BIBL {"uncited":[],"omitted":[],"custom":[]} CSL_BIBLIOGRAPHY </w:instrText>
      </w:r>
      <w:r w:rsidR="003E6C62">
        <w:rPr>
          <w:color w:val="000000" w:themeColor="text1"/>
        </w:rPr>
        <w:fldChar w:fldCharType="separate"/>
      </w:r>
      <w:r w:rsidR="002A3578" w:rsidRPr="002A3578">
        <w:rPr>
          <w:color w:val="000000"/>
          <w:lang w:val="en-GB"/>
        </w:rPr>
        <w:t xml:space="preserve">Andreev, </w:t>
      </w:r>
      <w:proofErr w:type="spellStart"/>
      <w:r w:rsidR="002A3578" w:rsidRPr="002A3578">
        <w:rPr>
          <w:color w:val="000000"/>
          <w:lang w:val="en-GB"/>
        </w:rPr>
        <w:t>Evgueni</w:t>
      </w:r>
      <w:proofErr w:type="spellEnd"/>
      <w:r w:rsidR="002A3578" w:rsidRPr="002A3578">
        <w:rPr>
          <w:color w:val="000000"/>
          <w:lang w:val="en-GB"/>
        </w:rPr>
        <w:t xml:space="preserve"> M., Vladimir M. </w:t>
      </w:r>
      <w:proofErr w:type="spellStart"/>
      <w:r w:rsidR="002A3578" w:rsidRPr="002A3578">
        <w:rPr>
          <w:color w:val="000000"/>
          <w:lang w:val="en-GB"/>
        </w:rPr>
        <w:t>Shkolnikov</w:t>
      </w:r>
      <w:proofErr w:type="spellEnd"/>
      <w:r w:rsidR="002A3578" w:rsidRPr="002A3578">
        <w:rPr>
          <w:color w:val="000000"/>
          <w:lang w:val="en-GB"/>
        </w:rPr>
        <w:t xml:space="preserve">, and Alexander Z. Begun. 2002. “Algorithm for Decomposition of Differences between Aggregate Demographic Measures and Its Application to Life Expectancies, Healthy Life Expectancies, Parity-Progression Ratios and Total Fertility Rates.” </w:t>
      </w:r>
      <w:r w:rsidR="002A3578" w:rsidRPr="002A3578">
        <w:rPr>
          <w:i/>
          <w:iCs/>
          <w:color w:val="000000"/>
          <w:lang w:val="en-GB"/>
        </w:rPr>
        <w:t>Demographic Research</w:t>
      </w:r>
      <w:r w:rsidR="002A3578" w:rsidRPr="002A3578">
        <w:rPr>
          <w:color w:val="000000"/>
          <w:lang w:val="en-GB"/>
        </w:rPr>
        <w:t xml:space="preserve"> 7:499–522.</w:t>
      </w:r>
    </w:p>
    <w:p w14:paraId="6971579F" w14:textId="77777777" w:rsidR="002A3578" w:rsidRPr="002A3578" w:rsidRDefault="002A3578" w:rsidP="002A3578">
      <w:pPr>
        <w:pStyle w:val="Bibliography"/>
        <w:rPr>
          <w:color w:val="000000"/>
          <w:lang w:val="en-GB"/>
        </w:rPr>
      </w:pPr>
      <w:r w:rsidRPr="002A3578">
        <w:rPr>
          <w:color w:val="000000"/>
          <w:lang w:val="en-GB"/>
        </w:rPr>
        <w:t xml:space="preserve">Arriaga, Eduardo E. 1984. “Measuring and Explaining the Change in Life Expectancies.” </w:t>
      </w:r>
      <w:r w:rsidRPr="002A3578">
        <w:rPr>
          <w:i/>
          <w:iCs/>
          <w:color w:val="000000"/>
          <w:lang w:val="en-GB"/>
        </w:rPr>
        <w:t>Demography</w:t>
      </w:r>
      <w:r w:rsidRPr="002A3578">
        <w:rPr>
          <w:color w:val="000000"/>
          <w:lang w:val="en-GB"/>
        </w:rPr>
        <w:t xml:space="preserve"> 21(1):83–96. </w:t>
      </w:r>
      <w:proofErr w:type="spellStart"/>
      <w:r w:rsidRPr="002A3578">
        <w:rPr>
          <w:color w:val="000000"/>
          <w:lang w:val="en-GB"/>
        </w:rPr>
        <w:t>doi</w:t>
      </w:r>
      <w:proofErr w:type="spellEnd"/>
      <w:r w:rsidRPr="002A3578">
        <w:rPr>
          <w:color w:val="000000"/>
          <w:lang w:val="en-GB"/>
        </w:rPr>
        <w:t>: 10.2307/2061029.</w:t>
      </w:r>
    </w:p>
    <w:p w14:paraId="3C3B551D" w14:textId="77777777" w:rsidR="002A3578" w:rsidRPr="002A3578" w:rsidRDefault="002A3578" w:rsidP="002A3578">
      <w:pPr>
        <w:pStyle w:val="Bibliography"/>
        <w:rPr>
          <w:color w:val="000000"/>
          <w:lang w:val="en-GB"/>
        </w:rPr>
      </w:pPr>
      <w:r w:rsidRPr="002A3578">
        <w:rPr>
          <w:color w:val="000000"/>
          <w:lang w:val="en-GB"/>
        </w:rPr>
        <w:t xml:space="preserve">Caswell, Hal. 1989. “Analysis of Life Table Response Experiments I. Decomposition of Effects on Population Growth Rate.” </w:t>
      </w:r>
      <w:r w:rsidRPr="002A3578">
        <w:rPr>
          <w:i/>
          <w:iCs/>
          <w:color w:val="000000"/>
          <w:lang w:val="en-GB"/>
        </w:rPr>
        <w:t>Ecological Modelling</w:t>
      </w:r>
      <w:r w:rsidRPr="002A3578">
        <w:rPr>
          <w:color w:val="000000"/>
          <w:lang w:val="en-GB"/>
        </w:rPr>
        <w:t xml:space="preserve"> 46(3):221–37. </w:t>
      </w:r>
      <w:proofErr w:type="spellStart"/>
      <w:r w:rsidRPr="002A3578">
        <w:rPr>
          <w:color w:val="000000"/>
          <w:lang w:val="en-GB"/>
        </w:rPr>
        <w:t>doi</w:t>
      </w:r>
      <w:proofErr w:type="spellEnd"/>
      <w:r w:rsidRPr="002A3578">
        <w:rPr>
          <w:color w:val="000000"/>
          <w:lang w:val="en-GB"/>
        </w:rPr>
        <w:t>: 10.1016/0304-3800(89)90019-7.</w:t>
      </w:r>
    </w:p>
    <w:p w14:paraId="4B3D1805" w14:textId="77777777" w:rsidR="002A3578" w:rsidRPr="002A3578" w:rsidRDefault="002A3578" w:rsidP="002A3578">
      <w:pPr>
        <w:pStyle w:val="Bibliography"/>
        <w:rPr>
          <w:color w:val="000000"/>
          <w:lang w:val="en-GB"/>
        </w:rPr>
      </w:pPr>
      <w:r w:rsidRPr="002A3578">
        <w:rPr>
          <w:color w:val="000000"/>
          <w:lang w:val="en-GB"/>
        </w:rPr>
        <w:t xml:space="preserve">Das Gupta, </w:t>
      </w:r>
      <w:proofErr w:type="spellStart"/>
      <w:r w:rsidRPr="002A3578">
        <w:rPr>
          <w:color w:val="000000"/>
          <w:lang w:val="en-GB"/>
        </w:rPr>
        <w:t>Prithwis</w:t>
      </w:r>
      <w:proofErr w:type="spellEnd"/>
      <w:r w:rsidRPr="002A3578">
        <w:rPr>
          <w:color w:val="000000"/>
          <w:lang w:val="en-GB"/>
        </w:rPr>
        <w:t xml:space="preserve">. 1978. “A General Method of Decomposing a Difference between Two Rates into Several Components.” </w:t>
      </w:r>
      <w:r w:rsidRPr="002A3578">
        <w:rPr>
          <w:i/>
          <w:iCs/>
          <w:color w:val="000000"/>
          <w:lang w:val="en-GB"/>
        </w:rPr>
        <w:t>Demography</w:t>
      </w:r>
      <w:r w:rsidRPr="002A3578">
        <w:rPr>
          <w:color w:val="000000"/>
          <w:lang w:val="en-GB"/>
        </w:rPr>
        <w:t xml:space="preserve"> 15(1):99–112. </w:t>
      </w:r>
      <w:proofErr w:type="spellStart"/>
      <w:r w:rsidRPr="002A3578">
        <w:rPr>
          <w:color w:val="000000"/>
          <w:lang w:val="en-GB"/>
        </w:rPr>
        <w:t>doi</w:t>
      </w:r>
      <w:proofErr w:type="spellEnd"/>
      <w:r w:rsidRPr="002A3578">
        <w:rPr>
          <w:color w:val="000000"/>
          <w:lang w:val="en-GB"/>
        </w:rPr>
        <w:t>: 10.2307/2060493.</w:t>
      </w:r>
    </w:p>
    <w:p w14:paraId="01CF5388" w14:textId="77777777" w:rsidR="002A3578" w:rsidRPr="002A3578" w:rsidRDefault="002A3578" w:rsidP="002A3578">
      <w:pPr>
        <w:pStyle w:val="Bibliography"/>
        <w:rPr>
          <w:color w:val="000000"/>
          <w:lang w:val="en-GB"/>
        </w:rPr>
      </w:pPr>
      <w:proofErr w:type="spellStart"/>
      <w:r w:rsidRPr="002A3578">
        <w:rPr>
          <w:color w:val="000000"/>
          <w:lang w:val="en-GB"/>
        </w:rPr>
        <w:t>Hendi</w:t>
      </w:r>
      <w:proofErr w:type="spellEnd"/>
      <w:r w:rsidRPr="002A3578">
        <w:rPr>
          <w:color w:val="000000"/>
          <w:lang w:val="en-GB"/>
        </w:rPr>
        <w:t xml:space="preserve">, Arun S., and Jessica Y. Ho. 2021. “Immigration and Improvements in American Life Expectancy.” </w:t>
      </w:r>
      <w:r w:rsidRPr="002A3578">
        <w:rPr>
          <w:i/>
          <w:iCs/>
          <w:color w:val="000000"/>
          <w:lang w:val="en-GB"/>
        </w:rPr>
        <w:t>SSM - Population Health</w:t>
      </w:r>
      <w:r w:rsidRPr="002A3578">
        <w:rPr>
          <w:color w:val="000000"/>
          <w:lang w:val="en-GB"/>
        </w:rPr>
        <w:t xml:space="preserve"> 15:100914. </w:t>
      </w:r>
      <w:proofErr w:type="spellStart"/>
      <w:r w:rsidRPr="002A3578">
        <w:rPr>
          <w:color w:val="000000"/>
          <w:lang w:val="en-GB"/>
        </w:rPr>
        <w:t>doi</w:t>
      </w:r>
      <w:proofErr w:type="spellEnd"/>
      <w:r w:rsidRPr="002A3578">
        <w:rPr>
          <w:color w:val="000000"/>
          <w:lang w:val="en-GB"/>
        </w:rPr>
        <w:t>: 10.1016/j.ssmph.2021.100914.</w:t>
      </w:r>
    </w:p>
    <w:p w14:paraId="09C44879" w14:textId="77777777" w:rsidR="002A3578" w:rsidRPr="002A3578" w:rsidRDefault="002A3578" w:rsidP="002A3578">
      <w:pPr>
        <w:pStyle w:val="Bibliography"/>
        <w:rPr>
          <w:color w:val="000000"/>
          <w:lang w:val="en-GB"/>
        </w:rPr>
      </w:pPr>
      <w:r w:rsidRPr="002A3578">
        <w:rPr>
          <w:color w:val="000000"/>
          <w:lang w:val="en-GB"/>
        </w:rPr>
        <w:t xml:space="preserve">Horiuchi, Shiro, John R. Wilmoth, and Scott D. Pletcher. 2008. “A Decomposition Method Based on a Model of Continuous Change.” </w:t>
      </w:r>
      <w:r w:rsidRPr="002A3578">
        <w:rPr>
          <w:i/>
          <w:iCs/>
          <w:color w:val="000000"/>
          <w:lang w:val="en-GB"/>
        </w:rPr>
        <w:t>Demography</w:t>
      </w:r>
      <w:r w:rsidRPr="002A3578">
        <w:rPr>
          <w:color w:val="000000"/>
          <w:lang w:val="en-GB"/>
        </w:rPr>
        <w:t xml:space="preserve"> 45(4):785–801. </w:t>
      </w:r>
      <w:proofErr w:type="spellStart"/>
      <w:r w:rsidRPr="002A3578">
        <w:rPr>
          <w:color w:val="000000"/>
          <w:lang w:val="en-GB"/>
        </w:rPr>
        <w:t>doi</w:t>
      </w:r>
      <w:proofErr w:type="spellEnd"/>
      <w:r w:rsidRPr="002A3578">
        <w:rPr>
          <w:color w:val="000000"/>
          <w:lang w:val="en-GB"/>
        </w:rPr>
        <w:t>: 10.1353/dem.0.0033.</w:t>
      </w:r>
    </w:p>
    <w:p w14:paraId="4A1D090C" w14:textId="77777777" w:rsidR="002A3578" w:rsidRPr="002A3578" w:rsidRDefault="002A3578" w:rsidP="002A3578">
      <w:pPr>
        <w:pStyle w:val="Bibliography"/>
        <w:rPr>
          <w:color w:val="000000"/>
          <w:lang w:val="en-GB"/>
        </w:rPr>
      </w:pPr>
      <w:r w:rsidRPr="002A3578">
        <w:rPr>
          <w:color w:val="000000"/>
          <w:lang w:val="en-GB"/>
        </w:rPr>
        <w:t xml:space="preserve">Kitagawa, Evelyn M. 1964. “Standardized Comparisons in Population Research.” </w:t>
      </w:r>
      <w:r w:rsidRPr="002A3578">
        <w:rPr>
          <w:i/>
          <w:iCs/>
          <w:color w:val="000000"/>
          <w:lang w:val="en-GB"/>
        </w:rPr>
        <w:t>Demography</w:t>
      </w:r>
      <w:r w:rsidRPr="002A3578">
        <w:rPr>
          <w:color w:val="000000"/>
          <w:lang w:val="en-GB"/>
        </w:rPr>
        <w:t xml:space="preserve"> 1(1):296–315. </w:t>
      </w:r>
      <w:proofErr w:type="spellStart"/>
      <w:r w:rsidRPr="002A3578">
        <w:rPr>
          <w:color w:val="000000"/>
          <w:lang w:val="en-GB"/>
        </w:rPr>
        <w:t>doi</w:t>
      </w:r>
      <w:proofErr w:type="spellEnd"/>
      <w:r w:rsidRPr="002A3578">
        <w:rPr>
          <w:color w:val="000000"/>
          <w:lang w:val="en-GB"/>
        </w:rPr>
        <w:t>: 10.1007/BF03208469.</w:t>
      </w:r>
    </w:p>
    <w:p w14:paraId="56F0FFF1" w14:textId="77777777" w:rsidR="002A3578" w:rsidRPr="002A3578" w:rsidRDefault="002A3578" w:rsidP="002A3578">
      <w:pPr>
        <w:pStyle w:val="Bibliography"/>
        <w:rPr>
          <w:color w:val="000000"/>
          <w:lang w:val="en-GB"/>
        </w:rPr>
      </w:pPr>
      <w:proofErr w:type="spellStart"/>
      <w:r w:rsidRPr="002A3578">
        <w:rPr>
          <w:color w:val="000000"/>
          <w:lang w:val="en-GB"/>
        </w:rPr>
        <w:t>Mersmann</w:t>
      </w:r>
      <w:proofErr w:type="spellEnd"/>
      <w:r w:rsidRPr="002A3578">
        <w:rPr>
          <w:color w:val="000000"/>
          <w:lang w:val="en-GB"/>
        </w:rPr>
        <w:t xml:space="preserve">, Olaf, Claudia </w:t>
      </w:r>
      <w:proofErr w:type="spellStart"/>
      <w:r w:rsidRPr="002A3578">
        <w:rPr>
          <w:color w:val="000000"/>
          <w:lang w:val="en-GB"/>
        </w:rPr>
        <w:t>Beleites</w:t>
      </w:r>
      <w:proofErr w:type="spellEnd"/>
      <w:r w:rsidRPr="002A3578">
        <w:rPr>
          <w:color w:val="000000"/>
          <w:lang w:val="en-GB"/>
        </w:rPr>
        <w:t>, Rainer Hurling, Ari Friedman, and Joshua M. Ulrich. 2023. “Microbenchmark: Accurate Timing Functions.”</w:t>
      </w:r>
    </w:p>
    <w:p w14:paraId="7697B55C" w14:textId="77777777" w:rsidR="002A3578" w:rsidRPr="002A3578" w:rsidRDefault="002A3578" w:rsidP="002A3578">
      <w:pPr>
        <w:pStyle w:val="Bibliography"/>
        <w:rPr>
          <w:color w:val="000000"/>
          <w:lang w:val="en-GB"/>
        </w:rPr>
      </w:pPr>
      <w:r w:rsidRPr="002A3578">
        <w:rPr>
          <w:color w:val="000000"/>
          <w:lang w:val="en-GB"/>
        </w:rPr>
        <w:t>NCHS. 2023. “NCHS Urban Rural Classification Scheme for Counties.” Retrieved September 21, 2023 (https://www.cdc.gov/nchs/data_access/urban_rural.htm).</w:t>
      </w:r>
    </w:p>
    <w:p w14:paraId="35159172" w14:textId="77777777" w:rsidR="002A3578" w:rsidRPr="002A3578" w:rsidRDefault="002A3578" w:rsidP="002A3578">
      <w:pPr>
        <w:pStyle w:val="Bibliography"/>
        <w:rPr>
          <w:color w:val="000000"/>
          <w:lang w:val="en-GB"/>
        </w:rPr>
      </w:pPr>
      <w:proofErr w:type="spellStart"/>
      <w:r w:rsidRPr="002A3578">
        <w:rPr>
          <w:color w:val="000000"/>
          <w:lang w:val="en-GB"/>
        </w:rPr>
        <w:t>Riffe</w:t>
      </w:r>
      <w:proofErr w:type="spellEnd"/>
      <w:r w:rsidRPr="002A3578">
        <w:rPr>
          <w:color w:val="000000"/>
          <w:lang w:val="en-GB"/>
        </w:rPr>
        <w:t>, Tim. 2019. “</w:t>
      </w:r>
      <w:proofErr w:type="spellStart"/>
      <w:r w:rsidRPr="002A3578">
        <w:rPr>
          <w:color w:val="000000"/>
          <w:lang w:val="en-GB"/>
        </w:rPr>
        <w:t>DemoDecomp</w:t>
      </w:r>
      <w:proofErr w:type="spellEnd"/>
      <w:r w:rsidRPr="002A3578">
        <w:rPr>
          <w:color w:val="000000"/>
          <w:lang w:val="en-GB"/>
        </w:rPr>
        <w:t>: General Demographic Decomposition Methods.”</w:t>
      </w:r>
    </w:p>
    <w:p w14:paraId="1779822E" w14:textId="77777777" w:rsidR="002A3578" w:rsidRPr="002A3578" w:rsidRDefault="002A3578" w:rsidP="002A3578">
      <w:pPr>
        <w:pStyle w:val="Bibliography"/>
        <w:rPr>
          <w:color w:val="000000"/>
          <w:lang w:val="en-GB"/>
        </w:rPr>
      </w:pPr>
      <w:proofErr w:type="spellStart"/>
      <w:r w:rsidRPr="002A3578">
        <w:rPr>
          <w:color w:val="000000"/>
          <w:lang w:val="en-GB"/>
        </w:rPr>
        <w:t>Vaupel</w:t>
      </w:r>
      <w:proofErr w:type="spellEnd"/>
      <w:r w:rsidRPr="002A3578">
        <w:rPr>
          <w:color w:val="000000"/>
          <w:lang w:val="en-GB"/>
        </w:rPr>
        <w:t xml:space="preserve">, James W., and Vladimir </w:t>
      </w:r>
      <w:proofErr w:type="spellStart"/>
      <w:r w:rsidRPr="002A3578">
        <w:rPr>
          <w:color w:val="000000"/>
          <w:lang w:val="en-GB"/>
        </w:rPr>
        <w:t>Canudas</w:t>
      </w:r>
      <w:proofErr w:type="spellEnd"/>
      <w:r w:rsidRPr="002A3578">
        <w:rPr>
          <w:color w:val="000000"/>
          <w:lang w:val="en-GB"/>
        </w:rPr>
        <w:t xml:space="preserve">-Romo. 2002. “Decomposing Demographic Change into Direct vs. Compositional Components.” </w:t>
      </w:r>
      <w:r w:rsidRPr="002A3578">
        <w:rPr>
          <w:i/>
          <w:iCs/>
          <w:color w:val="000000"/>
          <w:lang w:val="en-GB"/>
        </w:rPr>
        <w:t>Demographic Research</w:t>
      </w:r>
      <w:r w:rsidRPr="002A3578">
        <w:rPr>
          <w:color w:val="000000"/>
          <w:lang w:val="en-GB"/>
        </w:rPr>
        <w:t xml:space="preserve"> 7:1–14.</w:t>
      </w:r>
    </w:p>
    <w:p w14:paraId="511A98F7" w14:textId="31DC65BE" w:rsidR="00B5163D" w:rsidRDefault="003E6C62" w:rsidP="00856A10">
      <w:pPr>
        <w:spacing w:line="480" w:lineRule="auto"/>
        <w:rPr>
          <w:color w:val="000000" w:themeColor="text1"/>
        </w:rPr>
      </w:pPr>
      <w:r>
        <w:rPr>
          <w:color w:val="000000" w:themeColor="text1"/>
        </w:rPr>
        <w:fldChar w:fldCharType="end"/>
      </w:r>
    </w:p>
    <w:p w14:paraId="17DBB57E" w14:textId="77777777" w:rsidR="00B5163D" w:rsidRDefault="00B5163D">
      <w:pPr>
        <w:rPr>
          <w:color w:val="000000" w:themeColor="text1"/>
        </w:rPr>
      </w:pPr>
      <w:r>
        <w:rPr>
          <w:color w:val="000000" w:themeColor="text1"/>
        </w:rPr>
        <w:br w:type="page"/>
      </w:r>
    </w:p>
    <w:p w14:paraId="4C0D5C24" w14:textId="21566819" w:rsidR="005D26E2" w:rsidRDefault="00B5163D" w:rsidP="00856A10">
      <w:pPr>
        <w:spacing w:line="480" w:lineRule="auto"/>
        <w:rPr>
          <w:b/>
          <w:bCs/>
          <w:color w:val="000000" w:themeColor="text1"/>
        </w:rPr>
      </w:pPr>
      <w:r w:rsidRPr="00B5163D">
        <w:rPr>
          <w:b/>
          <w:bCs/>
          <w:color w:val="000000" w:themeColor="text1"/>
        </w:rPr>
        <w:lastRenderedPageBreak/>
        <w:t>Figure and Tables</w:t>
      </w:r>
    </w:p>
    <w:p w14:paraId="0749127D" w14:textId="3B237C48" w:rsidR="00735EC9" w:rsidRPr="00735EC9" w:rsidRDefault="00735EC9" w:rsidP="00856A10">
      <w:pPr>
        <w:spacing w:line="480" w:lineRule="auto"/>
        <w:rPr>
          <w:color w:val="000000" w:themeColor="text1"/>
        </w:rPr>
      </w:pPr>
      <w:r w:rsidRPr="00316183">
        <w:rPr>
          <w:b/>
          <w:bCs/>
          <w:color w:val="000000" w:themeColor="text1"/>
        </w:rPr>
        <w:t>Figure 1</w:t>
      </w:r>
      <w:r>
        <w:rPr>
          <w:color w:val="000000" w:themeColor="text1"/>
        </w:rPr>
        <w:t>: Life Expectancy at Birth by Year, Sex, and Urban-Rural Category</w:t>
      </w:r>
    </w:p>
    <w:p w14:paraId="2CAF9686" w14:textId="207EC07F" w:rsidR="00316183" w:rsidRPr="00B5163D" w:rsidRDefault="004D0D29" w:rsidP="00856A10">
      <w:pPr>
        <w:spacing w:line="480" w:lineRule="auto"/>
        <w:rPr>
          <w:b/>
          <w:bCs/>
          <w:color w:val="000000" w:themeColor="text1"/>
        </w:rPr>
      </w:pPr>
      <w:r>
        <w:rPr>
          <w:b/>
          <w:bCs/>
          <w:noProof/>
          <w:color w:val="000000" w:themeColor="text1"/>
        </w:rPr>
        <w:drawing>
          <wp:inline distT="0" distB="0" distL="0" distR="0" wp14:anchorId="39AB83EE" wp14:editId="7478A714">
            <wp:extent cx="6400800" cy="2743200"/>
            <wp:effectExtent l="0" t="0" r="0" b="0"/>
            <wp:docPr id="18130686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8642" name="Picture 4"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14:paraId="5B60F375" w14:textId="26BA73C3" w:rsidR="00316183" w:rsidRDefault="00316183" w:rsidP="00856A10">
      <w:pPr>
        <w:spacing w:line="480" w:lineRule="auto"/>
        <w:rPr>
          <w:color w:val="000000" w:themeColor="text1"/>
        </w:rPr>
      </w:pPr>
    </w:p>
    <w:p w14:paraId="1F809398" w14:textId="6A32615D" w:rsidR="00CA30BF" w:rsidRDefault="00B5163D" w:rsidP="00856A10">
      <w:pPr>
        <w:spacing w:line="480" w:lineRule="auto"/>
        <w:rPr>
          <w:color w:val="000000" w:themeColor="text1"/>
        </w:rPr>
      </w:pPr>
      <w:r w:rsidRPr="00B5163D">
        <w:rPr>
          <w:b/>
          <w:bCs/>
          <w:color w:val="000000" w:themeColor="text1"/>
        </w:rPr>
        <w:t>Figure 2</w:t>
      </w:r>
      <w:r>
        <w:rPr>
          <w:color w:val="000000" w:themeColor="text1"/>
        </w:rPr>
        <w:t>: Decomposing the Contribution of Non-Large Central Metro Counties to National Life Expectancy by Urban-Rural Categories.</w:t>
      </w:r>
    </w:p>
    <w:p w14:paraId="6B43E137" w14:textId="69E7C6AB" w:rsidR="004D0D29" w:rsidRDefault="00735EC9" w:rsidP="00856A10">
      <w:pPr>
        <w:spacing w:line="480" w:lineRule="auto"/>
        <w:rPr>
          <w:color w:val="000000" w:themeColor="text1"/>
        </w:rPr>
      </w:pPr>
      <w:r>
        <w:rPr>
          <w:noProof/>
          <w:color w:val="000000" w:themeColor="text1"/>
        </w:rPr>
        <w:drawing>
          <wp:inline distT="0" distB="0" distL="0" distR="0" wp14:anchorId="7BBD8567" wp14:editId="578A6CB1">
            <wp:extent cx="3657600" cy="3657600"/>
            <wp:effectExtent l="0" t="0" r="0" b="0"/>
            <wp:docPr id="986629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9031"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a:solidFill>
                      <a:schemeClr val="bg1"/>
                    </a:solidFill>
                  </pic:spPr>
                </pic:pic>
              </a:graphicData>
            </a:graphic>
          </wp:inline>
        </w:drawing>
      </w:r>
    </w:p>
    <w:p w14:paraId="1F455E6B" w14:textId="77777777" w:rsidR="00735EC9" w:rsidRDefault="00735EC9">
      <w:pPr>
        <w:rPr>
          <w:color w:val="000000" w:themeColor="text1"/>
        </w:rPr>
      </w:pPr>
      <w:r>
        <w:rPr>
          <w:color w:val="000000" w:themeColor="text1"/>
        </w:rPr>
        <w:br w:type="page"/>
      </w:r>
    </w:p>
    <w:p w14:paraId="58FAD878" w14:textId="13EDA5B5" w:rsidR="004D0D29" w:rsidRDefault="00395C89" w:rsidP="00735EC9">
      <w:pPr>
        <w:tabs>
          <w:tab w:val="left" w:pos="1193"/>
        </w:tabs>
        <w:spacing w:line="480" w:lineRule="auto"/>
        <w:rPr>
          <w:color w:val="000000" w:themeColor="text1"/>
        </w:rPr>
      </w:pPr>
      <w:r w:rsidRPr="00B5163D">
        <w:rPr>
          <w:b/>
          <w:bCs/>
          <w:color w:val="000000" w:themeColor="text1"/>
        </w:rPr>
        <w:lastRenderedPageBreak/>
        <w:t xml:space="preserve">Figure </w:t>
      </w:r>
      <w:r w:rsidR="00956D84">
        <w:rPr>
          <w:b/>
          <w:bCs/>
          <w:color w:val="000000" w:themeColor="text1"/>
        </w:rPr>
        <w:t>3</w:t>
      </w:r>
      <w:r>
        <w:rPr>
          <w:color w:val="000000" w:themeColor="text1"/>
        </w:rPr>
        <w:t xml:space="preserve">: </w:t>
      </w:r>
      <w:r w:rsidR="00735EC9">
        <w:rPr>
          <w:color w:val="000000" w:themeColor="text1"/>
        </w:rPr>
        <w:t xml:space="preserve">Comparing Decomposition Results from the </w:t>
      </w:r>
      <w:r w:rsidR="00A23821">
        <w:rPr>
          <w:color w:val="000000" w:themeColor="text1"/>
        </w:rPr>
        <w:t>groupwise decomposition</w:t>
      </w:r>
      <w:r w:rsidR="00735EC9">
        <w:rPr>
          <w:color w:val="000000" w:themeColor="text1"/>
        </w:rPr>
        <w:t xml:space="preserve"> with Those Obtained with Other General Decomposition Methods: Horiuchi, LTRE, and Step-Wise.</w:t>
      </w:r>
    </w:p>
    <w:p w14:paraId="1A1E01FF" w14:textId="308EFA0C" w:rsidR="00735EC9" w:rsidRDefault="00735EC9" w:rsidP="00735EC9">
      <w:pPr>
        <w:tabs>
          <w:tab w:val="left" w:pos="1193"/>
        </w:tabs>
        <w:spacing w:line="480" w:lineRule="auto"/>
        <w:rPr>
          <w:color w:val="000000" w:themeColor="text1"/>
        </w:rPr>
      </w:pPr>
      <w:r>
        <w:rPr>
          <w:noProof/>
          <w:color w:val="000000" w:themeColor="text1"/>
        </w:rPr>
        <w:drawing>
          <wp:inline distT="0" distB="0" distL="0" distR="0" wp14:anchorId="781B744D" wp14:editId="31E311C1">
            <wp:extent cx="5486400" cy="5486400"/>
            <wp:effectExtent l="0" t="0" r="0" b="0"/>
            <wp:docPr id="1595696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96002" name="Picture 1595696002"/>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DF09EE" w14:textId="1CE11B80" w:rsidR="00507666" w:rsidRDefault="00507666">
      <w:pPr>
        <w:rPr>
          <w:color w:val="000000" w:themeColor="text1"/>
        </w:rPr>
      </w:pPr>
      <w:r>
        <w:rPr>
          <w:color w:val="000000" w:themeColor="text1"/>
        </w:rPr>
        <w:br w:type="page"/>
      </w:r>
    </w:p>
    <w:p w14:paraId="36CE367B" w14:textId="141ECA6E" w:rsidR="00507666" w:rsidRDefault="00507666" w:rsidP="00507666">
      <w:pPr>
        <w:tabs>
          <w:tab w:val="left" w:pos="1193"/>
        </w:tabs>
        <w:spacing w:line="480" w:lineRule="auto"/>
        <w:rPr>
          <w:color w:val="000000" w:themeColor="text1"/>
        </w:rPr>
      </w:pPr>
      <w:r w:rsidRPr="00B5163D">
        <w:rPr>
          <w:b/>
          <w:bCs/>
          <w:color w:val="000000" w:themeColor="text1"/>
        </w:rPr>
        <w:lastRenderedPageBreak/>
        <w:t xml:space="preserve">Figure </w:t>
      </w:r>
      <w:r w:rsidR="00956D84">
        <w:rPr>
          <w:b/>
          <w:bCs/>
          <w:color w:val="000000" w:themeColor="text1"/>
        </w:rPr>
        <w:t>4</w:t>
      </w:r>
      <w:r>
        <w:rPr>
          <w:color w:val="000000" w:themeColor="text1"/>
        </w:rPr>
        <w:t xml:space="preserve">: Comparing Decomposition Results from the </w:t>
      </w:r>
      <w:r w:rsidR="00A23821">
        <w:rPr>
          <w:color w:val="000000" w:themeColor="text1"/>
        </w:rPr>
        <w:t>groupwise decomposition</w:t>
      </w:r>
      <w:r>
        <w:rPr>
          <w:color w:val="000000" w:themeColor="text1"/>
        </w:rPr>
        <w:t xml:space="preserve"> with Those Obtained with the Horiuchi and LTRE General Decomposition Methods.</w:t>
      </w:r>
    </w:p>
    <w:p w14:paraId="18A787A3" w14:textId="1253AF17" w:rsidR="00507666" w:rsidRDefault="00507666" w:rsidP="00735EC9">
      <w:pPr>
        <w:tabs>
          <w:tab w:val="left" w:pos="1193"/>
        </w:tabs>
        <w:spacing w:line="480" w:lineRule="auto"/>
        <w:rPr>
          <w:color w:val="000000" w:themeColor="text1"/>
        </w:rPr>
      </w:pPr>
      <w:r>
        <w:rPr>
          <w:noProof/>
          <w:color w:val="000000" w:themeColor="text1"/>
        </w:rPr>
        <w:drawing>
          <wp:inline distT="0" distB="0" distL="0" distR="0" wp14:anchorId="2F70B636" wp14:editId="4A1572F0">
            <wp:extent cx="5486400" cy="5486400"/>
            <wp:effectExtent l="0" t="0" r="0" b="0"/>
            <wp:docPr id="298375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5793" name="Picture 298375793"/>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F97D6E" w14:textId="744DD679" w:rsidR="00956D84" w:rsidRDefault="00956D84">
      <w:pPr>
        <w:rPr>
          <w:color w:val="000000" w:themeColor="text1"/>
        </w:rPr>
      </w:pPr>
      <w:r>
        <w:rPr>
          <w:color w:val="000000" w:themeColor="text1"/>
        </w:rPr>
        <w:br w:type="page"/>
      </w:r>
    </w:p>
    <w:p w14:paraId="079D4A3B" w14:textId="074DE3DF" w:rsidR="00956D84" w:rsidRDefault="00956D84" w:rsidP="00956D84">
      <w:pPr>
        <w:tabs>
          <w:tab w:val="left" w:pos="1193"/>
        </w:tabs>
        <w:spacing w:line="480" w:lineRule="auto"/>
        <w:rPr>
          <w:color w:val="000000" w:themeColor="text1"/>
        </w:rPr>
      </w:pPr>
      <w:r w:rsidRPr="00B5163D">
        <w:rPr>
          <w:b/>
          <w:bCs/>
          <w:color w:val="000000" w:themeColor="text1"/>
        </w:rPr>
        <w:lastRenderedPageBreak/>
        <w:t xml:space="preserve">Figure </w:t>
      </w:r>
      <w:r>
        <w:rPr>
          <w:b/>
          <w:bCs/>
          <w:color w:val="000000" w:themeColor="text1"/>
        </w:rPr>
        <w:t>5</w:t>
      </w:r>
      <w:r>
        <w:rPr>
          <w:color w:val="000000" w:themeColor="text1"/>
        </w:rPr>
        <w:t xml:space="preserve">: </w:t>
      </w:r>
      <w:r w:rsidR="00052677" w:rsidRPr="00052677">
        <w:rPr>
          <w:color w:val="000000" w:themeColor="text1"/>
        </w:rPr>
        <w:t>Decomposition of Contributions to National Life Expectancy by Metro Type and Age (2019)</w:t>
      </w:r>
      <w:r w:rsidR="00052677">
        <w:rPr>
          <w:color w:val="000000" w:themeColor="text1"/>
        </w:rPr>
        <w:t xml:space="preserve"> Using the </w:t>
      </w:r>
      <w:r w:rsidR="00A23821">
        <w:rPr>
          <w:color w:val="000000" w:themeColor="text1"/>
        </w:rPr>
        <w:t>groupwise decomposition</w:t>
      </w:r>
      <w:r>
        <w:rPr>
          <w:color w:val="000000" w:themeColor="text1"/>
        </w:rPr>
        <w:t>.</w:t>
      </w:r>
    </w:p>
    <w:p w14:paraId="16901D1B" w14:textId="48C58B9C" w:rsidR="00052677" w:rsidRDefault="00052677" w:rsidP="00956D84">
      <w:pPr>
        <w:tabs>
          <w:tab w:val="left" w:pos="1193"/>
        </w:tabs>
        <w:spacing w:line="480" w:lineRule="auto"/>
        <w:rPr>
          <w:color w:val="000000" w:themeColor="text1"/>
        </w:rPr>
      </w:pPr>
      <w:r>
        <w:rPr>
          <w:noProof/>
          <w:color w:val="000000" w:themeColor="text1"/>
        </w:rPr>
        <w:drawing>
          <wp:inline distT="0" distB="0" distL="0" distR="0" wp14:anchorId="5D89AD39" wp14:editId="1254BAAE">
            <wp:extent cx="6118860" cy="6118860"/>
            <wp:effectExtent l="0" t="0" r="2540" b="2540"/>
            <wp:docPr id="568259001" name="Picture 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59001" name="Picture 2" descr="A graph of different colored squa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0776" cy="6130776"/>
                    </a:xfrm>
                    <a:prstGeom prst="rect">
                      <a:avLst/>
                    </a:prstGeom>
                  </pic:spPr>
                </pic:pic>
              </a:graphicData>
            </a:graphic>
          </wp:inline>
        </w:drawing>
      </w:r>
    </w:p>
    <w:p w14:paraId="6929E75A" w14:textId="6B968559" w:rsidR="00956D84" w:rsidRDefault="00956D84">
      <w:pPr>
        <w:rPr>
          <w:color w:val="000000" w:themeColor="text1"/>
        </w:rPr>
      </w:pPr>
      <w:r>
        <w:rPr>
          <w:color w:val="000000" w:themeColor="text1"/>
        </w:rPr>
        <w:br w:type="page"/>
      </w:r>
    </w:p>
    <w:p w14:paraId="08868DFD" w14:textId="16FC4703" w:rsidR="00956D84" w:rsidRDefault="00956D84" w:rsidP="00735EC9">
      <w:pPr>
        <w:tabs>
          <w:tab w:val="left" w:pos="1193"/>
        </w:tabs>
        <w:spacing w:line="480" w:lineRule="auto"/>
        <w:rPr>
          <w:color w:val="000000" w:themeColor="text1"/>
        </w:rPr>
      </w:pPr>
      <w:r w:rsidRPr="00B5163D">
        <w:rPr>
          <w:b/>
          <w:bCs/>
          <w:color w:val="000000" w:themeColor="text1"/>
        </w:rPr>
        <w:lastRenderedPageBreak/>
        <w:t xml:space="preserve">Figure </w:t>
      </w:r>
      <w:r>
        <w:rPr>
          <w:b/>
          <w:bCs/>
          <w:color w:val="000000" w:themeColor="text1"/>
        </w:rPr>
        <w:t>6</w:t>
      </w:r>
      <w:r>
        <w:rPr>
          <w:color w:val="000000" w:themeColor="text1"/>
        </w:rPr>
        <w:t xml:space="preserve">: </w:t>
      </w:r>
      <w:r w:rsidR="00052677" w:rsidRPr="00052677">
        <w:rPr>
          <w:color w:val="000000" w:themeColor="text1"/>
        </w:rPr>
        <w:t>Decomposition of Contributions to National Life Expectancy by Metro Type and Age (2019)</w:t>
      </w:r>
      <w:r w:rsidR="00052677">
        <w:rPr>
          <w:color w:val="000000" w:themeColor="text1"/>
        </w:rPr>
        <w:t xml:space="preserve"> Using the Line-Integral Decomposition </w:t>
      </w:r>
      <w:r w:rsidR="00052677">
        <w:rPr>
          <w:color w:val="000000" w:themeColor="text1"/>
        </w:rPr>
        <w:fldChar w:fldCharType="begin"/>
      </w:r>
      <w:r w:rsidR="00052677">
        <w:rPr>
          <w:color w:val="000000" w:themeColor="text1"/>
        </w:rPr>
        <w:instrText xml:space="preserve"> ADDIN ZOTERO_ITEM CSL_CITATION {"citationID":"Ursqzm53","properties":{"formattedCitation":"(Horiuchi et al. 2008)","plainCitation":"(Horiuchi et al. 2008)","noteIndex":0},"citationItems":[{"id":2645,"uris":["http://zotero.org/users/8250957/items/825TENDU"],"itemData":{"id":2645,"type":"article-journal","abstract":"A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052677">
        <w:rPr>
          <w:color w:val="000000" w:themeColor="text1"/>
        </w:rPr>
        <w:fldChar w:fldCharType="separate"/>
      </w:r>
      <w:r w:rsidR="00052677">
        <w:rPr>
          <w:noProof/>
          <w:color w:val="000000" w:themeColor="text1"/>
        </w:rPr>
        <w:t>(Horiuchi et al. 2008)</w:t>
      </w:r>
      <w:r w:rsidR="00052677">
        <w:rPr>
          <w:color w:val="000000" w:themeColor="text1"/>
        </w:rPr>
        <w:fldChar w:fldCharType="end"/>
      </w:r>
      <w:r w:rsidR="00052677">
        <w:rPr>
          <w:color w:val="000000" w:themeColor="text1"/>
        </w:rPr>
        <w:t>.</w:t>
      </w:r>
    </w:p>
    <w:p w14:paraId="794E34DA" w14:textId="6D95B3AC" w:rsidR="00052677" w:rsidRPr="00FE42C4" w:rsidRDefault="00052677" w:rsidP="00735EC9">
      <w:pPr>
        <w:tabs>
          <w:tab w:val="left" w:pos="1193"/>
        </w:tabs>
        <w:spacing w:line="480" w:lineRule="auto"/>
        <w:rPr>
          <w:color w:val="000000" w:themeColor="text1"/>
        </w:rPr>
      </w:pPr>
      <w:r>
        <w:rPr>
          <w:noProof/>
          <w:color w:val="000000" w:themeColor="text1"/>
        </w:rPr>
        <w:drawing>
          <wp:inline distT="0" distB="0" distL="0" distR="0" wp14:anchorId="231AB590" wp14:editId="5892C9CE">
            <wp:extent cx="6136640" cy="6136640"/>
            <wp:effectExtent l="0" t="0" r="0" b="0"/>
            <wp:docPr id="2075083713" name="Picture 3"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3713" name="Picture 3" descr="A graph of different colored squar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7856" cy="6147856"/>
                    </a:xfrm>
                    <a:prstGeom prst="rect">
                      <a:avLst/>
                    </a:prstGeom>
                  </pic:spPr>
                </pic:pic>
              </a:graphicData>
            </a:graphic>
          </wp:inline>
        </w:drawing>
      </w:r>
    </w:p>
    <w:sectPr w:rsidR="00052677" w:rsidRPr="00FE42C4" w:rsidSect="00A25319">
      <w:footerReference w:type="even" r:id="rId13"/>
      <w:foot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CCF9" w14:textId="77777777" w:rsidR="00A25319" w:rsidRDefault="00A25319" w:rsidP="004D33B5">
      <w:r>
        <w:separator/>
      </w:r>
    </w:p>
  </w:endnote>
  <w:endnote w:type="continuationSeparator" w:id="0">
    <w:p w14:paraId="267D7FFE" w14:textId="77777777" w:rsidR="00A25319" w:rsidRDefault="00A25319" w:rsidP="004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 SIL">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444901"/>
      <w:docPartObj>
        <w:docPartGallery w:val="Page Numbers (Bottom of Page)"/>
        <w:docPartUnique/>
      </w:docPartObj>
    </w:sdtPr>
    <w:sdtContent>
      <w:p w14:paraId="0B2C4A42" w14:textId="5C8EC4F9" w:rsidR="007A55DD" w:rsidRDefault="007A55DD" w:rsidP="007A7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026C6" w14:textId="77777777" w:rsidR="007A55DD" w:rsidRDefault="007A55DD" w:rsidP="007A5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DD23" w14:textId="537E8397" w:rsidR="007A55DD" w:rsidRDefault="007A55DD" w:rsidP="007A7E86">
    <w:pPr>
      <w:pStyle w:val="Footer"/>
      <w:framePr w:wrap="none" w:vAnchor="text" w:hAnchor="margin" w:xAlign="right" w:y="1"/>
      <w:rPr>
        <w:rStyle w:val="PageNumber"/>
      </w:rPr>
    </w:pPr>
  </w:p>
  <w:p w14:paraId="51639552" w14:textId="77777777" w:rsidR="004E411C" w:rsidRPr="00E64D3B" w:rsidRDefault="004E411C" w:rsidP="00B213B2">
    <w:pPr>
      <w:pStyle w:val="Footer"/>
      <w:ind w:right="360"/>
      <w:jc w:val="center"/>
      <w:rPr>
        <w:rFonts w:ascii="Times New Roman" w:hAnsi="Times New Roman" w:cs="Times New Roman"/>
        <w:sz w:val="24"/>
        <w:szCs w:val="24"/>
      </w:rPr>
    </w:pPr>
  </w:p>
  <w:p w14:paraId="7464485F" w14:textId="77777777" w:rsidR="004E411C" w:rsidRDefault="004E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9408" w14:textId="77777777" w:rsidR="00A25319" w:rsidRDefault="00A25319" w:rsidP="004D33B5">
      <w:r>
        <w:separator/>
      </w:r>
    </w:p>
  </w:footnote>
  <w:footnote w:type="continuationSeparator" w:id="0">
    <w:p w14:paraId="640F51DE" w14:textId="77777777" w:rsidR="00A25319" w:rsidRDefault="00A25319" w:rsidP="004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5C3"/>
    <w:multiLevelType w:val="hybridMultilevel"/>
    <w:tmpl w:val="3816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494"/>
    <w:multiLevelType w:val="hybridMultilevel"/>
    <w:tmpl w:val="414E9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5129B"/>
    <w:multiLevelType w:val="hybridMultilevel"/>
    <w:tmpl w:val="90881AD4"/>
    <w:lvl w:ilvl="0" w:tplc="E4927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51F44"/>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4B0FD4"/>
    <w:multiLevelType w:val="multilevel"/>
    <w:tmpl w:val="E1BC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50478"/>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EC4BAE"/>
    <w:multiLevelType w:val="hybridMultilevel"/>
    <w:tmpl w:val="0FFEFD02"/>
    <w:lvl w:ilvl="0" w:tplc="ACE4535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25C28"/>
    <w:multiLevelType w:val="hybridMultilevel"/>
    <w:tmpl w:val="E6FE506A"/>
    <w:lvl w:ilvl="0" w:tplc="C84225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541D"/>
    <w:multiLevelType w:val="hybridMultilevel"/>
    <w:tmpl w:val="3A203C36"/>
    <w:lvl w:ilvl="0" w:tplc="40508740">
      <w:start w:val="1"/>
      <w:numFmt w:val="bullet"/>
      <w:lvlText w:val="§"/>
      <w:lvlJc w:val="left"/>
      <w:pPr>
        <w:tabs>
          <w:tab w:val="num" w:pos="720"/>
        </w:tabs>
        <w:ind w:left="720" w:hanging="360"/>
      </w:pPr>
      <w:rPr>
        <w:rFonts w:ascii="Wingdings" w:hAnsi="Wingdings" w:hint="default"/>
      </w:rPr>
    </w:lvl>
    <w:lvl w:ilvl="1" w:tplc="4AF8855C" w:tentative="1">
      <w:start w:val="1"/>
      <w:numFmt w:val="bullet"/>
      <w:lvlText w:val="§"/>
      <w:lvlJc w:val="left"/>
      <w:pPr>
        <w:tabs>
          <w:tab w:val="num" w:pos="1440"/>
        </w:tabs>
        <w:ind w:left="1440" w:hanging="360"/>
      </w:pPr>
      <w:rPr>
        <w:rFonts w:ascii="Wingdings" w:hAnsi="Wingdings" w:hint="default"/>
      </w:rPr>
    </w:lvl>
    <w:lvl w:ilvl="2" w:tplc="78C49C9A" w:tentative="1">
      <w:start w:val="1"/>
      <w:numFmt w:val="bullet"/>
      <w:lvlText w:val="§"/>
      <w:lvlJc w:val="left"/>
      <w:pPr>
        <w:tabs>
          <w:tab w:val="num" w:pos="2160"/>
        </w:tabs>
        <w:ind w:left="2160" w:hanging="360"/>
      </w:pPr>
      <w:rPr>
        <w:rFonts w:ascii="Wingdings" w:hAnsi="Wingdings" w:hint="default"/>
      </w:rPr>
    </w:lvl>
    <w:lvl w:ilvl="3" w:tplc="30243D2C" w:tentative="1">
      <w:start w:val="1"/>
      <w:numFmt w:val="bullet"/>
      <w:lvlText w:val="§"/>
      <w:lvlJc w:val="left"/>
      <w:pPr>
        <w:tabs>
          <w:tab w:val="num" w:pos="2880"/>
        </w:tabs>
        <w:ind w:left="2880" w:hanging="360"/>
      </w:pPr>
      <w:rPr>
        <w:rFonts w:ascii="Wingdings" w:hAnsi="Wingdings" w:hint="default"/>
      </w:rPr>
    </w:lvl>
    <w:lvl w:ilvl="4" w:tplc="42CE5340" w:tentative="1">
      <w:start w:val="1"/>
      <w:numFmt w:val="bullet"/>
      <w:lvlText w:val="§"/>
      <w:lvlJc w:val="left"/>
      <w:pPr>
        <w:tabs>
          <w:tab w:val="num" w:pos="3600"/>
        </w:tabs>
        <w:ind w:left="3600" w:hanging="360"/>
      </w:pPr>
      <w:rPr>
        <w:rFonts w:ascii="Wingdings" w:hAnsi="Wingdings" w:hint="default"/>
      </w:rPr>
    </w:lvl>
    <w:lvl w:ilvl="5" w:tplc="1922B490" w:tentative="1">
      <w:start w:val="1"/>
      <w:numFmt w:val="bullet"/>
      <w:lvlText w:val="§"/>
      <w:lvlJc w:val="left"/>
      <w:pPr>
        <w:tabs>
          <w:tab w:val="num" w:pos="4320"/>
        </w:tabs>
        <w:ind w:left="4320" w:hanging="360"/>
      </w:pPr>
      <w:rPr>
        <w:rFonts w:ascii="Wingdings" w:hAnsi="Wingdings" w:hint="default"/>
      </w:rPr>
    </w:lvl>
    <w:lvl w:ilvl="6" w:tplc="925099C4" w:tentative="1">
      <w:start w:val="1"/>
      <w:numFmt w:val="bullet"/>
      <w:lvlText w:val="§"/>
      <w:lvlJc w:val="left"/>
      <w:pPr>
        <w:tabs>
          <w:tab w:val="num" w:pos="5040"/>
        </w:tabs>
        <w:ind w:left="5040" w:hanging="360"/>
      </w:pPr>
      <w:rPr>
        <w:rFonts w:ascii="Wingdings" w:hAnsi="Wingdings" w:hint="default"/>
      </w:rPr>
    </w:lvl>
    <w:lvl w:ilvl="7" w:tplc="9BA8E904" w:tentative="1">
      <w:start w:val="1"/>
      <w:numFmt w:val="bullet"/>
      <w:lvlText w:val="§"/>
      <w:lvlJc w:val="left"/>
      <w:pPr>
        <w:tabs>
          <w:tab w:val="num" w:pos="5760"/>
        </w:tabs>
        <w:ind w:left="5760" w:hanging="360"/>
      </w:pPr>
      <w:rPr>
        <w:rFonts w:ascii="Wingdings" w:hAnsi="Wingdings" w:hint="default"/>
      </w:rPr>
    </w:lvl>
    <w:lvl w:ilvl="8" w:tplc="BA8653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104059"/>
    <w:multiLevelType w:val="hybridMultilevel"/>
    <w:tmpl w:val="92F09BC6"/>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0" w15:restartNumberingAfterBreak="0">
    <w:nsid w:val="50E23A87"/>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DB7DA4"/>
    <w:multiLevelType w:val="hybridMultilevel"/>
    <w:tmpl w:val="81C867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939301">
    <w:abstractNumId w:val="4"/>
  </w:num>
  <w:num w:numId="2" w16cid:durableId="1920943310">
    <w:abstractNumId w:val="7"/>
  </w:num>
  <w:num w:numId="3" w16cid:durableId="681933288">
    <w:abstractNumId w:val="0"/>
  </w:num>
  <w:num w:numId="4" w16cid:durableId="1811362005">
    <w:abstractNumId w:val="1"/>
  </w:num>
  <w:num w:numId="5" w16cid:durableId="973145618">
    <w:abstractNumId w:val="3"/>
  </w:num>
  <w:num w:numId="6" w16cid:durableId="493762628">
    <w:abstractNumId w:val="10"/>
  </w:num>
  <w:num w:numId="7" w16cid:durableId="765346245">
    <w:abstractNumId w:val="5"/>
  </w:num>
  <w:num w:numId="8" w16cid:durableId="398091289">
    <w:abstractNumId w:val="11"/>
  </w:num>
  <w:num w:numId="9" w16cid:durableId="328556586">
    <w:abstractNumId w:val="2"/>
  </w:num>
  <w:num w:numId="10" w16cid:durableId="1386031645">
    <w:abstractNumId w:val="9"/>
  </w:num>
  <w:num w:numId="11" w16cid:durableId="1236084236">
    <w:abstractNumId w:val="6"/>
  </w:num>
  <w:num w:numId="12" w16cid:durableId="754479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32"/>
    <w:rsid w:val="00000654"/>
    <w:rsid w:val="0000186E"/>
    <w:rsid w:val="00002420"/>
    <w:rsid w:val="000025CF"/>
    <w:rsid w:val="00005380"/>
    <w:rsid w:val="00006D43"/>
    <w:rsid w:val="00007EF3"/>
    <w:rsid w:val="00013FD4"/>
    <w:rsid w:val="00014EF1"/>
    <w:rsid w:val="0001627B"/>
    <w:rsid w:val="000166D5"/>
    <w:rsid w:val="000175A1"/>
    <w:rsid w:val="00021591"/>
    <w:rsid w:val="00023F7D"/>
    <w:rsid w:val="00025708"/>
    <w:rsid w:val="00026F19"/>
    <w:rsid w:val="000304A6"/>
    <w:rsid w:val="00032E43"/>
    <w:rsid w:val="00032F22"/>
    <w:rsid w:val="00036834"/>
    <w:rsid w:val="00036915"/>
    <w:rsid w:val="00045F8C"/>
    <w:rsid w:val="00047F5F"/>
    <w:rsid w:val="0005165C"/>
    <w:rsid w:val="00052677"/>
    <w:rsid w:val="000644CF"/>
    <w:rsid w:val="0006711D"/>
    <w:rsid w:val="00070BC7"/>
    <w:rsid w:val="0007137F"/>
    <w:rsid w:val="00072BB8"/>
    <w:rsid w:val="00073A01"/>
    <w:rsid w:val="000743ED"/>
    <w:rsid w:val="00076CF9"/>
    <w:rsid w:val="00081AB6"/>
    <w:rsid w:val="00081BF3"/>
    <w:rsid w:val="000848D6"/>
    <w:rsid w:val="00086630"/>
    <w:rsid w:val="000926F8"/>
    <w:rsid w:val="0009595D"/>
    <w:rsid w:val="00097766"/>
    <w:rsid w:val="00097CB0"/>
    <w:rsid w:val="000A298E"/>
    <w:rsid w:val="000A468F"/>
    <w:rsid w:val="000A4BE1"/>
    <w:rsid w:val="000A4D1F"/>
    <w:rsid w:val="000B292E"/>
    <w:rsid w:val="000C01E5"/>
    <w:rsid w:val="000C13D4"/>
    <w:rsid w:val="000C4E93"/>
    <w:rsid w:val="000C6631"/>
    <w:rsid w:val="000D5BC6"/>
    <w:rsid w:val="000D63FB"/>
    <w:rsid w:val="000D70A7"/>
    <w:rsid w:val="000F0A90"/>
    <w:rsid w:val="000F4B04"/>
    <w:rsid w:val="000F5E0C"/>
    <w:rsid w:val="0010301C"/>
    <w:rsid w:val="001042CC"/>
    <w:rsid w:val="00104E82"/>
    <w:rsid w:val="00106E18"/>
    <w:rsid w:val="001071F4"/>
    <w:rsid w:val="0010791D"/>
    <w:rsid w:val="0011133C"/>
    <w:rsid w:val="00112259"/>
    <w:rsid w:val="00115048"/>
    <w:rsid w:val="0011556B"/>
    <w:rsid w:val="00134B2D"/>
    <w:rsid w:val="00145722"/>
    <w:rsid w:val="001471AF"/>
    <w:rsid w:val="001530F5"/>
    <w:rsid w:val="00154370"/>
    <w:rsid w:val="0016265E"/>
    <w:rsid w:val="001644AF"/>
    <w:rsid w:val="00170C79"/>
    <w:rsid w:val="00171978"/>
    <w:rsid w:val="00173530"/>
    <w:rsid w:val="00175C82"/>
    <w:rsid w:val="0018682C"/>
    <w:rsid w:val="00186FCB"/>
    <w:rsid w:val="00190A57"/>
    <w:rsid w:val="001921AE"/>
    <w:rsid w:val="00192852"/>
    <w:rsid w:val="001A4376"/>
    <w:rsid w:val="001A7A3D"/>
    <w:rsid w:val="001B0759"/>
    <w:rsid w:val="001B1207"/>
    <w:rsid w:val="001B12C9"/>
    <w:rsid w:val="001B13BF"/>
    <w:rsid w:val="001B3D0E"/>
    <w:rsid w:val="001B4D7C"/>
    <w:rsid w:val="001B537A"/>
    <w:rsid w:val="001B5528"/>
    <w:rsid w:val="001B6659"/>
    <w:rsid w:val="001B7ADD"/>
    <w:rsid w:val="001D13D3"/>
    <w:rsid w:val="001D72CA"/>
    <w:rsid w:val="001E2EC3"/>
    <w:rsid w:val="001E2EDC"/>
    <w:rsid w:val="001E2F59"/>
    <w:rsid w:val="001E31ED"/>
    <w:rsid w:val="001F185F"/>
    <w:rsid w:val="001F47C6"/>
    <w:rsid w:val="001F4F62"/>
    <w:rsid w:val="00200F81"/>
    <w:rsid w:val="00201342"/>
    <w:rsid w:val="002016C7"/>
    <w:rsid w:val="00212109"/>
    <w:rsid w:val="00215D3A"/>
    <w:rsid w:val="00217B5F"/>
    <w:rsid w:val="002224C4"/>
    <w:rsid w:val="00222C46"/>
    <w:rsid w:val="00226AB7"/>
    <w:rsid w:val="00237F1B"/>
    <w:rsid w:val="00245541"/>
    <w:rsid w:val="002464D1"/>
    <w:rsid w:val="00252E7F"/>
    <w:rsid w:val="002538A9"/>
    <w:rsid w:val="00253E90"/>
    <w:rsid w:val="002607E5"/>
    <w:rsid w:val="002633F6"/>
    <w:rsid w:val="00265512"/>
    <w:rsid w:val="002665BF"/>
    <w:rsid w:val="002736AB"/>
    <w:rsid w:val="0027564B"/>
    <w:rsid w:val="002774E9"/>
    <w:rsid w:val="00277FB5"/>
    <w:rsid w:val="0028231C"/>
    <w:rsid w:val="00287243"/>
    <w:rsid w:val="0029046A"/>
    <w:rsid w:val="00290C6C"/>
    <w:rsid w:val="0029590C"/>
    <w:rsid w:val="00296D37"/>
    <w:rsid w:val="002A0615"/>
    <w:rsid w:val="002A3578"/>
    <w:rsid w:val="002A6171"/>
    <w:rsid w:val="002A71BC"/>
    <w:rsid w:val="002B08D2"/>
    <w:rsid w:val="002B26AF"/>
    <w:rsid w:val="002B3B64"/>
    <w:rsid w:val="002B434D"/>
    <w:rsid w:val="002B4D1B"/>
    <w:rsid w:val="002B4F6C"/>
    <w:rsid w:val="002B51D1"/>
    <w:rsid w:val="002C2749"/>
    <w:rsid w:val="002C4229"/>
    <w:rsid w:val="002C4F72"/>
    <w:rsid w:val="002C6E3D"/>
    <w:rsid w:val="002C74C2"/>
    <w:rsid w:val="002D2426"/>
    <w:rsid w:val="002D407B"/>
    <w:rsid w:val="002D41F0"/>
    <w:rsid w:val="002D4472"/>
    <w:rsid w:val="002D6B24"/>
    <w:rsid w:val="002E3CD0"/>
    <w:rsid w:val="002E4EE1"/>
    <w:rsid w:val="002F1384"/>
    <w:rsid w:val="002F2D96"/>
    <w:rsid w:val="002F5407"/>
    <w:rsid w:val="002F6B09"/>
    <w:rsid w:val="002F7AD8"/>
    <w:rsid w:val="003033BF"/>
    <w:rsid w:val="00305D42"/>
    <w:rsid w:val="00306198"/>
    <w:rsid w:val="00306423"/>
    <w:rsid w:val="00306ACF"/>
    <w:rsid w:val="00307B50"/>
    <w:rsid w:val="0031183F"/>
    <w:rsid w:val="00313341"/>
    <w:rsid w:val="00316183"/>
    <w:rsid w:val="0032013F"/>
    <w:rsid w:val="00321988"/>
    <w:rsid w:val="00321B2B"/>
    <w:rsid w:val="003220FE"/>
    <w:rsid w:val="00324178"/>
    <w:rsid w:val="00327191"/>
    <w:rsid w:val="00331C02"/>
    <w:rsid w:val="00332109"/>
    <w:rsid w:val="00333F2A"/>
    <w:rsid w:val="003351FA"/>
    <w:rsid w:val="00335624"/>
    <w:rsid w:val="00342B43"/>
    <w:rsid w:val="00342D51"/>
    <w:rsid w:val="00343A0E"/>
    <w:rsid w:val="00347407"/>
    <w:rsid w:val="0034760B"/>
    <w:rsid w:val="003501E0"/>
    <w:rsid w:val="00355F2B"/>
    <w:rsid w:val="00356C5A"/>
    <w:rsid w:val="003575FF"/>
    <w:rsid w:val="003619C6"/>
    <w:rsid w:val="0036265F"/>
    <w:rsid w:val="00373F41"/>
    <w:rsid w:val="00374D84"/>
    <w:rsid w:val="0037522B"/>
    <w:rsid w:val="00376935"/>
    <w:rsid w:val="00380FFC"/>
    <w:rsid w:val="00383732"/>
    <w:rsid w:val="00384724"/>
    <w:rsid w:val="003869F0"/>
    <w:rsid w:val="00390BDB"/>
    <w:rsid w:val="00393DB3"/>
    <w:rsid w:val="00394739"/>
    <w:rsid w:val="00395C89"/>
    <w:rsid w:val="003A0A7E"/>
    <w:rsid w:val="003A23CA"/>
    <w:rsid w:val="003A2658"/>
    <w:rsid w:val="003A50F6"/>
    <w:rsid w:val="003B2EB8"/>
    <w:rsid w:val="003B43AE"/>
    <w:rsid w:val="003C673E"/>
    <w:rsid w:val="003D0D4F"/>
    <w:rsid w:val="003D1070"/>
    <w:rsid w:val="003D3739"/>
    <w:rsid w:val="003D4CC8"/>
    <w:rsid w:val="003E34E3"/>
    <w:rsid w:val="003E3540"/>
    <w:rsid w:val="003E5D86"/>
    <w:rsid w:val="003E65EA"/>
    <w:rsid w:val="003E6BAB"/>
    <w:rsid w:val="003E6C62"/>
    <w:rsid w:val="00401B75"/>
    <w:rsid w:val="00405C4D"/>
    <w:rsid w:val="004103D0"/>
    <w:rsid w:val="00420253"/>
    <w:rsid w:val="00420DF9"/>
    <w:rsid w:val="00424E13"/>
    <w:rsid w:val="0043075E"/>
    <w:rsid w:val="00432316"/>
    <w:rsid w:val="00432A73"/>
    <w:rsid w:val="00433CC1"/>
    <w:rsid w:val="00435809"/>
    <w:rsid w:val="00435D4E"/>
    <w:rsid w:val="00440EE0"/>
    <w:rsid w:val="00443080"/>
    <w:rsid w:val="004444B3"/>
    <w:rsid w:val="00454F81"/>
    <w:rsid w:val="00455F52"/>
    <w:rsid w:val="00460475"/>
    <w:rsid w:val="00461C94"/>
    <w:rsid w:val="0047000D"/>
    <w:rsid w:val="00475651"/>
    <w:rsid w:val="00480C48"/>
    <w:rsid w:val="004818A7"/>
    <w:rsid w:val="00484D0D"/>
    <w:rsid w:val="00486C66"/>
    <w:rsid w:val="00493161"/>
    <w:rsid w:val="004946AD"/>
    <w:rsid w:val="00497EA5"/>
    <w:rsid w:val="004A1C95"/>
    <w:rsid w:val="004B03D8"/>
    <w:rsid w:val="004B4763"/>
    <w:rsid w:val="004C15C2"/>
    <w:rsid w:val="004C3DD3"/>
    <w:rsid w:val="004D048A"/>
    <w:rsid w:val="004D09C7"/>
    <w:rsid w:val="004D0D29"/>
    <w:rsid w:val="004D2C4B"/>
    <w:rsid w:val="004D33B5"/>
    <w:rsid w:val="004D389C"/>
    <w:rsid w:val="004D3DA3"/>
    <w:rsid w:val="004D4E34"/>
    <w:rsid w:val="004D52C4"/>
    <w:rsid w:val="004E0655"/>
    <w:rsid w:val="004E0D0A"/>
    <w:rsid w:val="004E411C"/>
    <w:rsid w:val="004E4E6C"/>
    <w:rsid w:val="004E6B08"/>
    <w:rsid w:val="004F20E4"/>
    <w:rsid w:val="004F2514"/>
    <w:rsid w:val="004F2F6F"/>
    <w:rsid w:val="004F34F8"/>
    <w:rsid w:val="004F3C77"/>
    <w:rsid w:val="004F5648"/>
    <w:rsid w:val="004F5E34"/>
    <w:rsid w:val="0050357C"/>
    <w:rsid w:val="00505206"/>
    <w:rsid w:val="00505ADD"/>
    <w:rsid w:val="00507666"/>
    <w:rsid w:val="00514E1F"/>
    <w:rsid w:val="00515133"/>
    <w:rsid w:val="005176E7"/>
    <w:rsid w:val="00522230"/>
    <w:rsid w:val="00524D50"/>
    <w:rsid w:val="00527F4B"/>
    <w:rsid w:val="00535FE0"/>
    <w:rsid w:val="0053757B"/>
    <w:rsid w:val="00550335"/>
    <w:rsid w:val="00552450"/>
    <w:rsid w:val="00554E21"/>
    <w:rsid w:val="00555BD5"/>
    <w:rsid w:val="00555DE8"/>
    <w:rsid w:val="0055662E"/>
    <w:rsid w:val="00563576"/>
    <w:rsid w:val="005636BE"/>
    <w:rsid w:val="005643EE"/>
    <w:rsid w:val="005661A2"/>
    <w:rsid w:val="00572A7D"/>
    <w:rsid w:val="005733DA"/>
    <w:rsid w:val="0057399A"/>
    <w:rsid w:val="00580C29"/>
    <w:rsid w:val="005821BA"/>
    <w:rsid w:val="00582665"/>
    <w:rsid w:val="00583081"/>
    <w:rsid w:val="00585165"/>
    <w:rsid w:val="005856A8"/>
    <w:rsid w:val="00594748"/>
    <w:rsid w:val="00597E89"/>
    <w:rsid w:val="005A17D6"/>
    <w:rsid w:val="005A4204"/>
    <w:rsid w:val="005B0129"/>
    <w:rsid w:val="005C0513"/>
    <w:rsid w:val="005C50C5"/>
    <w:rsid w:val="005C5F54"/>
    <w:rsid w:val="005C7D29"/>
    <w:rsid w:val="005D26E2"/>
    <w:rsid w:val="005D325C"/>
    <w:rsid w:val="005E6C5C"/>
    <w:rsid w:val="005F35F0"/>
    <w:rsid w:val="005F5438"/>
    <w:rsid w:val="005F582F"/>
    <w:rsid w:val="005F6D08"/>
    <w:rsid w:val="006037E5"/>
    <w:rsid w:val="0061217D"/>
    <w:rsid w:val="00613019"/>
    <w:rsid w:val="006130EE"/>
    <w:rsid w:val="006134CE"/>
    <w:rsid w:val="00613E67"/>
    <w:rsid w:val="00620B20"/>
    <w:rsid w:val="0062233C"/>
    <w:rsid w:val="00623667"/>
    <w:rsid w:val="0063131B"/>
    <w:rsid w:val="0063254F"/>
    <w:rsid w:val="00632D42"/>
    <w:rsid w:val="00633AE3"/>
    <w:rsid w:val="00636529"/>
    <w:rsid w:val="006366FB"/>
    <w:rsid w:val="00645531"/>
    <w:rsid w:val="00646C59"/>
    <w:rsid w:val="00646ED5"/>
    <w:rsid w:val="00650646"/>
    <w:rsid w:val="00652BEB"/>
    <w:rsid w:val="00656B0A"/>
    <w:rsid w:val="00657228"/>
    <w:rsid w:val="00662C0C"/>
    <w:rsid w:val="00674A0E"/>
    <w:rsid w:val="0067517C"/>
    <w:rsid w:val="006763C4"/>
    <w:rsid w:val="0068048C"/>
    <w:rsid w:val="006909D7"/>
    <w:rsid w:val="00695B0F"/>
    <w:rsid w:val="00696029"/>
    <w:rsid w:val="0069672E"/>
    <w:rsid w:val="006A15C3"/>
    <w:rsid w:val="006A1814"/>
    <w:rsid w:val="006A7773"/>
    <w:rsid w:val="006B1E6C"/>
    <w:rsid w:val="006B79FF"/>
    <w:rsid w:val="006C08CD"/>
    <w:rsid w:val="006C30A4"/>
    <w:rsid w:val="006C4870"/>
    <w:rsid w:val="006C5D4B"/>
    <w:rsid w:val="006D0BC0"/>
    <w:rsid w:val="006E0DEE"/>
    <w:rsid w:val="006E2145"/>
    <w:rsid w:val="006E33EF"/>
    <w:rsid w:val="006E3ACC"/>
    <w:rsid w:val="006E3B19"/>
    <w:rsid w:val="006E4DBD"/>
    <w:rsid w:val="006E64B3"/>
    <w:rsid w:val="006F15B6"/>
    <w:rsid w:val="006F45EF"/>
    <w:rsid w:val="006F4A9E"/>
    <w:rsid w:val="006F5A2F"/>
    <w:rsid w:val="006F5C0E"/>
    <w:rsid w:val="006F65F6"/>
    <w:rsid w:val="006F66B5"/>
    <w:rsid w:val="00702419"/>
    <w:rsid w:val="00703646"/>
    <w:rsid w:val="00704E5F"/>
    <w:rsid w:val="00706AD6"/>
    <w:rsid w:val="00707D32"/>
    <w:rsid w:val="00711D23"/>
    <w:rsid w:val="00715FB8"/>
    <w:rsid w:val="00717CFE"/>
    <w:rsid w:val="0072169D"/>
    <w:rsid w:val="00721966"/>
    <w:rsid w:val="00723C08"/>
    <w:rsid w:val="00730745"/>
    <w:rsid w:val="00730E49"/>
    <w:rsid w:val="00733A10"/>
    <w:rsid w:val="007355ED"/>
    <w:rsid w:val="00735EC9"/>
    <w:rsid w:val="007370F1"/>
    <w:rsid w:val="007421D0"/>
    <w:rsid w:val="00746CF0"/>
    <w:rsid w:val="00747841"/>
    <w:rsid w:val="00750678"/>
    <w:rsid w:val="00753550"/>
    <w:rsid w:val="007563B3"/>
    <w:rsid w:val="00757870"/>
    <w:rsid w:val="007726D3"/>
    <w:rsid w:val="007816FF"/>
    <w:rsid w:val="00781E94"/>
    <w:rsid w:val="00782237"/>
    <w:rsid w:val="0078308B"/>
    <w:rsid w:val="007830D3"/>
    <w:rsid w:val="00784F30"/>
    <w:rsid w:val="007860A0"/>
    <w:rsid w:val="00786434"/>
    <w:rsid w:val="00790671"/>
    <w:rsid w:val="00792E5C"/>
    <w:rsid w:val="00797935"/>
    <w:rsid w:val="007A51CD"/>
    <w:rsid w:val="007A55DD"/>
    <w:rsid w:val="007A5772"/>
    <w:rsid w:val="007A76D6"/>
    <w:rsid w:val="007A7E86"/>
    <w:rsid w:val="007B342B"/>
    <w:rsid w:val="007B46BE"/>
    <w:rsid w:val="007B53B8"/>
    <w:rsid w:val="007B5688"/>
    <w:rsid w:val="007B59B6"/>
    <w:rsid w:val="007C0792"/>
    <w:rsid w:val="007C64DB"/>
    <w:rsid w:val="007C6623"/>
    <w:rsid w:val="007C70A8"/>
    <w:rsid w:val="007D2704"/>
    <w:rsid w:val="007D40E9"/>
    <w:rsid w:val="007D4F66"/>
    <w:rsid w:val="007D70ED"/>
    <w:rsid w:val="007D7798"/>
    <w:rsid w:val="007E33BA"/>
    <w:rsid w:val="007E57A7"/>
    <w:rsid w:val="007E73F9"/>
    <w:rsid w:val="008014D3"/>
    <w:rsid w:val="00804832"/>
    <w:rsid w:val="008063A0"/>
    <w:rsid w:val="00807807"/>
    <w:rsid w:val="00811060"/>
    <w:rsid w:val="00815B47"/>
    <w:rsid w:val="008215CA"/>
    <w:rsid w:val="00823E58"/>
    <w:rsid w:val="00825959"/>
    <w:rsid w:val="00827CDE"/>
    <w:rsid w:val="00830F3F"/>
    <w:rsid w:val="00831EFF"/>
    <w:rsid w:val="00834E64"/>
    <w:rsid w:val="008351CE"/>
    <w:rsid w:val="00836D59"/>
    <w:rsid w:val="00836E74"/>
    <w:rsid w:val="00841C20"/>
    <w:rsid w:val="0084209E"/>
    <w:rsid w:val="00845670"/>
    <w:rsid w:val="00846B3E"/>
    <w:rsid w:val="00847211"/>
    <w:rsid w:val="008501C8"/>
    <w:rsid w:val="00850227"/>
    <w:rsid w:val="00856A10"/>
    <w:rsid w:val="00862734"/>
    <w:rsid w:val="00862F1F"/>
    <w:rsid w:val="00863335"/>
    <w:rsid w:val="008646FD"/>
    <w:rsid w:val="00866210"/>
    <w:rsid w:val="0086703B"/>
    <w:rsid w:val="008676A5"/>
    <w:rsid w:val="00875BBF"/>
    <w:rsid w:val="0087789D"/>
    <w:rsid w:val="008778A5"/>
    <w:rsid w:val="0088614B"/>
    <w:rsid w:val="00892031"/>
    <w:rsid w:val="008920D8"/>
    <w:rsid w:val="0089318C"/>
    <w:rsid w:val="00894A23"/>
    <w:rsid w:val="008970A4"/>
    <w:rsid w:val="00897CA1"/>
    <w:rsid w:val="008A1765"/>
    <w:rsid w:val="008A1CAD"/>
    <w:rsid w:val="008A482C"/>
    <w:rsid w:val="008B3FD4"/>
    <w:rsid w:val="008B4EEF"/>
    <w:rsid w:val="008B5CC4"/>
    <w:rsid w:val="008C0C85"/>
    <w:rsid w:val="008C0E99"/>
    <w:rsid w:val="008C5EAB"/>
    <w:rsid w:val="008D0321"/>
    <w:rsid w:val="008D1F5A"/>
    <w:rsid w:val="008D379B"/>
    <w:rsid w:val="008D53BC"/>
    <w:rsid w:val="008E1900"/>
    <w:rsid w:val="008E4BD2"/>
    <w:rsid w:val="008E5AEF"/>
    <w:rsid w:val="008E5DCD"/>
    <w:rsid w:val="008E6BBF"/>
    <w:rsid w:val="008F0C9C"/>
    <w:rsid w:val="008F27FA"/>
    <w:rsid w:val="008F3BB2"/>
    <w:rsid w:val="008F3D5E"/>
    <w:rsid w:val="008F52B6"/>
    <w:rsid w:val="008F5538"/>
    <w:rsid w:val="008F5975"/>
    <w:rsid w:val="008F5D37"/>
    <w:rsid w:val="00901748"/>
    <w:rsid w:val="00904D00"/>
    <w:rsid w:val="00906AE8"/>
    <w:rsid w:val="00906D41"/>
    <w:rsid w:val="00911481"/>
    <w:rsid w:val="00912CCE"/>
    <w:rsid w:val="00915348"/>
    <w:rsid w:val="00917A5B"/>
    <w:rsid w:val="00921847"/>
    <w:rsid w:val="00922C60"/>
    <w:rsid w:val="009234FB"/>
    <w:rsid w:val="00924236"/>
    <w:rsid w:val="00924CE9"/>
    <w:rsid w:val="00926C27"/>
    <w:rsid w:val="00927AA6"/>
    <w:rsid w:val="009316CC"/>
    <w:rsid w:val="00932BD1"/>
    <w:rsid w:val="00933CE9"/>
    <w:rsid w:val="00940593"/>
    <w:rsid w:val="009409AC"/>
    <w:rsid w:val="00941DDD"/>
    <w:rsid w:val="00944A8E"/>
    <w:rsid w:val="00945E17"/>
    <w:rsid w:val="009475EB"/>
    <w:rsid w:val="00956D84"/>
    <w:rsid w:val="00962AFF"/>
    <w:rsid w:val="00966D0C"/>
    <w:rsid w:val="00967061"/>
    <w:rsid w:val="00967F60"/>
    <w:rsid w:val="00972646"/>
    <w:rsid w:val="00974F3C"/>
    <w:rsid w:val="00976D2E"/>
    <w:rsid w:val="00982253"/>
    <w:rsid w:val="00983DF9"/>
    <w:rsid w:val="0098551D"/>
    <w:rsid w:val="0098566F"/>
    <w:rsid w:val="00986A86"/>
    <w:rsid w:val="0099113B"/>
    <w:rsid w:val="009924C4"/>
    <w:rsid w:val="00992D8D"/>
    <w:rsid w:val="00993631"/>
    <w:rsid w:val="00993AFB"/>
    <w:rsid w:val="0099402E"/>
    <w:rsid w:val="00997414"/>
    <w:rsid w:val="009A01E4"/>
    <w:rsid w:val="009A0270"/>
    <w:rsid w:val="009A1D9D"/>
    <w:rsid w:val="009A2A4C"/>
    <w:rsid w:val="009A3223"/>
    <w:rsid w:val="009A3899"/>
    <w:rsid w:val="009A3BBE"/>
    <w:rsid w:val="009A4C10"/>
    <w:rsid w:val="009A6D7B"/>
    <w:rsid w:val="009B15AF"/>
    <w:rsid w:val="009C12A1"/>
    <w:rsid w:val="009C1F2A"/>
    <w:rsid w:val="009C5EAC"/>
    <w:rsid w:val="009C5FDD"/>
    <w:rsid w:val="009D14B3"/>
    <w:rsid w:val="009D4AA6"/>
    <w:rsid w:val="009E1737"/>
    <w:rsid w:val="009E4DC7"/>
    <w:rsid w:val="009E608D"/>
    <w:rsid w:val="009F1352"/>
    <w:rsid w:val="009F1EF7"/>
    <w:rsid w:val="009F4601"/>
    <w:rsid w:val="009F7934"/>
    <w:rsid w:val="00A00A9C"/>
    <w:rsid w:val="00A01FB4"/>
    <w:rsid w:val="00A07B32"/>
    <w:rsid w:val="00A11643"/>
    <w:rsid w:val="00A129CB"/>
    <w:rsid w:val="00A21175"/>
    <w:rsid w:val="00A2354F"/>
    <w:rsid w:val="00A23821"/>
    <w:rsid w:val="00A25319"/>
    <w:rsid w:val="00A30C51"/>
    <w:rsid w:val="00A35C7F"/>
    <w:rsid w:val="00A35CB2"/>
    <w:rsid w:val="00A37E10"/>
    <w:rsid w:val="00A400E4"/>
    <w:rsid w:val="00A43F3A"/>
    <w:rsid w:val="00A446DB"/>
    <w:rsid w:val="00A44C44"/>
    <w:rsid w:val="00A44F96"/>
    <w:rsid w:val="00A46375"/>
    <w:rsid w:val="00A4655A"/>
    <w:rsid w:val="00A560B9"/>
    <w:rsid w:val="00A627A0"/>
    <w:rsid w:val="00A64B7E"/>
    <w:rsid w:val="00A64FD3"/>
    <w:rsid w:val="00A668E1"/>
    <w:rsid w:val="00A67E0A"/>
    <w:rsid w:val="00A70090"/>
    <w:rsid w:val="00A75ACD"/>
    <w:rsid w:val="00A77664"/>
    <w:rsid w:val="00A80D83"/>
    <w:rsid w:val="00A81C1F"/>
    <w:rsid w:val="00A85C8D"/>
    <w:rsid w:val="00A93865"/>
    <w:rsid w:val="00A95F84"/>
    <w:rsid w:val="00AA107B"/>
    <w:rsid w:val="00AA1349"/>
    <w:rsid w:val="00AA270F"/>
    <w:rsid w:val="00AA51DE"/>
    <w:rsid w:val="00AB1644"/>
    <w:rsid w:val="00AC044A"/>
    <w:rsid w:val="00AC19D1"/>
    <w:rsid w:val="00AC4AC6"/>
    <w:rsid w:val="00AC674D"/>
    <w:rsid w:val="00AC7F97"/>
    <w:rsid w:val="00AD0174"/>
    <w:rsid w:val="00AD4DC7"/>
    <w:rsid w:val="00AD5FF4"/>
    <w:rsid w:val="00AD7360"/>
    <w:rsid w:val="00AE4E8E"/>
    <w:rsid w:val="00AE6CB8"/>
    <w:rsid w:val="00AE7685"/>
    <w:rsid w:val="00AF2D6F"/>
    <w:rsid w:val="00AF3936"/>
    <w:rsid w:val="00AF79E8"/>
    <w:rsid w:val="00B00198"/>
    <w:rsid w:val="00B053D6"/>
    <w:rsid w:val="00B0622D"/>
    <w:rsid w:val="00B21A54"/>
    <w:rsid w:val="00B22D61"/>
    <w:rsid w:val="00B22E93"/>
    <w:rsid w:val="00B24C92"/>
    <w:rsid w:val="00B265D2"/>
    <w:rsid w:val="00B2754B"/>
    <w:rsid w:val="00B277C2"/>
    <w:rsid w:val="00B27E08"/>
    <w:rsid w:val="00B303F9"/>
    <w:rsid w:val="00B3397A"/>
    <w:rsid w:val="00B35CAA"/>
    <w:rsid w:val="00B36CFF"/>
    <w:rsid w:val="00B36DA7"/>
    <w:rsid w:val="00B37E15"/>
    <w:rsid w:val="00B507A3"/>
    <w:rsid w:val="00B5163D"/>
    <w:rsid w:val="00B522A6"/>
    <w:rsid w:val="00B52CB6"/>
    <w:rsid w:val="00B52E3F"/>
    <w:rsid w:val="00B56591"/>
    <w:rsid w:val="00B653BF"/>
    <w:rsid w:val="00B661FC"/>
    <w:rsid w:val="00B71B2F"/>
    <w:rsid w:val="00B72F22"/>
    <w:rsid w:val="00B77289"/>
    <w:rsid w:val="00B821BA"/>
    <w:rsid w:val="00B82E1A"/>
    <w:rsid w:val="00B87266"/>
    <w:rsid w:val="00B876EC"/>
    <w:rsid w:val="00B924C8"/>
    <w:rsid w:val="00B93EAE"/>
    <w:rsid w:val="00B95476"/>
    <w:rsid w:val="00B95F4F"/>
    <w:rsid w:val="00BA149E"/>
    <w:rsid w:val="00BA2337"/>
    <w:rsid w:val="00BA3672"/>
    <w:rsid w:val="00BA5734"/>
    <w:rsid w:val="00BA64FE"/>
    <w:rsid w:val="00BA7246"/>
    <w:rsid w:val="00BB282F"/>
    <w:rsid w:val="00BB7753"/>
    <w:rsid w:val="00BB7E1D"/>
    <w:rsid w:val="00BC075F"/>
    <w:rsid w:val="00BC3860"/>
    <w:rsid w:val="00BC7459"/>
    <w:rsid w:val="00BD050C"/>
    <w:rsid w:val="00BD4D07"/>
    <w:rsid w:val="00BE49A4"/>
    <w:rsid w:val="00BE567E"/>
    <w:rsid w:val="00C01A99"/>
    <w:rsid w:val="00C02DD0"/>
    <w:rsid w:val="00C03D20"/>
    <w:rsid w:val="00C04DF6"/>
    <w:rsid w:val="00C104EA"/>
    <w:rsid w:val="00C13992"/>
    <w:rsid w:val="00C1444A"/>
    <w:rsid w:val="00C144D1"/>
    <w:rsid w:val="00C14C56"/>
    <w:rsid w:val="00C1747E"/>
    <w:rsid w:val="00C21557"/>
    <w:rsid w:val="00C2230B"/>
    <w:rsid w:val="00C2286E"/>
    <w:rsid w:val="00C2562D"/>
    <w:rsid w:val="00C25A28"/>
    <w:rsid w:val="00C31B5C"/>
    <w:rsid w:val="00C37D3A"/>
    <w:rsid w:val="00C416B7"/>
    <w:rsid w:val="00C41B41"/>
    <w:rsid w:val="00C4244D"/>
    <w:rsid w:val="00C42836"/>
    <w:rsid w:val="00C449D5"/>
    <w:rsid w:val="00C50626"/>
    <w:rsid w:val="00C604C1"/>
    <w:rsid w:val="00C60752"/>
    <w:rsid w:val="00C614CD"/>
    <w:rsid w:val="00C61E60"/>
    <w:rsid w:val="00C61FE4"/>
    <w:rsid w:val="00C64B8F"/>
    <w:rsid w:val="00C65238"/>
    <w:rsid w:val="00C717BB"/>
    <w:rsid w:val="00C73532"/>
    <w:rsid w:val="00C76C5C"/>
    <w:rsid w:val="00C76CC8"/>
    <w:rsid w:val="00C80C39"/>
    <w:rsid w:val="00C815AC"/>
    <w:rsid w:val="00C83317"/>
    <w:rsid w:val="00C83B2D"/>
    <w:rsid w:val="00C83F94"/>
    <w:rsid w:val="00C84425"/>
    <w:rsid w:val="00C8757D"/>
    <w:rsid w:val="00C87718"/>
    <w:rsid w:val="00C907B4"/>
    <w:rsid w:val="00CA240F"/>
    <w:rsid w:val="00CA30BF"/>
    <w:rsid w:val="00CA3DAD"/>
    <w:rsid w:val="00CA42C1"/>
    <w:rsid w:val="00CA6AB0"/>
    <w:rsid w:val="00CA71A1"/>
    <w:rsid w:val="00CB147A"/>
    <w:rsid w:val="00CC16C9"/>
    <w:rsid w:val="00CC5C35"/>
    <w:rsid w:val="00CD18D2"/>
    <w:rsid w:val="00CD630C"/>
    <w:rsid w:val="00CD6A6E"/>
    <w:rsid w:val="00CD71CC"/>
    <w:rsid w:val="00CE15DE"/>
    <w:rsid w:val="00CE1830"/>
    <w:rsid w:val="00CE599F"/>
    <w:rsid w:val="00CE61E0"/>
    <w:rsid w:val="00CE68C0"/>
    <w:rsid w:val="00CE6E64"/>
    <w:rsid w:val="00CE7EB7"/>
    <w:rsid w:val="00CF0461"/>
    <w:rsid w:val="00CF11D5"/>
    <w:rsid w:val="00CF28E9"/>
    <w:rsid w:val="00CF7D97"/>
    <w:rsid w:val="00D00F7B"/>
    <w:rsid w:val="00D01A48"/>
    <w:rsid w:val="00D050FB"/>
    <w:rsid w:val="00D05E8F"/>
    <w:rsid w:val="00D11C80"/>
    <w:rsid w:val="00D122A5"/>
    <w:rsid w:val="00D126EB"/>
    <w:rsid w:val="00D15F1C"/>
    <w:rsid w:val="00D21058"/>
    <w:rsid w:val="00D21BD6"/>
    <w:rsid w:val="00D225FC"/>
    <w:rsid w:val="00D228E3"/>
    <w:rsid w:val="00D22A53"/>
    <w:rsid w:val="00D25E8E"/>
    <w:rsid w:val="00D32539"/>
    <w:rsid w:val="00D33F7C"/>
    <w:rsid w:val="00D34B52"/>
    <w:rsid w:val="00D3559D"/>
    <w:rsid w:val="00D4075E"/>
    <w:rsid w:val="00D42541"/>
    <w:rsid w:val="00D43E15"/>
    <w:rsid w:val="00D4405E"/>
    <w:rsid w:val="00D4462C"/>
    <w:rsid w:val="00D45765"/>
    <w:rsid w:val="00D5009A"/>
    <w:rsid w:val="00D52F63"/>
    <w:rsid w:val="00D573FE"/>
    <w:rsid w:val="00D57E0C"/>
    <w:rsid w:val="00D62A92"/>
    <w:rsid w:val="00D6612B"/>
    <w:rsid w:val="00D66608"/>
    <w:rsid w:val="00D66A82"/>
    <w:rsid w:val="00D71BB9"/>
    <w:rsid w:val="00D74044"/>
    <w:rsid w:val="00D80DA7"/>
    <w:rsid w:val="00D843E4"/>
    <w:rsid w:val="00D86E62"/>
    <w:rsid w:val="00D90FFC"/>
    <w:rsid w:val="00D914A6"/>
    <w:rsid w:val="00D91C56"/>
    <w:rsid w:val="00D928B7"/>
    <w:rsid w:val="00D94235"/>
    <w:rsid w:val="00DA4B2E"/>
    <w:rsid w:val="00DA6C17"/>
    <w:rsid w:val="00DA6F30"/>
    <w:rsid w:val="00DB0CF8"/>
    <w:rsid w:val="00DC0A8E"/>
    <w:rsid w:val="00DC112E"/>
    <w:rsid w:val="00DC2C48"/>
    <w:rsid w:val="00DC2D49"/>
    <w:rsid w:val="00DC3768"/>
    <w:rsid w:val="00DC6E11"/>
    <w:rsid w:val="00DC7216"/>
    <w:rsid w:val="00DD1241"/>
    <w:rsid w:val="00DD4275"/>
    <w:rsid w:val="00DD6641"/>
    <w:rsid w:val="00DD6B89"/>
    <w:rsid w:val="00DF093C"/>
    <w:rsid w:val="00DF24E2"/>
    <w:rsid w:val="00DF69D5"/>
    <w:rsid w:val="00DF7259"/>
    <w:rsid w:val="00DF7BBD"/>
    <w:rsid w:val="00E027C0"/>
    <w:rsid w:val="00E02C4E"/>
    <w:rsid w:val="00E0430D"/>
    <w:rsid w:val="00E04ADA"/>
    <w:rsid w:val="00E06D7D"/>
    <w:rsid w:val="00E10E54"/>
    <w:rsid w:val="00E11591"/>
    <w:rsid w:val="00E14BBB"/>
    <w:rsid w:val="00E14DCE"/>
    <w:rsid w:val="00E16DD8"/>
    <w:rsid w:val="00E21BB3"/>
    <w:rsid w:val="00E230B9"/>
    <w:rsid w:val="00E27ADB"/>
    <w:rsid w:val="00E27C43"/>
    <w:rsid w:val="00E3001B"/>
    <w:rsid w:val="00E303CA"/>
    <w:rsid w:val="00E30F62"/>
    <w:rsid w:val="00E325C6"/>
    <w:rsid w:val="00E34A05"/>
    <w:rsid w:val="00E35B2F"/>
    <w:rsid w:val="00E35B5E"/>
    <w:rsid w:val="00E446DC"/>
    <w:rsid w:val="00E4729F"/>
    <w:rsid w:val="00E52C42"/>
    <w:rsid w:val="00E536F2"/>
    <w:rsid w:val="00E5525E"/>
    <w:rsid w:val="00E57B81"/>
    <w:rsid w:val="00E60F57"/>
    <w:rsid w:val="00E635BD"/>
    <w:rsid w:val="00E71937"/>
    <w:rsid w:val="00E73B78"/>
    <w:rsid w:val="00E83F67"/>
    <w:rsid w:val="00E8690B"/>
    <w:rsid w:val="00E86D5B"/>
    <w:rsid w:val="00E9117E"/>
    <w:rsid w:val="00E93CF2"/>
    <w:rsid w:val="00E93DFB"/>
    <w:rsid w:val="00E95123"/>
    <w:rsid w:val="00E95306"/>
    <w:rsid w:val="00EA03D6"/>
    <w:rsid w:val="00EA6764"/>
    <w:rsid w:val="00EB0774"/>
    <w:rsid w:val="00EB2497"/>
    <w:rsid w:val="00EB6401"/>
    <w:rsid w:val="00EC2B81"/>
    <w:rsid w:val="00EC41E2"/>
    <w:rsid w:val="00EC4743"/>
    <w:rsid w:val="00EC7C3D"/>
    <w:rsid w:val="00EE1C92"/>
    <w:rsid w:val="00EE2DC2"/>
    <w:rsid w:val="00EF21AC"/>
    <w:rsid w:val="00EF3E34"/>
    <w:rsid w:val="00EF6556"/>
    <w:rsid w:val="00F00149"/>
    <w:rsid w:val="00F019B9"/>
    <w:rsid w:val="00F03FE0"/>
    <w:rsid w:val="00F048C0"/>
    <w:rsid w:val="00F10BE8"/>
    <w:rsid w:val="00F11778"/>
    <w:rsid w:val="00F1390A"/>
    <w:rsid w:val="00F173E2"/>
    <w:rsid w:val="00F2050B"/>
    <w:rsid w:val="00F231A2"/>
    <w:rsid w:val="00F23B44"/>
    <w:rsid w:val="00F23F0D"/>
    <w:rsid w:val="00F25D70"/>
    <w:rsid w:val="00F302DC"/>
    <w:rsid w:val="00F33CF3"/>
    <w:rsid w:val="00F342F4"/>
    <w:rsid w:val="00F346C4"/>
    <w:rsid w:val="00F34AF4"/>
    <w:rsid w:val="00F40CB8"/>
    <w:rsid w:val="00F427F0"/>
    <w:rsid w:val="00F43737"/>
    <w:rsid w:val="00F449A4"/>
    <w:rsid w:val="00F477E1"/>
    <w:rsid w:val="00F51063"/>
    <w:rsid w:val="00F52F4B"/>
    <w:rsid w:val="00F63588"/>
    <w:rsid w:val="00F6414B"/>
    <w:rsid w:val="00F65002"/>
    <w:rsid w:val="00F67849"/>
    <w:rsid w:val="00F67F2C"/>
    <w:rsid w:val="00F71A04"/>
    <w:rsid w:val="00F71A1E"/>
    <w:rsid w:val="00F7212F"/>
    <w:rsid w:val="00F721F6"/>
    <w:rsid w:val="00F737F1"/>
    <w:rsid w:val="00F74C52"/>
    <w:rsid w:val="00F77E2C"/>
    <w:rsid w:val="00F77FF9"/>
    <w:rsid w:val="00F80230"/>
    <w:rsid w:val="00F80AEF"/>
    <w:rsid w:val="00F830E1"/>
    <w:rsid w:val="00F84B98"/>
    <w:rsid w:val="00F84E4D"/>
    <w:rsid w:val="00F85486"/>
    <w:rsid w:val="00F86B51"/>
    <w:rsid w:val="00F9131F"/>
    <w:rsid w:val="00F93039"/>
    <w:rsid w:val="00F932E6"/>
    <w:rsid w:val="00F9584C"/>
    <w:rsid w:val="00F96FB0"/>
    <w:rsid w:val="00FA141C"/>
    <w:rsid w:val="00FA3564"/>
    <w:rsid w:val="00FB017A"/>
    <w:rsid w:val="00FB02B8"/>
    <w:rsid w:val="00FC0776"/>
    <w:rsid w:val="00FC4ABC"/>
    <w:rsid w:val="00FD0AA5"/>
    <w:rsid w:val="00FD1A3C"/>
    <w:rsid w:val="00FD3747"/>
    <w:rsid w:val="00FD54B6"/>
    <w:rsid w:val="00FD5E61"/>
    <w:rsid w:val="00FE0240"/>
    <w:rsid w:val="00FE42C4"/>
    <w:rsid w:val="00FE48F9"/>
    <w:rsid w:val="00FF07F7"/>
    <w:rsid w:val="00FF16C0"/>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35C"/>
  <w15:chartTrackingRefBased/>
  <w15:docId w15:val="{1805FB73-7EE4-3E47-ADDB-E451B2B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34D"/>
    <w:rPr>
      <w:rFonts w:ascii="Times New Roman" w:eastAsia="Times New Roman" w:hAnsi="Times New Roman" w:cs="Times New Roman"/>
      <w:lang w:val="en-IT" w:eastAsia="en-GB"/>
    </w:rPr>
  </w:style>
  <w:style w:type="paragraph" w:styleId="Heading1">
    <w:name w:val="heading 1"/>
    <w:basedOn w:val="Normal"/>
    <w:link w:val="Heading1Char"/>
    <w:uiPriority w:val="9"/>
    <w:qFormat/>
    <w:rsid w:val="00245541"/>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6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33B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D33B5"/>
    <w:rPr>
      <w:sz w:val="20"/>
      <w:szCs w:val="20"/>
    </w:rPr>
  </w:style>
  <w:style w:type="character" w:styleId="FootnoteReference">
    <w:name w:val="footnote reference"/>
    <w:basedOn w:val="DefaultParagraphFont"/>
    <w:uiPriority w:val="99"/>
    <w:semiHidden/>
    <w:unhideWhenUsed/>
    <w:rsid w:val="004D33B5"/>
    <w:rPr>
      <w:vertAlign w:val="superscript"/>
    </w:rPr>
  </w:style>
  <w:style w:type="paragraph" w:styleId="Revision">
    <w:name w:val="Revision"/>
    <w:hidden/>
    <w:uiPriority w:val="99"/>
    <w:semiHidden/>
    <w:rsid w:val="00DF093C"/>
  </w:style>
  <w:style w:type="character" w:styleId="CommentReference">
    <w:name w:val="annotation reference"/>
    <w:basedOn w:val="DefaultParagraphFont"/>
    <w:uiPriority w:val="99"/>
    <w:semiHidden/>
    <w:unhideWhenUsed/>
    <w:rsid w:val="00D52F63"/>
    <w:rPr>
      <w:sz w:val="16"/>
      <w:szCs w:val="16"/>
    </w:rPr>
  </w:style>
  <w:style w:type="paragraph" w:styleId="CommentText">
    <w:name w:val="annotation text"/>
    <w:basedOn w:val="Normal"/>
    <w:link w:val="CommentTextChar"/>
    <w:uiPriority w:val="99"/>
    <w:unhideWhenUsed/>
    <w:rsid w:val="00D52F6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52F63"/>
    <w:rPr>
      <w:sz w:val="20"/>
      <w:szCs w:val="20"/>
    </w:rPr>
  </w:style>
  <w:style w:type="paragraph" w:styleId="CommentSubject">
    <w:name w:val="annotation subject"/>
    <w:basedOn w:val="CommentText"/>
    <w:next w:val="CommentText"/>
    <w:link w:val="CommentSubjectChar"/>
    <w:uiPriority w:val="99"/>
    <w:semiHidden/>
    <w:unhideWhenUsed/>
    <w:rsid w:val="00D52F63"/>
    <w:rPr>
      <w:b/>
      <w:bCs/>
    </w:rPr>
  </w:style>
  <w:style w:type="character" w:customStyle="1" w:styleId="CommentSubjectChar">
    <w:name w:val="Comment Subject Char"/>
    <w:basedOn w:val="CommentTextChar"/>
    <w:link w:val="CommentSubject"/>
    <w:uiPriority w:val="99"/>
    <w:semiHidden/>
    <w:rsid w:val="00D52F63"/>
    <w:rPr>
      <w:b/>
      <w:bCs/>
      <w:sz w:val="20"/>
      <w:szCs w:val="20"/>
    </w:rPr>
  </w:style>
  <w:style w:type="character" w:styleId="EndnoteReference">
    <w:name w:val="endnote reference"/>
    <w:basedOn w:val="DefaultParagraphFont"/>
    <w:uiPriority w:val="99"/>
    <w:semiHidden/>
    <w:unhideWhenUsed/>
    <w:rsid w:val="007B46BE"/>
    <w:rPr>
      <w:vertAlign w:val="superscript"/>
    </w:rPr>
  </w:style>
  <w:style w:type="paragraph" w:styleId="Footer">
    <w:name w:val="footer"/>
    <w:basedOn w:val="Normal"/>
    <w:link w:val="Foot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411C"/>
    <w:rPr>
      <w:sz w:val="22"/>
      <w:szCs w:val="22"/>
      <w:lang w:val="en-US"/>
    </w:rPr>
  </w:style>
  <w:style w:type="character" w:styleId="PageNumber">
    <w:name w:val="page number"/>
    <w:basedOn w:val="DefaultParagraphFont"/>
    <w:uiPriority w:val="99"/>
    <w:semiHidden/>
    <w:unhideWhenUsed/>
    <w:rsid w:val="004E411C"/>
  </w:style>
  <w:style w:type="paragraph" w:styleId="Header">
    <w:name w:val="header"/>
    <w:basedOn w:val="Normal"/>
    <w:link w:val="Head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411C"/>
    <w:rPr>
      <w:sz w:val="22"/>
      <w:szCs w:val="22"/>
      <w:lang w:val="en-US"/>
    </w:rPr>
  </w:style>
  <w:style w:type="character" w:styleId="Hyperlink">
    <w:name w:val="Hyperlink"/>
    <w:basedOn w:val="DefaultParagraphFont"/>
    <w:uiPriority w:val="99"/>
    <w:unhideWhenUsed/>
    <w:rsid w:val="0006711D"/>
    <w:rPr>
      <w:color w:val="0563C1" w:themeColor="hyperlink"/>
      <w:u w:val="single"/>
    </w:rPr>
  </w:style>
  <w:style w:type="character" w:customStyle="1" w:styleId="UnresolvedMention1">
    <w:name w:val="Unresolved Mention1"/>
    <w:basedOn w:val="DefaultParagraphFont"/>
    <w:uiPriority w:val="99"/>
    <w:semiHidden/>
    <w:unhideWhenUsed/>
    <w:rsid w:val="0006711D"/>
    <w:rPr>
      <w:color w:val="605E5C"/>
      <w:shd w:val="clear" w:color="auto" w:fill="E1DFDD"/>
    </w:rPr>
  </w:style>
  <w:style w:type="character" w:customStyle="1" w:styleId="markedcontent">
    <w:name w:val="markedcontent"/>
    <w:basedOn w:val="DefaultParagraphFont"/>
    <w:rsid w:val="0072169D"/>
  </w:style>
  <w:style w:type="paragraph" w:styleId="NormalWeb">
    <w:name w:val="Normal (Web)"/>
    <w:basedOn w:val="Normal"/>
    <w:uiPriority w:val="99"/>
    <w:unhideWhenUsed/>
    <w:rsid w:val="00A93865"/>
    <w:pPr>
      <w:spacing w:before="100" w:beforeAutospacing="1" w:after="100" w:afterAutospacing="1"/>
    </w:pPr>
  </w:style>
  <w:style w:type="character" w:styleId="FollowedHyperlink">
    <w:name w:val="FollowedHyperlink"/>
    <w:basedOn w:val="DefaultParagraphFont"/>
    <w:uiPriority w:val="99"/>
    <w:semiHidden/>
    <w:unhideWhenUsed/>
    <w:rsid w:val="00D126EB"/>
    <w:rPr>
      <w:color w:val="954F72" w:themeColor="followedHyperlink"/>
      <w:u w:val="single"/>
    </w:rPr>
  </w:style>
  <w:style w:type="character" w:styleId="Strong">
    <w:name w:val="Strong"/>
    <w:basedOn w:val="DefaultParagraphFont"/>
    <w:uiPriority w:val="22"/>
    <w:qFormat/>
    <w:rsid w:val="00715FB8"/>
    <w:rPr>
      <w:b/>
      <w:bCs/>
    </w:rPr>
  </w:style>
  <w:style w:type="character" w:styleId="HTMLCite">
    <w:name w:val="HTML Cite"/>
    <w:basedOn w:val="DefaultParagraphFont"/>
    <w:uiPriority w:val="99"/>
    <w:semiHidden/>
    <w:unhideWhenUsed/>
    <w:rsid w:val="00A44F96"/>
    <w:rPr>
      <w:i/>
      <w:iCs/>
    </w:rPr>
  </w:style>
  <w:style w:type="character" w:customStyle="1" w:styleId="journalname">
    <w:name w:val="journalname"/>
    <w:basedOn w:val="DefaultParagraphFont"/>
    <w:rsid w:val="00A44F96"/>
  </w:style>
  <w:style w:type="character" w:customStyle="1" w:styleId="volume">
    <w:name w:val="volume"/>
    <w:basedOn w:val="DefaultParagraphFont"/>
    <w:rsid w:val="00A44F96"/>
  </w:style>
  <w:style w:type="character" w:customStyle="1" w:styleId="page">
    <w:name w:val="page"/>
    <w:basedOn w:val="DefaultParagraphFont"/>
    <w:rsid w:val="00A44F96"/>
  </w:style>
  <w:style w:type="paragraph" w:customStyle="1" w:styleId="c-article-referencestext">
    <w:name w:val="c-article-references__text"/>
    <w:basedOn w:val="Normal"/>
    <w:rsid w:val="00440EE0"/>
    <w:pPr>
      <w:spacing w:before="100" w:beforeAutospacing="1" w:after="100" w:afterAutospacing="1"/>
    </w:pPr>
  </w:style>
  <w:style w:type="paragraph" w:customStyle="1" w:styleId="Default">
    <w:name w:val="Default"/>
    <w:rsid w:val="001E31ED"/>
    <w:pPr>
      <w:autoSpaceDE w:val="0"/>
      <w:autoSpaceDN w:val="0"/>
      <w:adjustRightInd w:val="0"/>
    </w:pPr>
    <w:rPr>
      <w:rFonts w:ascii="Charis SIL" w:hAnsi="Charis SIL" w:cs="Charis SIL"/>
      <w:color w:val="000000"/>
    </w:rPr>
  </w:style>
  <w:style w:type="character" w:customStyle="1" w:styleId="apple-converted-space">
    <w:name w:val="apple-converted-space"/>
    <w:basedOn w:val="DefaultParagraphFont"/>
    <w:rsid w:val="008D0321"/>
  </w:style>
  <w:style w:type="paragraph" w:styleId="Bibliography">
    <w:name w:val="Bibliography"/>
    <w:basedOn w:val="Normal"/>
    <w:next w:val="Normal"/>
    <w:uiPriority w:val="37"/>
    <w:unhideWhenUsed/>
    <w:rsid w:val="00D050FB"/>
    <w:pPr>
      <w:spacing w:after="240"/>
      <w:ind w:left="720" w:hanging="720"/>
    </w:pPr>
  </w:style>
  <w:style w:type="character" w:customStyle="1" w:styleId="Heading1Char">
    <w:name w:val="Heading 1 Char"/>
    <w:basedOn w:val="DefaultParagraphFont"/>
    <w:link w:val="Heading1"/>
    <w:uiPriority w:val="9"/>
    <w:rsid w:val="002455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45541"/>
    <w:rPr>
      <w:i/>
      <w:iCs/>
    </w:rPr>
  </w:style>
  <w:style w:type="character" w:customStyle="1" w:styleId="spelle">
    <w:name w:val="spelle"/>
    <w:basedOn w:val="DefaultParagraphFont"/>
    <w:rsid w:val="00245541"/>
  </w:style>
  <w:style w:type="paragraph" w:styleId="BalloonText">
    <w:name w:val="Balloon Text"/>
    <w:basedOn w:val="Normal"/>
    <w:link w:val="BalloonTextChar"/>
    <w:uiPriority w:val="99"/>
    <w:semiHidden/>
    <w:unhideWhenUsed/>
    <w:rsid w:val="00486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C66"/>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F6556"/>
    <w:rPr>
      <w:color w:val="605E5C"/>
      <w:shd w:val="clear" w:color="auto" w:fill="E1DFDD"/>
    </w:rPr>
  </w:style>
  <w:style w:type="character" w:styleId="PlaceholderText">
    <w:name w:val="Placeholder Text"/>
    <w:basedOn w:val="DefaultParagraphFont"/>
    <w:uiPriority w:val="99"/>
    <w:semiHidden/>
    <w:rsid w:val="006F5A2F"/>
    <w:rPr>
      <w:color w:val="808080"/>
    </w:rPr>
  </w:style>
  <w:style w:type="paragraph" w:styleId="ListParagraph">
    <w:name w:val="List Paragraph"/>
    <w:basedOn w:val="Normal"/>
    <w:uiPriority w:val="34"/>
    <w:qFormat/>
    <w:rsid w:val="00F3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94">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515506836">
      <w:bodyDiv w:val="1"/>
      <w:marLeft w:val="0"/>
      <w:marRight w:val="0"/>
      <w:marTop w:val="0"/>
      <w:marBottom w:val="0"/>
      <w:divBdr>
        <w:top w:val="none" w:sz="0" w:space="0" w:color="auto"/>
        <w:left w:val="none" w:sz="0" w:space="0" w:color="auto"/>
        <w:bottom w:val="none" w:sz="0" w:space="0" w:color="auto"/>
        <w:right w:val="none" w:sz="0" w:space="0" w:color="auto"/>
      </w:divBdr>
      <w:divsChild>
        <w:div w:id="57363085">
          <w:marLeft w:val="0"/>
          <w:marRight w:val="0"/>
          <w:marTop w:val="0"/>
          <w:marBottom w:val="0"/>
          <w:divBdr>
            <w:top w:val="none" w:sz="0" w:space="0" w:color="auto"/>
            <w:left w:val="none" w:sz="0" w:space="0" w:color="auto"/>
            <w:bottom w:val="none" w:sz="0" w:space="0" w:color="auto"/>
            <w:right w:val="none" w:sz="0" w:space="0" w:color="auto"/>
          </w:divBdr>
          <w:divsChild>
            <w:div w:id="1654289560">
              <w:marLeft w:val="0"/>
              <w:marRight w:val="0"/>
              <w:marTop w:val="0"/>
              <w:marBottom w:val="0"/>
              <w:divBdr>
                <w:top w:val="none" w:sz="0" w:space="0" w:color="auto"/>
                <w:left w:val="none" w:sz="0" w:space="0" w:color="auto"/>
                <w:bottom w:val="none" w:sz="0" w:space="0" w:color="auto"/>
                <w:right w:val="none" w:sz="0" w:space="0" w:color="auto"/>
              </w:divBdr>
              <w:divsChild>
                <w:div w:id="740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717">
      <w:bodyDiv w:val="1"/>
      <w:marLeft w:val="0"/>
      <w:marRight w:val="0"/>
      <w:marTop w:val="0"/>
      <w:marBottom w:val="0"/>
      <w:divBdr>
        <w:top w:val="none" w:sz="0" w:space="0" w:color="auto"/>
        <w:left w:val="none" w:sz="0" w:space="0" w:color="auto"/>
        <w:bottom w:val="none" w:sz="0" w:space="0" w:color="auto"/>
        <w:right w:val="none" w:sz="0" w:space="0" w:color="auto"/>
      </w:divBdr>
    </w:div>
    <w:div w:id="738985842">
      <w:bodyDiv w:val="1"/>
      <w:marLeft w:val="0"/>
      <w:marRight w:val="0"/>
      <w:marTop w:val="0"/>
      <w:marBottom w:val="0"/>
      <w:divBdr>
        <w:top w:val="none" w:sz="0" w:space="0" w:color="auto"/>
        <w:left w:val="none" w:sz="0" w:space="0" w:color="auto"/>
        <w:bottom w:val="none" w:sz="0" w:space="0" w:color="auto"/>
        <w:right w:val="none" w:sz="0" w:space="0" w:color="auto"/>
      </w:divBdr>
      <w:divsChild>
        <w:div w:id="881941453">
          <w:marLeft w:val="835"/>
          <w:marRight w:val="0"/>
          <w:marTop w:val="0"/>
          <w:marBottom w:val="0"/>
          <w:divBdr>
            <w:top w:val="none" w:sz="0" w:space="0" w:color="auto"/>
            <w:left w:val="none" w:sz="0" w:space="0" w:color="auto"/>
            <w:bottom w:val="none" w:sz="0" w:space="0" w:color="auto"/>
            <w:right w:val="none" w:sz="0" w:space="0" w:color="auto"/>
          </w:divBdr>
        </w:div>
      </w:divsChild>
    </w:div>
    <w:div w:id="751439576">
      <w:bodyDiv w:val="1"/>
      <w:marLeft w:val="0"/>
      <w:marRight w:val="0"/>
      <w:marTop w:val="0"/>
      <w:marBottom w:val="0"/>
      <w:divBdr>
        <w:top w:val="none" w:sz="0" w:space="0" w:color="auto"/>
        <w:left w:val="none" w:sz="0" w:space="0" w:color="auto"/>
        <w:bottom w:val="none" w:sz="0" w:space="0" w:color="auto"/>
        <w:right w:val="none" w:sz="0" w:space="0" w:color="auto"/>
      </w:divBdr>
    </w:div>
    <w:div w:id="812605736">
      <w:bodyDiv w:val="1"/>
      <w:marLeft w:val="0"/>
      <w:marRight w:val="0"/>
      <w:marTop w:val="0"/>
      <w:marBottom w:val="0"/>
      <w:divBdr>
        <w:top w:val="none" w:sz="0" w:space="0" w:color="auto"/>
        <w:left w:val="none" w:sz="0" w:space="0" w:color="auto"/>
        <w:bottom w:val="none" w:sz="0" w:space="0" w:color="auto"/>
        <w:right w:val="none" w:sz="0" w:space="0" w:color="auto"/>
      </w:divBdr>
      <w:divsChild>
        <w:div w:id="1153179828">
          <w:marLeft w:val="0"/>
          <w:marRight w:val="0"/>
          <w:marTop w:val="0"/>
          <w:marBottom w:val="0"/>
          <w:divBdr>
            <w:top w:val="none" w:sz="0" w:space="0" w:color="auto"/>
            <w:left w:val="none" w:sz="0" w:space="0" w:color="auto"/>
            <w:bottom w:val="none" w:sz="0" w:space="0" w:color="auto"/>
            <w:right w:val="none" w:sz="0" w:space="0" w:color="auto"/>
          </w:divBdr>
        </w:div>
      </w:divsChild>
    </w:div>
    <w:div w:id="880636029">
      <w:bodyDiv w:val="1"/>
      <w:marLeft w:val="0"/>
      <w:marRight w:val="0"/>
      <w:marTop w:val="0"/>
      <w:marBottom w:val="0"/>
      <w:divBdr>
        <w:top w:val="none" w:sz="0" w:space="0" w:color="auto"/>
        <w:left w:val="none" w:sz="0" w:space="0" w:color="auto"/>
        <w:bottom w:val="none" w:sz="0" w:space="0" w:color="auto"/>
        <w:right w:val="none" w:sz="0" w:space="0" w:color="auto"/>
      </w:divBdr>
    </w:div>
    <w:div w:id="1019235106">
      <w:bodyDiv w:val="1"/>
      <w:marLeft w:val="0"/>
      <w:marRight w:val="0"/>
      <w:marTop w:val="0"/>
      <w:marBottom w:val="0"/>
      <w:divBdr>
        <w:top w:val="none" w:sz="0" w:space="0" w:color="auto"/>
        <w:left w:val="none" w:sz="0" w:space="0" w:color="auto"/>
        <w:bottom w:val="none" w:sz="0" w:space="0" w:color="auto"/>
        <w:right w:val="none" w:sz="0" w:space="0" w:color="auto"/>
      </w:divBdr>
    </w:div>
    <w:div w:id="1168524534">
      <w:bodyDiv w:val="1"/>
      <w:marLeft w:val="0"/>
      <w:marRight w:val="0"/>
      <w:marTop w:val="0"/>
      <w:marBottom w:val="0"/>
      <w:divBdr>
        <w:top w:val="none" w:sz="0" w:space="0" w:color="auto"/>
        <w:left w:val="none" w:sz="0" w:space="0" w:color="auto"/>
        <w:bottom w:val="none" w:sz="0" w:space="0" w:color="auto"/>
        <w:right w:val="none" w:sz="0" w:space="0" w:color="auto"/>
      </w:divBdr>
      <w:divsChild>
        <w:div w:id="1214191843">
          <w:marLeft w:val="0"/>
          <w:marRight w:val="0"/>
          <w:marTop w:val="0"/>
          <w:marBottom w:val="0"/>
          <w:divBdr>
            <w:top w:val="none" w:sz="0" w:space="0" w:color="auto"/>
            <w:left w:val="none" w:sz="0" w:space="0" w:color="auto"/>
            <w:bottom w:val="none" w:sz="0" w:space="0" w:color="auto"/>
            <w:right w:val="none" w:sz="0" w:space="0" w:color="auto"/>
          </w:divBdr>
          <w:divsChild>
            <w:div w:id="29766978">
              <w:marLeft w:val="0"/>
              <w:marRight w:val="0"/>
              <w:marTop w:val="0"/>
              <w:marBottom w:val="0"/>
              <w:divBdr>
                <w:top w:val="none" w:sz="0" w:space="0" w:color="auto"/>
                <w:left w:val="none" w:sz="0" w:space="0" w:color="auto"/>
                <w:bottom w:val="none" w:sz="0" w:space="0" w:color="auto"/>
                <w:right w:val="none" w:sz="0" w:space="0" w:color="auto"/>
              </w:divBdr>
            </w:div>
          </w:divsChild>
        </w:div>
        <w:div w:id="1444032277">
          <w:marLeft w:val="0"/>
          <w:marRight w:val="0"/>
          <w:marTop w:val="0"/>
          <w:marBottom w:val="0"/>
          <w:divBdr>
            <w:top w:val="none" w:sz="0" w:space="0" w:color="auto"/>
            <w:left w:val="none" w:sz="0" w:space="0" w:color="auto"/>
            <w:bottom w:val="none" w:sz="0" w:space="0" w:color="auto"/>
            <w:right w:val="none" w:sz="0" w:space="0" w:color="auto"/>
          </w:divBdr>
        </w:div>
      </w:divsChild>
    </w:div>
    <w:div w:id="1577549392">
      <w:bodyDiv w:val="1"/>
      <w:marLeft w:val="0"/>
      <w:marRight w:val="0"/>
      <w:marTop w:val="0"/>
      <w:marBottom w:val="0"/>
      <w:divBdr>
        <w:top w:val="none" w:sz="0" w:space="0" w:color="auto"/>
        <w:left w:val="none" w:sz="0" w:space="0" w:color="auto"/>
        <w:bottom w:val="none" w:sz="0" w:space="0" w:color="auto"/>
        <w:right w:val="none" w:sz="0" w:space="0" w:color="auto"/>
      </w:divBdr>
      <w:divsChild>
        <w:div w:id="1547523184">
          <w:marLeft w:val="0"/>
          <w:marRight w:val="0"/>
          <w:marTop w:val="0"/>
          <w:marBottom w:val="0"/>
          <w:divBdr>
            <w:top w:val="none" w:sz="0" w:space="0" w:color="auto"/>
            <w:left w:val="none" w:sz="0" w:space="0" w:color="auto"/>
            <w:bottom w:val="none" w:sz="0" w:space="0" w:color="auto"/>
            <w:right w:val="none" w:sz="0" w:space="0" w:color="auto"/>
          </w:divBdr>
          <w:divsChild>
            <w:div w:id="1509565912">
              <w:marLeft w:val="0"/>
              <w:marRight w:val="0"/>
              <w:marTop w:val="0"/>
              <w:marBottom w:val="0"/>
              <w:divBdr>
                <w:top w:val="none" w:sz="0" w:space="0" w:color="auto"/>
                <w:left w:val="none" w:sz="0" w:space="0" w:color="auto"/>
                <w:bottom w:val="none" w:sz="0" w:space="0" w:color="auto"/>
                <w:right w:val="none" w:sz="0" w:space="0" w:color="auto"/>
              </w:divBdr>
              <w:divsChild>
                <w:div w:id="713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8726">
      <w:bodyDiv w:val="1"/>
      <w:marLeft w:val="0"/>
      <w:marRight w:val="0"/>
      <w:marTop w:val="0"/>
      <w:marBottom w:val="0"/>
      <w:divBdr>
        <w:top w:val="none" w:sz="0" w:space="0" w:color="auto"/>
        <w:left w:val="none" w:sz="0" w:space="0" w:color="auto"/>
        <w:bottom w:val="none" w:sz="0" w:space="0" w:color="auto"/>
        <w:right w:val="none" w:sz="0" w:space="0" w:color="auto"/>
      </w:divBdr>
    </w:div>
    <w:div w:id="1605846365">
      <w:bodyDiv w:val="1"/>
      <w:marLeft w:val="0"/>
      <w:marRight w:val="0"/>
      <w:marTop w:val="0"/>
      <w:marBottom w:val="0"/>
      <w:divBdr>
        <w:top w:val="none" w:sz="0" w:space="0" w:color="auto"/>
        <w:left w:val="none" w:sz="0" w:space="0" w:color="auto"/>
        <w:bottom w:val="none" w:sz="0" w:space="0" w:color="auto"/>
        <w:right w:val="none" w:sz="0" w:space="0" w:color="auto"/>
      </w:divBdr>
    </w:div>
    <w:div w:id="1767995451">
      <w:bodyDiv w:val="1"/>
      <w:marLeft w:val="0"/>
      <w:marRight w:val="0"/>
      <w:marTop w:val="0"/>
      <w:marBottom w:val="0"/>
      <w:divBdr>
        <w:top w:val="none" w:sz="0" w:space="0" w:color="auto"/>
        <w:left w:val="none" w:sz="0" w:space="0" w:color="auto"/>
        <w:bottom w:val="none" w:sz="0" w:space="0" w:color="auto"/>
        <w:right w:val="none" w:sz="0" w:space="0" w:color="auto"/>
      </w:divBdr>
    </w:div>
    <w:div w:id="1795635535">
      <w:bodyDiv w:val="1"/>
      <w:marLeft w:val="0"/>
      <w:marRight w:val="0"/>
      <w:marTop w:val="0"/>
      <w:marBottom w:val="0"/>
      <w:divBdr>
        <w:top w:val="none" w:sz="0" w:space="0" w:color="auto"/>
        <w:left w:val="none" w:sz="0" w:space="0" w:color="auto"/>
        <w:bottom w:val="none" w:sz="0" w:space="0" w:color="auto"/>
        <w:right w:val="none" w:sz="0" w:space="0" w:color="auto"/>
      </w:divBdr>
      <w:divsChild>
        <w:div w:id="513956637">
          <w:marLeft w:val="0"/>
          <w:marRight w:val="0"/>
          <w:marTop w:val="0"/>
          <w:marBottom w:val="0"/>
          <w:divBdr>
            <w:top w:val="none" w:sz="0" w:space="0" w:color="auto"/>
            <w:left w:val="none" w:sz="0" w:space="0" w:color="auto"/>
            <w:bottom w:val="none" w:sz="0" w:space="0" w:color="auto"/>
            <w:right w:val="none" w:sz="0" w:space="0" w:color="auto"/>
          </w:divBdr>
        </w:div>
        <w:div w:id="11155082">
          <w:marLeft w:val="0"/>
          <w:marRight w:val="0"/>
          <w:marTop w:val="0"/>
          <w:marBottom w:val="0"/>
          <w:divBdr>
            <w:top w:val="none" w:sz="0" w:space="0" w:color="auto"/>
            <w:left w:val="none" w:sz="0" w:space="0" w:color="auto"/>
            <w:bottom w:val="none" w:sz="0" w:space="0" w:color="auto"/>
            <w:right w:val="none" w:sz="0" w:space="0" w:color="auto"/>
          </w:divBdr>
        </w:div>
        <w:div w:id="1753619579">
          <w:marLeft w:val="0"/>
          <w:marRight w:val="0"/>
          <w:marTop w:val="0"/>
          <w:marBottom w:val="0"/>
          <w:divBdr>
            <w:top w:val="none" w:sz="0" w:space="0" w:color="auto"/>
            <w:left w:val="none" w:sz="0" w:space="0" w:color="auto"/>
            <w:bottom w:val="none" w:sz="0" w:space="0" w:color="auto"/>
            <w:right w:val="none" w:sz="0" w:space="0" w:color="auto"/>
          </w:divBdr>
        </w:div>
        <w:div w:id="571962411">
          <w:marLeft w:val="0"/>
          <w:marRight w:val="0"/>
          <w:marTop w:val="0"/>
          <w:marBottom w:val="0"/>
          <w:divBdr>
            <w:top w:val="none" w:sz="0" w:space="0" w:color="auto"/>
            <w:left w:val="none" w:sz="0" w:space="0" w:color="auto"/>
            <w:bottom w:val="none" w:sz="0" w:space="0" w:color="auto"/>
            <w:right w:val="none" w:sz="0" w:space="0" w:color="auto"/>
          </w:divBdr>
        </w:div>
        <w:div w:id="1263225507">
          <w:marLeft w:val="0"/>
          <w:marRight w:val="0"/>
          <w:marTop w:val="0"/>
          <w:marBottom w:val="0"/>
          <w:divBdr>
            <w:top w:val="none" w:sz="0" w:space="0" w:color="auto"/>
            <w:left w:val="none" w:sz="0" w:space="0" w:color="auto"/>
            <w:bottom w:val="none" w:sz="0" w:space="0" w:color="auto"/>
            <w:right w:val="none" w:sz="0" w:space="0" w:color="auto"/>
          </w:divBdr>
        </w:div>
      </w:divsChild>
    </w:div>
    <w:div w:id="1855194185">
      <w:bodyDiv w:val="1"/>
      <w:marLeft w:val="0"/>
      <w:marRight w:val="0"/>
      <w:marTop w:val="0"/>
      <w:marBottom w:val="0"/>
      <w:divBdr>
        <w:top w:val="none" w:sz="0" w:space="0" w:color="auto"/>
        <w:left w:val="none" w:sz="0" w:space="0" w:color="auto"/>
        <w:bottom w:val="none" w:sz="0" w:space="0" w:color="auto"/>
        <w:right w:val="none" w:sz="0" w:space="0" w:color="auto"/>
      </w:divBdr>
    </w:div>
    <w:div w:id="1907297497">
      <w:bodyDiv w:val="1"/>
      <w:marLeft w:val="0"/>
      <w:marRight w:val="0"/>
      <w:marTop w:val="0"/>
      <w:marBottom w:val="0"/>
      <w:divBdr>
        <w:top w:val="none" w:sz="0" w:space="0" w:color="auto"/>
        <w:left w:val="none" w:sz="0" w:space="0" w:color="auto"/>
        <w:bottom w:val="none" w:sz="0" w:space="0" w:color="auto"/>
        <w:right w:val="none" w:sz="0" w:space="0" w:color="auto"/>
      </w:divBdr>
    </w:div>
    <w:div w:id="20535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22</Pages>
  <Words>9106</Words>
  <Characters>51906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Paglino</dc:creator>
  <cp:keywords/>
  <dc:description/>
  <cp:lastModifiedBy>Eugenio Paglino</cp:lastModifiedBy>
  <cp:revision>40</cp:revision>
  <cp:lastPrinted>2023-08-14T15:09:00Z</cp:lastPrinted>
  <dcterms:created xsi:type="dcterms:W3CDTF">2023-09-21T16:42:00Z</dcterms:created>
  <dcterms:modified xsi:type="dcterms:W3CDTF">2024-04-24T12:54:00Z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id="sDgxjefO"/&gt;&lt;style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