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953F" w14:textId="77777777" w:rsidR="00797935" w:rsidRDefault="00797935" w:rsidP="00797935">
      <w:pPr>
        <w:pStyle w:val="NormalWeb"/>
        <w:jc w:val="right"/>
      </w:pPr>
      <w:r>
        <w:rPr>
          <w:rFonts w:ascii="TimesNewRomanPSMT" w:hAnsi="TimesNewRomanPSMT"/>
          <w:sz w:val="36"/>
          <w:szCs w:val="36"/>
        </w:rPr>
        <w:t xml:space="preserve">Preliminary Draft. Not for circulation. </w:t>
      </w:r>
    </w:p>
    <w:p w14:paraId="6F70F138" w14:textId="77777777" w:rsidR="00C83F94" w:rsidRDefault="00C83F94" w:rsidP="00C83F94">
      <w:pPr>
        <w:jc w:val="center"/>
        <w:rPr>
          <w:b/>
          <w:bCs/>
          <w:color w:val="000000" w:themeColor="text1"/>
          <w:sz w:val="40"/>
          <w:szCs w:val="40"/>
        </w:rPr>
      </w:pPr>
    </w:p>
    <w:p w14:paraId="4CA1B8E7" w14:textId="77777777" w:rsidR="00C83F94" w:rsidRDefault="00C83F94" w:rsidP="00C83F94">
      <w:pPr>
        <w:jc w:val="center"/>
        <w:rPr>
          <w:b/>
          <w:bCs/>
          <w:color w:val="000000" w:themeColor="text1"/>
          <w:sz w:val="40"/>
          <w:szCs w:val="40"/>
        </w:rPr>
      </w:pPr>
    </w:p>
    <w:p w14:paraId="66AE0666" w14:textId="77777777" w:rsidR="00797935" w:rsidRDefault="00797935" w:rsidP="00C83F94">
      <w:pPr>
        <w:jc w:val="center"/>
        <w:rPr>
          <w:b/>
          <w:bCs/>
          <w:color w:val="000000" w:themeColor="text1"/>
          <w:sz w:val="40"/>
          <w:szCs w:val="40"/>
        </w:rPr>
      </w:pPr>
    </w:p>
    <w:p w14:paraId="385586E5" w14:textId="77777777" w:rsidR="00797935" w:rsidRDefault="00797935" w:rsidP="00C83F94">
      <w:pPr>
        <w:jc w:val="center"/>
        <w:rPr>
          <w:b/>
          <w:bCs/>
          <w:color w:val="000000" w:themeColor="text1"/>
          <w:sz w:val="40"/>
          <w:szCs w:val="40"/>
        </w:rPr>
      </w:pPr>
    </w:p>
    <w:p w14:paraId="51933D03" w14:textId="77777777" w:rsidR="00797935" w:rsidRDefault="00797935" w:rsidP="00C83F94">
      <w:pPr>
        <w:jc w:val="center"/>
        <w:rPr>
          <w:b/>
          <w:bCs/>
          <w:color w:val="000000" w:themeColor="text1"/>
          <w:sz w:val="40"/>
          <w:szCs w:val="40"/>
        </w:rPr>
      </w:pPr>
    </w:p>
    <w:p w14:paraId="2E5DE133" w14:textId="77777777" w:rsidR="00797935" w:rsidRDefault="00797935" w:rsidP="00C83F94">
      <w:pPr>
        <w:jc w:val="center"/>
        <w:rPr>
          <w:b/>
          <w:bCs/>
          <w:color w:val="000000" w:themeColor="text1"/>
          <w:sz w:val="40"/>
          <w:szCs w:val="40"/>
        </w:rPr>
      </w:pPr>
    </w:p>
    <w:p w14:paraId="10D7250D" w14:textId="77777777" w:rsidR="00797935" w:rsidRDefault="00797935" w:rsidP="00C83F94">
      <w:pPr>
        <w:jc w:val="center"/>
        <w:rPr>
          <w:b/>
          <w:bCs/>
          <w:color w:val="000000" w:themeColor="text1"/>
          <w:sz w:val="40"/>
          <w:szCs w:val="40"/>
        </w:rPr>
      </w:pPr>
    </w:p>
    <w:p w14:paraId="4E8C170F" w14:textId="779E72D9" w:rsidR="00C83F94" w:rsidRPr="00797935" w:rsidRDefault="00BB282F" w:rsidP="00C83F94">
      <w:pPr>
        <w:jc w:val="center"/>
        <w:rPr>
          <w:color w:val="000000" w:themeColor="text1"/>
          <w:sz w:val="40"/>
          <w:szCs w:val="40"/>
        </w:rPr>
      </w:pPr>
      <w:r>
        <w:rPr>
          <w:color w:val="000000" w:themeColor="text1"/>
          <w:sz w:val="40"/>
          <w:szCs w:val="40"/>
        </w:rPr>
        <w:t xml:space="preserve">The G-Decomposition: </w:t>
      </w:r>
      <w:r w:rsidR="00C83F94" w:rsidRPr="00797935">
        <w:rPr>
          <w:color w:val="000000" w:themeColor="text1"/>
          <w:sz w:val="40"/>
          <w:szCs w:val="40"/>
        </w:rPr>
        <w:t>Estimating Group-Specific Contributions to Life-Table Functions</w:t>
      </w:r>
    </w:p>
    <w:p w14:paraId="72006CFF" w14:textId="77777777" w:rsidR="00C83F94" w:rsidRDefault="00C83F94" w:rsidP="00C83F94">
      <w:pPr>
        <w:jc w:val="center"/>
        <w:rPr>
          <w:b/>
          <w:bCs/>
          <w:color w:val="000000" w:themeColor="text1"/>
          <w:sz w:val="40"/>
          <w:szCs w:val="40"/>
        </w:rPr>
      </w:pPr>
    </w:p>
    <w:p w14:paraId="72896435" w14:textId="7754AE4F" w:rsidR="00C83F94" w:rsidRPr="00C83F94" w:rsidRDefault="00C83F94" w:rsidP="00C83F94">
      <w:pPr>
        <w:jc w:val="center"/>
        <w:rPr>
          <w:color w:val="000000" w:themeColor="text1"/>
          <w:sz w:val="21"/>
          <w:szCs w:val="21"/>
        </w:rPr>
      </w:pPr>
      <w:r w:rsidRPr="00C83F94">
        <w:rPr>
          <w:color w:val="000000" w:themeColor="text1"/>
          <w:sz w:val="32"/>
          <w:szCs w:val="32"/>
        </w:rPr>
        <w:t>Eugenio Paglino</w:t>
      </w:r>
    </w:p>
    <w:p w14:paraId="02C99292" w14:textId="77777777" w:rsidR="00C83F94" w:rsidRPr="00C83F94" w:rsidRDefault="00C83F94" w:rsidP="00C83F94">
      <w:pPr>
        <w:jc w:val="center"/>
        <w:rPr>
          <w:color w:val="000000" w:themeColor="text1"/>
        </w:rPr>
      </w:pPr>
    </w:p>
    <w:p w14:paraId="6A42F4CD" w14:textId="77777777" w:rsidR="00797935" w:rsidRDefault="00C83F94" w:rsidP="00797935">
      <w:pPr>
        <w:jc w:val="center"/>
        <w:rPr>
          <w:color w:val="000000" w:themeColor="text1"/>
        </w:rPr>
      </w:pPr>
      <w:r w:rsidRPr="00C83F94">
        <w:rPr>
          <w:color w:val="000000" w:themeColor="text1"/>
        </w:rPr>
        <w:t>Department of Sociology</w:t>
      </w:r>
    </w:p>
    <w:p w14:paraId="6B9761E8" w14:textId="77777777" w:rsidR="00797935" w:rsidRDefault="00C83F94" w:rsidP="00797935">
      <w:pPr>
        <w:jc w:val="center"/>
        <w:rPr>
          <w:color w:val="000000" w:themeColor="text1"/>
        </w:rPr>
      </w:pPr>
      <w:r w:rsidRPr="00C83F94">
        <w:rPr>
          <w:color w:val="000000" w:themeColor="text1"/>
        </w:rPr>
        <w:t>Population Studies Center</w:t>
      </w:r>
    </w:p>
    <w:p w14:paraId="628A4C08" w14:textId="5BF1F02A" w:rsidR="00C83F94" w:rsidRPr="00C83F94" w:rsidRDefault="00C83F94" w:rsidP="00797935">
      <w:pPr>
        <w:jc w:val="center"/>
        <w:rPr>
          <w:color w:val="000000" w:themeColor="text1"/>
          <w:sz w:val="40"/>
          <w:szCs w:val="40"/>
          <w:vertAlign w:val="superscript"/>
        </w:rPr>
      </w:pPr>
      <w:r w:rsidRPr="00C83F94">
        <w:rPr>
          <w:color w:val="000000" w:themeColor="text1"/>
        </w:rPr>
        <w:t>University of Pennsylvania</w:t>
      </w:r>
      <w:r w:rsidRPr="00C83F94">
        <w:rPr>
          <w:color w:val="000000" w:themeColor="text1"/>
        </w:rPr>
        <w:br w:type="page"/>
      </w:r>
    </w:p>
    <w:p w14:paraId="31E86CA2" w14:textId="1071EC0D" w:rsidR="00797935" w:rsidRDefault="00797935" w:rsidP="008215CA">
      <w:pPr>
        <w:spacing w:line="480" w:lineRule="auto"/>
        <w:rPr>
          <w:b/>
          <w:bCs/>
          <w:color w:val="000000" w:themeColor="text1"/>
        </w:rPr>
      </w:pPr>
      <w:r>
        <w:rPr>
          <w:b/>
          <w:bCs/>
          <w:color w:val="000000" w:themeColor="text1"/>
        </w:rPr>
        <w:lastRenderedPageBreak/>
        <w:t>Introduction</w:t>
      </w:r>
    </w:p>
    <w:p w14:paraId="3887845C" w14:textId="2FAA58B2" w:rsidR="00797935" w:rsidRPr="004B4763" w:rsidRDefault="00797935" w:rsidP="008215CA">
      <w:pPr>
        <w:spacing w:line="480" w:lineRule="auto"/>
        <w:rPr>
          <w:color w:val="000000" w:themeColor="text1"/>
        </w:rPr>
      </w:pPr>
      <w:r w:rsidRPr="004B4763">
        <w:rPr>
          <w:color w:val="000000" w:themeColor="text1"/>
        </w:rPr>
        <w:t xml:space="preserve">The decomposition of demographic measures is a fundamental tool in </w:t>
      </w:r>
      <w:r w:rsidR="00A00A9C" w:rsidRPr="004B4763">
        <w:rPr>
          <w:color w:val="000000" w:themeColor="text1"/>
        </w:rPr>
        <w:t>a</w:t>
      </w:r>
      <w:r w:rsidRPr="004B4763">
        <w:rPr>
          <w:color w:val="000000" w:themeColor="text1"/>
        </w:rPr>
        <w:t xml:space="preserve"> demographer’s toolki</w:t>
      </w:r>
      <w:r w:rsidR="00A00A9C" w:rsidRPr="004B4763">
        <w:rPr>
          <w:color w:val="000000" w:themeColor="text1"/>
        </w:rPr>
        <w:t>t. Through decomposition of demographic measures, researchers can gain crucial insights into the importance of different mechanisms in producing demographic change. Most decomposition techniques decompose changes in demographic measures</w:t>
      </w:r>
      <w:r w:rsidR="0031183F">
        <w:rPr>
          <w:color w:val="000000" w:themeColor="text1"/>
        </w:rPr>
        <w:t xml:space="preserve"> over time or, more generally, </w:t>
      </w:r>
      <w:r w:rsidR="00A00A9C" w:rsidRPr="004B4763">
        <w:rPr>
          <w:color w:val="000000" w:themeColor="text1"/>
        </w:rPr>
        <w:t xml:space="preserve">differences between demographic rates </w:t>
      </w:r>
      <w:r w:rsidR="00A00A9C" w:rsidRPr="004B4763">
        <w:rPr>
          <w:color w:val="000000" w:themeColor="text1"/>
        </w:rPr>
        <w:fldChar w:fldCharType="begin"/>
      </w:r>
      <w:r w:rsidR="00E95306">
        <w:rPr>
          <w:color w:val="000000" w:themeColor="text1"/>
        </w:rPr>
        <w:instrText xml:space="preserve"> ADDIN ZOTERO_ITEM CSL_CITATION {"citationID":"yPYfB3Lj","properties":{"formattedCitation":"(Andreev, Shkolnikov, and Begun 2002; Arriaga 1984; Caswell 1989; Das Gupta 1978; Horiuchi, Wilmoth, and Pletcher 2008; Kitagawa 1964; Vaupel and Canudas-Romo 2002)","plainCitation":"(Andreev, Shkolnikov, and Begun 2002; Arriaga 1984; Caswell 1989; Das Gupta 1978; Horiuchi, Wilmoth, and Pletcher 2008; Kitagawa 1964; Vaupel and Canudas-Romo 2002)","noteIndex":0},"citationItems":[{"id":"S9LI65xL/mKOMXE6Y","uris":["http://zotero.org/users/8250957/items/DSEQELWC"],"itemData":{"id":1049,"type":"article-journal","abstract":"A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Z."}],"issued":{"date-parts":[["2002"]]}}},{"id":854,"uris":["http://zotero.org/users/8250957/items/QRAANWDQ"],"itemData":{"id":854,"type":"article-journal","abstract":"A set of new indices for interpreting change in life expectancies, as well as a technique for explaining change in life expectancies by change in mortality at each age group are presented in the paper. The indices, as well as the new technique for explaining the differences in life expectancies, have been tested and examples using United States life tables are presented. The technique for explaining life expectancy differentials can be used for analyzing change in mortality or mortality differentials by sex, ethnicity, region, or any other subpopulations. The technique can be applied to life expectancies at birth or temporary life expectancies between any desirable ages.","container-title":"Demography","DOI":"10.2307/2061029","ISSN":"1533-7790","issue":"1","journalAbbreviation":"Demography","language":"en","page":"83-96","source":"Springer Link","title":"Measuring and explaining the change in life expectancies","volume":"21","author":[{"family":"Arriaga","given":"Eduardo E."}],"issued":{"date-parts":[["1984",2,1]]}}},{"id":2643,"uris":["http://zotero.org/users/8250957/items/KAUJ6BG5"],"itemData":{"id":2643,"type":"article-journal","abstract":"Life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rate","volume":"46","author":[{"family":"Caswell","given":"Hal"}],"issued":{"date-parts":[["1989",8,1]]}}},{"id":1047,"uris":["http://zotero.org/users/8250957/items/KYK3N6QW"],"itemData":{"id":1047,"type":"article-journal","abstract":"In her work on the components of a difference between two rates, Kitagawa (1955) was successful in dividing the difference into the rate effect and the effect of the factor, for data classified by one factor. Her formulation for data classified by two factors, however, involves an interaction term which is difficult to interpret. Retherford and Cho (1973) devised a method that does not include any interaction terms. However, their method has other limitations, such as the dependence of the results on the order in which the effects of the factors are computed. In this paper, we provide a general method capable of handling any number of factors, which is developed along the lines suggested by Kitagawa and by Retherford and Cho but without the limitations of their methods.","container-title":"Demography","DOI":"10.2307/2060493","ISSN":"1533-7790","issue":"1","journalAbbreviation":"Demography","language":"en","page":"99-112","source":"Springer Link","title":"A general method of decomposing a difference between two rates into several components","volume":"15","author":[{"family":"Das Gupta","given":"Prithwis"}],"issued":{"date-parts":[["1978",2,1]]}}},{"id":2645,"uris":["http://zotero.org/users/8250957/items/825TENDU"],"itemData":{"id":2645,"type":"article-journal","abstract":"A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id":1048,"uris":["http://zotero.org/users/8250957/items/QK66CD5V"],"itemData":{"id":1048,"type":"article-journal","container-title":"Demography","DOI":"10.1007/BF03208469","ISSN":"0070-3370","issue":"1","journalAbbreviation":"Demography","page":"296-315","source":"Silverchair","title":"Standardized comparisons in population research","volume":"1","author":[{"family":"Kitagawa","given":"Evelyn M."}],"issued":{"date-parts":[["1964",3,1]]}}},{"id":1050,"uris":["http://zotero.org/users/8250957/items/BH3YMAKZ"],"itemData":{"id":1050,"type":"article-journal","abstract":"Volume 7 - Article 1 | Pages 1–14","container-title":"Demographic Research","ISSN":"1435-9871","language":"en","page":"1-14","source":"www.demographic-research.org","title":"Decomposing demographic change into direct vs. compositional components","volume":"7","author":[{"family":"Vaupel","given":"James W."},{"family":"Canudas-Romo","given":"Vladimir"}],"issued":{"date-parts":[["2002",7,2]]}}}],"schema":"https://github.com/citation-style-language/schema/raw/master/csl-citation.json"} </w:instrText>
      </w:r>
      <w:r w:rsidR="00A00A9C" w:rsidRPr="004B4763">
        <w:rPr>
          <w:color w:val="000000" w:themeColor="text1"/>
        </w:rPr>
        <w:fldChar w:fldCharType="separate"/>
      </w:r>
      <w:r w:rsidR="00E95306">
        <w:rPr>
          <w:noProof/>
          <w:color w:val="000000" w:themeColor="text1"/>
        </w:rPr>
        <w:t>(Andreev, Shkolnikov, and Begun 2002; Arriaga 1984; Caswell 1989; Das Gupta 1978; Horiuchi, Wilmoth, and Pletcher 2008; Kitagawa 1964; Vaupel and Canudas-Romo 2002)</w:t>
      </w:r>
      <w:r w:rsidR="00A00A9C" w:rsidRPr="004B4763">
        <w:rPr>
          <w:color w:val="000000" w:themeColor="text1"/>
        </w:rPr>
        <w:fldChar w:fldCharType="end"/>
      </w:r>
      <w:r w:rsidR="004B4763" w:rsidRPr="004B4763">
        <w:rPr>
          <w:color w:val="000000" w:themeColor="text1"/>
        </w:rPr>
        <w:t>. However, fewer techniques are available to researchers needing to estimate the contribution of different subpopulations to a demographic measure for the total population. This paper develops such a decomposition technique and discusses one practical application.</w:t>
      </w:r>
    </w:p>
    <w:p w14:paraId="578CEFE3" w14:textId="77777777" w:rsidR="00A00A9C" w:rsidRDefault="00A00A9C" w:rsidP="008215CA">
      <w:pPr>
        <w:spacing w:line="480" w:lineRule="auto"/>
        <w:rPr>
          <w:b/>
          <w:bCs/>
          <w:color w:val="000000" w:themeColor="text1"/>
        </w:rPr>
      </w:pPr>
    </w:p>
    <w:p w14:paraId="678FA619" w14:textId="23027FAA" w:rsidR="008215CA" w:rsidRPr="008215CA" w:rsidRDefault="008215CA" w:rsidP="008215CA">
      <w:pPr>
        <w:spacing w:line="480" w:lineRule="auto"/>
        <w:rPr>
          <w:b/>
          <w:bCs/>
          <w:color w:val="000000" w:themeColor="text1"/>
        </w:rPr>
      </w:pPr>
      <w:r w:rsidRPr="008215CA">
        <w:rPr>
          <w:b/>
          <w:bCs/>
          <w:color w:val="000000" w:themeColor="text1"/>
        </w:rPr>
        <w:t>Relationship</w:t>
      </w:r>
    </w:p>
    <w:p w14:paraId="352A8D70" w14:textId="434FCD9C" w:rsidR="008215CA" w:rsidRDefault="008215CA" w:rsidP="008215CA">
      <w:pPr>
        <w:spacing w:line="480" w:lineRule="auto"/>
        <w:rPr>
          <w:color w:val="000000" w:themeColor="text1"/>
        </w:rPr>
      </w:pPr>
      <w:r w:rsidRPr="008646FD">
        <w:rPr>
          <w:color w:val="000000" w:themeColor="text1"/>
        </w:rPr>
        <w:t xml:space="preserve">Given a population </w:t>
      </w:r>
      <m:oMath>
        <m:r>
          <w:rPr>
            <w:rFonts w:ascii="Cambria Math" w:hAnsi="Cambria Math"/>
            <w:color w:val="000000" w:themeColor="text1"/>
          </w:rPr>
          <m:t>(T)</m:t>
        </m:r>
      </m:oMath>
      <w:r w:rsidRPr="008646FD">
        <w:rPr>
          <w:color w:val="000000" w:themeColor="text1"/>
        </w:rPr>
        <w:t xml:space="preserve"> and a partition of the population into </w:t>
      </w:r>
      <w:r>
        <w:rPr>
          <w:color w:val="000000" w:themeColor="text1"/>
        </w:rPr>
        <w:t xml:space="preserve">mutually exclusive </w:t>
      </w:r>
      <w:r w:rsidRPr="008646FD">
        <w:rPr>
          <w:color w:val="000000" w:themeColor="text1"/>
        </w:rPr>
        <w:t>subgroups</w:t>
      </w:r>
      <w:r>
        <w:rPr>
          <w:color w:val="000000" w:themeColor="text1"/>
        </w:rPr>
        <w:t xml:space="preserve">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Pr="008646FD">
        <w:rPr>
          <w:color w:val="000000" w:themeColor="text1"/>
        </w:rPr>
        <w:t xml:space="preserve">, </w:t>
      </w:r>
      <w:r>
        <w:rPr>
          <w:color w:val="000000" w:themeColor="text1"/>
        </w:rPr>
        <w:t xml:space="preserve">how can we compute the contribution of subgroups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life table functions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oMath>
      <w:r>
        <w:rPr>
          <w:color w:val="000000" w:themeColor="text1"/>
        </w:rPr>
        <w:t xml:space="preserve">) starting from the life table of a baseline population </w:t>
      </w:r>
      <m:oMath>
        <m:r>
          <w:rPr>
            <w:rFonts w:ascii="Cambria Math" w:hAnsi="Cambria Math"/>
            <w:color w:val="000000" w:themeColor="text1"/>
          </w:rPr>
          <m:t>(B)</m:t>
        </m:r>
      </m:oMath>
      <w:r>
        <w:rPr>
          <w:color w:val="000000" w:themeColor="text1"/>
        </w:rPr>
        <w:t>? This paper proposes a decomposition method to answer this question and proves some of its properties. It then illustrates one practical application of the proposed decomposition.</w:t>
      </w:r>
    </w:p>
    <w:p w14:paraId="3C80D7EE" w14:textId="77777777" w:rsidR="008215CA" w:rsidRDefault="008215CA" w:rsidP="008215CA">
      <w:pPr>
        <w:spacing w:line="480" w:lineRule="auto"/>
        <w:rPr>
          <w:color w:val="000000" w:themeColor="text1"/>
        </w:rPr>
      </w:pPr>
    </w:p>
    <w:p w14:paraId="35E8A1EC" w14:textId="6DD89D89" w:rsidR="008215CA" w:rsidRDefault="008215CA" w:rsidP="008215CA">
      <w:pPr>
        <w:spacing w:line="480" w:lineRule="auto"/>
        <w:rPr>
          <w:color w:val="000000" w:themeColor="text1"/>
        </w:rPr>
      </w:pPr>
      <w:r>
        <w:rPr>
          <w:color w:val="000000" w:themeColor="text1"/>
        </w:rPr>
        <w:t xml:space="preserve">The basic form of the decomposition method developed in this paper was originally proposed by </w:t>
      </w:r>
      <w:proofErr w:type="spellStart"/>
      <w:r>
        <w:rPr>
          <w:color w:val="000000" w:themeColor="text1"/>
        </w:rPr>
        <w:t>Hendi</w:t>
      </w:r>
      <w:proofErr w:type="spellEnd"/>
      <w:r>
        <w:rPr>
          <w:color w:val="000000" w:themeColor="text1"/>
        </w:rPr>
        <w:t xml:space="preserve"> and Ho (2021) to investigate the contribution of the foreign born population to the national life expectancy at age 1 in the United States </w:t>
      </w:r>
      <w:r>
        <w:rPr>
          <w:color w:val="000000" w:themeColor="text1"/>
        </w:rPr>
        <w:fldChar w:fldCharType="begin"/>
      </w:r>
      <w:r w:rsidR="000166D5">
        <w:rPr>
          <w:color w:val="000000" w:themeColor="text1"/>
        </w:rPr>
        <w:instrText xml:space="preserve"> ADDIN ZOTERO_ITEM CSL_CITATION {"citationID":"rair1U22","properties":{"formattedCitation":"(Hendi and Ho 2021)","plainCitation":"(Hendi and Ho 2021)","noteIndex":0},"citationItems":[{"id":909,"uris":["http://zotero.org/users/8250957/items/B23WS3BF"],"itemData":{"id":909,"type":"article-journal","abstract":"Despite the immigrant mortality advantage and the increasing share of the population born abroad, relatively little is known about how immigration has impacted trends in US life expectancy. How immigrants contribute to national life expectancy trends is of increasing interest, particularly in the context of an unprecedented stagnation in American mortality. We find that immigration increases US life expectancy by 1.5 years for men and 1.4 years for women. Over half of these contributions occur at the prime working ages of 25–64. The difference between foreign-born and US-born mortality has grown substantially since 1990, with the ratio of US-born to foreign-born mortality rates nearly doubling by 2017. In that year, foreign-born life expectancy reached 81.4 and 85.7 years for men and women, respectively—7.0 and 6.2 years higher than their US-origin counterparts. These life expectancy levels are remarkable by most standards. Foreign-born male life expectancy exceeds that of Swiss men, the world leaders in male life expectancy. Life expectancy for foreign-born women is close to that of Japanese women, the world leaders in female life expectancy. The widening mortality difference between the US-born and foreign-born populations, coupled with an increase in the share of the population born abroad, has been responsible for much of the increase in national life expectancy in recent years. Between 2007 and 2017, foreign-born men and women were responsible for 44% and 60% of national life expectancy improvements. Between 2010 and 2017, immigrants experienced gains while the US-born experienced declines in life expectancy. Thus, nearly all of the post-2010 mortality stagnation is due to adverse trends among the US-born. Without immigrants and their children, national life expectancy in 2017 would be reduced to its 2003 levels. These findings demonstrate that immigration acts to bolster American life expectancy, with particularly valuable contributions at the prime working ages.","container-title":"SSM - Population Health","DOI":"10.1016/j.ssmph.2021.100914","ISSN":"2352-8273","journalAbbreviation":"SSM - Population Health","language":"en","page":"100914","source":"ScienceDirect","title":"Immigration and improvements in American life expectancy","volume":"15","author":[{"family":"Hendi","given":"Arun S."},{"family":"Ho","given":"Jessica Y."}],"issued":{"date-parts":[["2021",9,1]]}}}],"schema":"https://github.com/citation-style-language/schema/raw/master/csl-citation.json"} </w:instrText>
      </w:r>
      <w:r>
        <w:rPr>
          <w:color w:val="000000" w:themeColor="text1"/>
        </w:rPr>
        <w:fldChar w:fldCharType="separate"/>
      </w:r>
      <w:r>
        <w:rPr>
          <w:noProof/>
          <w:color w:val="000000" w:themeColor="text1"/>
        </w:rPr>
        <w:t>(Hendi and Ho 2021)</w:t>
      </w:r>
      <w:r>
        <w:rPr>
          <w:color w:val="000000" w:themeColor="text1"/>
        </w:rPr>
        <w:fldChar w:fldCharType="end"/>
      </w:r>
      <w:r>
        <w:rPr>
          <w:color w:val="000000" w:themeColor="text1"/>
        </w:rPr>
        <w:t xml:space="preserve">. In that context, </w:t>
      </w:r>
      <w:proofErr w:type="spellStart"/>
      <w:r>
        <w:rPr>
          <w:color w:val="000000" w:themeColor="text1"/>
        </w:rPr>
        <w:t>Hendi</w:t>
      </w:r>
      <w:proofErr w:type="spellEnd"/>
      <w:r>
        <w:rPr>
          <w:color w:val="000000" w:themeColor="text1"/>
        </w:rPr>
        <w:t xml:space="preserve"> and Ho considered a total population </w:t>
      </w:r>
      <m:oMath>
        <m:r>
          <w:rPr>
            <w:rFonts w:ascii="Cambria Math" w:hAnsi="Cambria Math"/>
            <w:color w:val="000000" w:themeColor="text1"/>
          </w:rPr>
          <m:t>T</m:t>
        </m:r>
      </m:oMath>
      <w:r>
        <w:rPr>
          <w:color w:val="000000" w:themeColor="text1"/>
        </w:rPr>
        <w:t xml:space="preserve"> including all residents of the United States, a baseline population </w:t>
      </w:r>
      <m:oMath>
        <m:r>
          <w:rPr>
            <w:rFonts w:ascii="Cambria Math" w:hAnsi="Cambria Math"/>
            <w:color w:val="000000" w:themeColor="text1"/>
          </w:rPr>
          <m:t>B</m:t>
        </m:r>
      </m:oMath>
      <w:r>
        <w:rPr>
          <w:color w:val="000000" w:themeColor="text1"/>
        </w:rPr>
        <w:t xml:space="preserve"> including only US-born residents, and a single contributing group </w:t>
      </w:r>
      <m:oMath>
        <m:r>
          <w:rPr>
            <w:rFonts w:ascii="Cambria Math" w:hAnsi="Cambria Math"/>
            <w:color w:val="000000" w:themeColor="text1"/>
          </w:rPr>
          <m:t>G</m:t>
        </m:r>
      </m:oMath>
      <w:r>
        <w:rPr>
          <w:color w:val="000000" w:themeColor="text1"/>
        </w:rPr>
        <w:t xml:space="preserve"> including all foreign-born residents. They proposed to compute the contribution of the foreign-born population to the national life expectancy at age 1 as:</w:t>
      </w:r>
    </w:p>
    <w:p w14:paraId="3898BA1E" w14:textId="77777777" w:rsidR="008215CA" w:rsidRDefault="008215CA" w:rsidP="008215CA">
      <w:pPr>
        <w:spacing w:line="480" w:lineRule="auto"/>
        <w:rPr>
          <w:color w:val="000000" w:themeColor="text1"/>
        </w:rPr>
      </w:pPr>
    </w:p>
    <w:p w14:paraId="5628F381" w14:textId="77777777" w:rsidR="008215CA" w:rsidRPr="000848D6" w:rsidRDefault="00000000" w:rsidP="008215CA">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m:oMathPara>
    </w:p>
    <w:p w14:paraId="7C127733" w14:textId="77777777" w:rsidR="008215CA" w:rsidRPr="008646FD" w:rsidRDefault="008215CA" w:rsidP="008215CA">
      <w:pPr>
        <w:spacing w:line="480" w:lineRule="auto"/>
        <w:rPr>
          <w:color w:val="000000" w:themeColor="text1"/>
        </w:rPr>
      </w:pPr>
    </w:p>
    <w:p w14:paraId="6B73C979" w14:textId="77777777" w:rsidR="008215CA" w:rsidRDefault="008215CA" w:rsidP="008215CA">
      <w:pPr>
        <w:spacing w:line="480" w:lineRule="auto"/>
        <w:rPr>
          <w:color w:val="000000" w:themeColor="text1"/>
        </w:rPr>
      </w:pPr>
      <w:r w:rsidRPr="00BD050C">
        <w:rPr>
          <w:color w:val="000000" w:themeColor="text1"/>
        </w:rPr>
        <w:t xml:space="preserve">Where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sidRPr="00BD050C">
        <w:rPr>
          <w:color w:val="000000" w:themeColor="text1"/>
        </w:rPr>
        <w:t xml:space="preserve"> is the life expectancy at age 1 for the total population and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sidRPr="00BD050C">
        <w:rPr>
          <w:color w:val="000000" w:themeColor="text1"/>
        </w:rPr>
        <w:t xml:space="preserve"> is the life expectancy at age 1 for</w:t>
      </w:r>
      <w:r>
        <w:rPr>
          <w:color w:val="000000" w:themeColor="text1"/>
        </w:rPr>
        <w:t xml:space="preserve"> US-born residents (the baseline population</w:t>
      </w:r>
      <w:r w:rsidRPr="0067517C">
        <w:rPr>
          <w:color w:val="000000" w:themeColor="text1"/>
        </w:rPr>
        <w:t>). The logic behind this formula is clear, the difference between the life expectancy of all US residents and US-born residents must be explained by the contribution of the foreign-born population.</w:t>
      </w:r>
      <w:r>
        <w:rPr>
          <w:color w:val="000000" w:themeColor="text1"/>
        </w:rPr>
        <w:t xml:space="preserve"> However, using </w:t>
      </w:r>
      <w:proofErr w:type="spellStart"/>
      <w:r>
        <w:rPr>
          <w:color w:val="000000" w:themeColor="text1"/>
        </w:rPr>
        <w:t>Hendi</w:t>
      </w:r>
      <w:proofErr w:type="spellEnd"/>
      <w:r>
        <w:rPr>
          <w:color w:val="000000" w:themeColor="text1"/>
        </w:rPr>
        <w:t xml:space="preserve"> and Ho (2020) example, if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is the vector of period age-specific mortality rates for US-born residents,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oMath>
      <w:r>
        <w:rPr>
          <w:color w:val="000000" w:themeColor="text1"/>
        </w:rPr>
        <w:t xml:space="preserve"> is the vector of period age-specific mortality rates for the foreign-born residents, and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oMath>
      <w:r>
        <w:rPr>
          <w:color w:val="000000" w:themeColor="text1"/>
        </w:rPr>
        <w:t xml:space="preserve"> is the vector of age-specific mortality rates for the total population, and assuming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oMath>
      <w:r>
        <w:rPr>
          <w:color w:val="000000" w:themeColor="text1"/>
        </w:rPr>
        <w:t>, there is no guarantee that:</w:t>
      </w:r>
    </w:p>
    <w:p w14:paraId="5405212A" w14:textId="77777777" w:rsidR="008215CA" w:rsidRDefault="008215CA" w:rsidP="008215CA">
      <w:pPr>
        <w:spacing w:line="480" w:lineRule="auto"/>
        <w:rPr>
          <w:color w:val="000000" w:themeColor="text1"/>
        </w:rPr>
      </w:pPr>
    </w:p>
    <w:p w14:paraId="63D62BFC" w14:textId="77777777" w:rsidR="008215CA" w:rsidRPr="000B51B2" w:rsidRDefault="00000000" w:rsidP="008215CA">
      <w:pPr>
        <w:spacing w:line="480" w:lineRule="auto"/>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oMath>
      </m:oMathPara>
    </w:p>
    <w:p w14:paraId="2A6259AF" w14:textId="77777777" w:rsidR="008215CA" w:rsidRPr="00FF30E3" w:rsidRDefault="008215CA" w:rsidP="008215CA">
      <w:pPr>
        <w:spacing w:line="480" w:lineRule="auto"/>
        <w:rPr>
          <w:color w:val="000000" w:themeColor="text1"/>
        </w:rPr>
      </w:pPr>
    </w:p>
    <w:p w14:paraId="1A176113" w14:textId="77777777" w:rsidR="008215CA" w:rsidRDefault="008215CA" w:rsidP="008215CA">
      <w:pPr>
        <w:spacing w:line="480" w:lineRule="auto"/>
        <w:rPr>
          <w:color w:val="000000" w:themeColor="text1"/>
        </w:rPr>
      </w:pPr>
      <w:r>
        <w:rPr>
          <w:color w:val="000000" w:themeColor="text1"/>
        </w:rPr>
        <w:t xml:space="preserve">Where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oMath>
      <w:r>
        <w:rPr>
          <w:color w:val="000000" w:themeColor="text1"/>
        </w:rPr>
        <w:t xml:space="preserve"> are vectors of age-specific weights proportional to the share of the foreign-born and US-born in the population, respectively, and such that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=1 ∀i</m:t>
        </m:r>
      </m:oMath>
      <w:r>
        <w:rPr>
          <w:color w:val="000000" w:themeColor="text1"/>
        </w:rPr>
        <w:t>. The two inequalities fail to hold because a priori:</w:t>
      </w:r>
    </w:p>
    <w:p w14:paraId="0DF3C8DB" w14:textId="77777777" w:rsidR="008215CA" w:rsidRDefault="008215CA" w:rsidP="008215CA">
      <w:pPr>
        <w:spacing w:line="480" w:lineRule="auto"/>
        <w:rPr>
          <w:color w:val="000000" w:themeColor="text1"/>
        </w:rPr>
      </w:pPr>
    </w:p>
    <w:p w14:paraId="5C6D40D0" w14:textId="2992241C" w:rsidR="008215CA" w:rsidRDefault="00000000" w:rsidP="008215C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665C61CC" w14:textId="77777777" w:rsidR="008215CA" w:rsidRDefault="008215CA" w:rsidP="008215CA">
      <w:pPr>
        <w:spacing w:line="480" w:lineRule="auto"/>
        <w:rPr>
          <w:color w:val="000000" w:themeColor="text1"/>
        </w:rPr>
      </w:pPr>
    </w:p>
    <w:p w14:paraId="0120C114" w14:textId="77777777" w:rsidR="008215CA" w:rsidRDefault="008215CA" w:rsidP="008215C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minimums and:</w:t>
      </w:r>
    </w:p>
    <w:p w14:paraId="609BDA4E" w14:textId="77777777" w:rsidR="008215CA" w:rsidRDefault="008215CA" w:rsidP="008215CA">
      <w:pPr>
        <w:spacing w:line="480" w:lineRule="auto"/>
        <w:rPr>
          <w:color w:val="000000" w:themeColor="text1"/>
        </w:rPr>
      </w:pPr>
    </w:p>
    <w:p w14:paraId="5612CB76" w14:textId="507B69AE" w:rsidR="008215CA" w:rsidRDefault="00000000" w:rsidP="008215C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r>
                <w:rPr>
                  <w:rFonts w:ascii="Cambria Math" w:hAnsi="Cambria Math"/>
                  <w:color w:val="000000" w:themeColor="text1"/>
                </w:rPr>
                <m:t xml:space="preserve"> </m:t>
              </m:r>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2A144D1A" w14:textId="77777777" w:rsidR="008215CA" w:rsidRDefault="008215CA" w:rsidP="008215CA">
      <w:pPr>
        <w:spacing w:line="480" w:lineRule="auto"/>
        <w:rPr>
          <w:color w:val="000000" w:themeColor="text1"/>
        </w:rPr>
      </w:pPr>
    </w:p>
    <w:p w14:paraId="67DEB31D" w14:textId="77777777" w:rsidR="008215CA" w:rsidRDefault="008215CA" w:rsidP="008215C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maximums. Equivalently, as long as the two sets of mortality rates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cross at some point (i.e. </w:t>
      </w:r>
      <m:oMath>
        <m:r>
          <w:rPr>
            <w:rFonts w:ascii="Cambria Math" w:hAnsi="Cambria Math"/>
            <w:color w:val="000000" w:themeColor="text1"/>
          </w:rPr>
          <m:t xml:space="preserve">∃i,j  s.t.   </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 xml:space="preserve">   x</m:t>
                </m:r>
              </m:e>
              <m:sub>
                <m:r>
                  <w:rPr>
                    <w:rFonts w:ascii="Cambria Math" w:hAnsi="Cambria Math"/>
                    <w:color w:val="000000" w:themeColor="text1"/>
                  </w:rPr>
                  <m:t>j</m:t>
                </m:r>
              </m:sub>
              <m:sup>
                <m:r>
                  <w:rPr>
                    <w:rFonts w:ascii="Cambria Math" w:hAnsi="Cambria Math"/>
                    <w:color w:val="000000" w:themeColor="text1"/>
                  </w:rPr>
                  <m:t>FB</m:t>
                </m:r>
              </m:sup>
            </m:sSubSup>
            <m:r>
              <w:rPr>
                <w:rFonts w:ascii="Cambria Math" w:hAnsi="Cambria Math"/>
                <w:color w:val="000000" w:themeColor="text1"/>
              </w:rPr>
              <m:t>&lt;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USB</m:t>
                </m:r>
              </m:sup>
            </m:sSubSup>
          </m:e>
        </m:nary>
        <m:r>
          <w:rPr>
            <w:rFonts w:ascii="Cambria Math" w:hAnsi="Cambria Math"/>
            <w:color w:val="000000" w:themeColor="text1"/>
          </w:rPr>
          <m:t xml:space="preserve"> )</m:t>
        </m:r>
      </m:oMath>
      <w:r>
        <w:rPr>
          <w:color w:val="000000" w:themeColor="text1"/>
        </w:rPr>
        <w:t xml:space="preserve">, there will </w:t>
      </w:r>
      <w:r>
        <w:rPr>
          <w:color w:val="000000" w:themeColor="text1"/>
        </w:rPr>
        <w:lastRenderedPageBreak/>
        <w:t xml:space="preserve">be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&gt;</m:t>
        </m:r>
        <m:r>
          <m:rPr>
            <m:sty m:val="p"/>
          </m:rPr>
          <w:rPr>
            <w:rFonts w:ascii="Cambria Math" w:hAnsi="Cambria Math"/>
            <w:color w:val="000000" w:themeColor="text1"/>
          </w:rPr>
          <m:t>max⁡</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and also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&lt;</m:t>
        </m:r>
        <m:r>
          <m:rPr>
            <m:sty m:val="p"/>
          </m:rPr>
          <w:rPr>
            <w:rFonts w:ascii="Cambria Math" w:hAnsi="Cambria Math"/>
            <w:color w:val="000000" w:themeColor="text1"/>
          </w:rPr>
          <m:t>min⁡</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The failure of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Pr>
          <w:color w:val="000000" w:themeColor="text1"/>
        </w:rPr>
        <w:t xml:space="preserve"> to be bounded by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has two consequences that affect how we think of the contribution of a group </w:t>
      </w:r>
      <m:oMath>
        <m:r>
          <w:rPr>
            <w:rFonts w:ascii="Cambria Math" w:hAnsi="Cambria Math"/>
            <w:color w:val="000000" w:themeColor="text1"/>
          </w:rPr>
          <m:t>G</m:t>
        </m:r>
      </m:oMath>
      <w:r>
        <w:rPr>
          <w:color w:val="000000" w:themeColor="text1"/>
        </w:rPr>
        <w:t xml:space="preserve"> to the total life-expectancy given a certain baseline population:</w:t>
      </w:r>
    </w:p>
    <w:p w14:paraId="658A431D" w14:textId="77777777" w:rsidR="008215CA" w:rsidRDefault="008215CA" w:rsidP="008215CA">
      <w:pPr>
        <w:spacing w:line="480" w:lineRule="auto"/>
        <w:rPr>
          <w:color w:val="000000" w:themeColor="text1"/>
        </w:rPr>
      </w:pPr>
    </w:p>
    <w:p w14:paraId="043D98BD" w14:textId="77777777" w:rsidR="008215CA" w:rsidRPr="00FF30E3" w:rsidRDefault="008215CA" w:rsidP="008215CA">
      <w:pPr>
        <w:pStyle w:val="ListParagraph"/>
        <w:numPr>
          <w:ilvl w:val="0"/>
          <w:numId w:val="10"/>
        </w:numPr>
        <w:spacing w:line="480" w:lineRule="auto"/>
        <w:rPr>
          <w:color w:val="000000" w:themeColor="text1"/>
        </w:rPr>
      </w:pPr>
      <w:r>
        <w:rPr>
          <w:color w:val="000000" w:themeColor="text1"/>
        </w:rPr>
        <w:t xml:space="preserve">It can happen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Pr>
          <w:color w:val="000000" w:themeColor="text1"/>
        </w:rPr>
        <w:t xml:space="preserve">. In words, a group </w:t>
      </w:r>
      <m:oMath>
        <m:r>
          <w:rPr>
            <w:rFonts w:ascii="Cambria Math" w:hAnsi="Cambria Math"/>
            <w:color w:val="000000" w:themeColor="text1"/>
          </w:rPr>
          <m:t>G</m:t>
        </m:r>
      </m:oMath>
      <w:r>
        <w:rPr>
          <w:color w:val="000000" w:themeColor="text1"/>
        </w:rPr>
        <w:t xml:space="preserve"> could contribute more years to the total life expectancy than the difference between its life expectancy and that of the baseline population.</w:t>
      </w:r>
    </w:p>
    <w:p w14:paraId="4A193F09" w14:textId="77777777" w:rsidR="008215CA" w:rsidRDefault="008215CA" w:rsidP="008215CA">
      <w:pPr>
        <w:pStyle w:val="ListParagraph"/>
        <w:numPr>
          <w:ilvl w:val="0"/>
          <w:numId w:val="10"/>
        </w:numPr>
        <w:spacing w:line="480" w:lineRule="auto"/>
        <w:rPr>
          <w:color w:val="000000" w:themeColor="text1"/>
        </w:rPr>
      </w:pPr>
      <w:r>
        <w:rPr>
          <w:color w:val="000000" w:themeColor="text1"/>
        </w:rPr>
        <w:t xml:space="preserve">Suppose we exchange the role of the contributing group </w:t>
      </w:r>
      <m:oMath>
        <m:r>
          <w:rPr>
            <w:rFonts w:ascii="Cambria Math" w:hAnsi="Cambria Math"/>
            <w:color w:val="000000" w:themeColor="text1"/>
          </w:rPr>
          <m:t>G</m:t>
        </m:r>
      </m:oMath>
      <w:r>
        <w:rPr>
          <w:color w:val="000000" w:themeColor="text1"/>
        </w:rPr>
        <w:t xml:space="preserve"> and that of the baseline population </w:t>
      </w:r>
      <m:oMath>
        <m:r>
          <w:rPr>
            <w:rFonts w:ascii="Cambria Math" w:hAnsi="Cambria Math"/>
            <w:color w:val="000000" w:themeColor="text1"/>
          </w:rPr>
          <m:t>B</m:t>
        </m:r>
      </m:oMath>
      <w:r>
        <w:rPr>
          <w:color w:val="000000" w:themeColor="text1"/>
        </w:rPr>
        <w:t xml:space="preserve">. We would then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oMath>
      <w:r>
        <w:rPr>
          <w:color w:val="000000" w:themeColor="text1"/>
        </w:rPr>
        <w:t xml:space="preserve">. It is possible that both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&gt;0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&gt;0</m:t>
        </m:r>
      </m:oMath>
      <w:r>
        <w:rPr>
          <w:color w:val="000000" w:themeColor="text1"/>
        </w:rPr>
        <w:t xml:space="preserve"> even though </w:t>
      </w:r>
      <m:oMath>
        <m:r>
          <w:rPr>
            <w:rFonts w:ascii="Cambria Math" w:hAnsi="Cambria Math"/>
            <w:color w:val="000000" w:themeColor="text1"/>
          </w:rPr>
          <m:t>B</m:t>
        </m:r>
      </m:oMath>
      <w:r>
        <w:rPr>
          <w:color w:val="000000" w:themeColor="text1"/>
        </w:rPr>
        <w:t xml:space="preserve"> and </w:t>
      </w:r>
      <m:oMath>
        <m:r>
          <w:rPr>
            <w:rFonts w:ascii="Cambria Math" w:hAnsi="Cambria Math"/>
            <w:color w:val="000000" w:themeColor="text1"/>
          </w:rPr>
          <m:t>G</m:t>
        </m:r>
      </m:oMath>
      <w:r>
        <w:rPr>
          <w:color w:val="000000" w:themeColor="text1"/>
        </w:rPr>
        <w:t xml:space="preserve">, by definition, form the total population </w:t>
      </w:r>
      <m:oMath>
        <m:r>
          <w:rPr>
            <w:rFonts w:ascii="Cambria Math" w:hAnsi="Cambria Math"/>
            <w:color w:val="000000" w:themeColor="text1"/>
          </w:rPr>
          <m:t>T</m:t>
        </m:r>
      </m:oMath>
      <w:r>
        <w:rPr>
          <w:color w:val="000000" w:themeColor="text1"/>
        </w:rPr>
        <w:t xml:space="preserve">. Of course, it is also possible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&lt;0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&lt;0</m:t>
        </m:r>
      </m:oMath>
      <w:r>
        <w:rPr>
          <w:color w:val="000000" w:themeColor="text1"/>
        </w:rPr>
        <w:t>.</w:t>
      </w:r>
    </w:p>
    <w:p w14:paraId="459414D6" w14:textId="77777777" w:rsidR="008215CA" w:rsidRDefault="008215CA" w:rsidP="008215CA">
      <w:pPr>
        <w:spacing w:line="480" w:lineRule="auto"/>
        <w:rPr>
          <w:color w:val="000000" w:themeColor="text1"/>
        </w:rPr>
      </w:pPr>
    </w:p>
    <w:p w14:paraId="4E972281" w14:textId="54BBFB85" w:rsidR="000848D6" w:rsidRDefault="008215CA" w:rsidP="00856A10">
      <w:pPr>
        <w:spacing w:line="480" w:lineRule="auto"/>
        <w:rPr>
          <w:color w:val="000000" w:themeColor="text1"/>
        </w:rPr>
      </w:pPr>
      <w:r>
        <w:rPr>
          <w:color w:val="000000" w:themeColor="text1"/>
        </w:rPr>
        <w:t xml:space="preserve">Given these two facts, it is important to understand that the contribution of group </w:t>
      </w:r>
      <m:oMath>
        <m:r>
          <w:rPr>
            <w:rFonts w:ascii="Cambria Math" w:hAnsi="Cambria Math"/>
            <w:color w:val="000000" w:themeColor="text1"/>
          </w:rPr>
          <m:t>G</m:t>
        </m:r>
      </m:oMath>
      <w:r>
        <w:rPr>
          <w:color w:val="000000" w:themeColor="text1"/>
        </w:rPr>
        <w:t xml:space="preserve"> computed with the Hendi and Ho (2020) formula, depends on the mortality rates of the baseline population and thus on the choice of a baseline. More precisely, the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does not capture the effect of group </w:t>
      </w:r>
      <m:oMath>
        <m:r>
          <w:rPr>
            <w:rFonts w:ascii="Cambria Math" w:hAnsi="Cambria Math"/>
            <w:color w:val="000000" w:themeColor="text1"/>
          </w:rPr>
          <m:t>G</m:t>
        </m:r>
      </m:oMath>
      <w:r>
        <w:rPr>
          <w:color w:val="000000" w:themeColor="text1"/>
        </w:rPr>
        <w:t xml:space="preserve"> “in isolation” but also its interaction with the mortality conditions of the baseline population. Keeping this is mind, when the choice of a baseline does not have strong theoretical foundations, researchers should test the robustness of the results to the choice of a different baseline and, if mayor differences are found, discuss why it might be the case. While the choice of a baseline may seem intuitive in the case of two populations, it will become less obvious when multiple groups are considered, such as populations living in different Census Divisions, or in counties classified along the urban-rural continuum.</w:t>
      </w:r>
    </w:p>
    <w:p w14:paraId="734401D8" w14:textId="77777777" w:rsidR="000166D5" w:rsidRDefault="000166D5" w:rsidP="00856A10">
      <w:pPr>
        <w:spacing w:line="480" w:lineRule="auto"/>
        <w:rPr>
          <w:color w:val="000000" w:themeColor="text1"/>
        </w:rPr>
      </w:pPr>
    </w:p>
    <w:p w14:paraId="2639BAF7" w14:textId="34AE22CB" w:rsidR="000166D5" w:rsidRDefault="000166D5" w:rsidP="00856A10">
      <w:pPr>
        <w:spacing w:line="480" w:lineRule="auto"/>
        <w:rPr>
          <w:color w:val="000000" w:themeColor="text1"/>
        </w:rPr>
      </w:pPr>
      <w:r>
        <w:rPr>
          <w:color w:val="000000" w:themeColor="text1"/>
        </w:rPr>
        <w:t xml:space="preserve">Similar issues of ordering affecting the decomposition results arise in other decomposition techniques as well such as the Step-Wise decomposition </w:t>
      </w:r>
      <w:r>
        <w:rPr>
          <w:color w:val="000000" w:themeColor="text1"/>
        </w:rPr>
        <w:fldChar w:fldCharType="begin"/>
      </w:r>
      <w:r w:rsidR="00E95306">
        <w:rPr>
          <w:color w:val="000000" w:themeColor="text1"/>
        </w:rPr>
        <w:instrText xml:space="preserve"> ADDIN ZOTERO_ITEM CSL_CITATION {"citationID":"9Rry9rQd","properties":{"formattedCitation":"(Andreev et al. 2002)","plainCitation":"(Andreev et al. 2002)","noteIndex":0},"citationItems":[{"id":"S9LI65xL/mKOMXE6Y","uris":["http://zotero.org/users/8250957/items/DSEQELWC"],"itemData":{"id":1049,"type":"article-journal","abstract":"A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Z."}],"issued":{"date-parts":[["2002"]]}}}],"schema":"https://github.com/citation-style-language/schema/raw/master/csl-citation.json"} </w:instrText>
      </w:r>
      <w:r>
        <w:rPr>
          <w:color w:val="000000" w:themeColor="text1"/>
        </w:rPr>
        <w:fldChar w:fldCharType="separate"/>
      </w:r>
      <w:r w:rsidR="00E95306">
        <w:rPr>
          <w:noProof/>
          <w:color w:val="000000" w:themeColor="text1"/>
        </w:rPr>
        <w:t>(Andreev et al. 2002)</w:t>
      </w:r>
      <w:r>
        <w:rPr>
          <w:color w:val="000000" w:themeColor="text1"/>
        </w:rPr>
        <w:fldChar w:fldCharType="end"/>
      </w:r>
      <w:r>
        <w:rPr>
          <w:color w:val="000000" w:themeColor="text1"/>
        </w:rPr>
        <w:t xml:space="preserve"> and Arriaga’s decomposition </w:t>
      </w:r>
      <w:r>
        <w:rPr>
          <w:color w:val="000000" w:themeColor="text1"/>
        </w:rPr>
        <w:fldChar w:fldCharType="begin"/>
      </w:r>
      <w:r>
        <w:rPr>
          <w:color w:val="000000" w:themeColor="text1"/>
        </w:rPr>
        <w:instrText xml:space="preserve"> ADDIN ZOTERO_ITEM CSL_CITATION {"citationID":"dGA5mbLg","properties":{"formattedCitation":"(Arriaga 1984)","plainCitation":"(Arriaga 1984)","noteIndex":0},"citationItems":[{"id":854,"uris":["http://zotero.org/users/8250957/items/QRAANWDQ"],"itemData":{"id":854,"type":"article-journal","abstract":"A set of new indices for interpreting change in life expectancies, as well as a technique for explaining change in life expectancies by change in mortality at each age group are presented in the paper. The indices, as well as the new technique for explaining the differences in life expectancies, have been tested and examples using United States life tables are presented. The technique for explaining life expectancy differentials can be used for analyzing change in mortality or mortality differentials by sex, ethnicity, region, or any other subpopulations. The technique can be applied to life expectancies at birth or temporary life expectancies between any desirable ages.","container-title":"Demography","DOI":"10.2307/2061029","ISSN":"1533-7790","issue":"1","journalAbbreviation":"Demography","language":"en","page":"83-96","source":"Springer Link","title":"Measuring and explaining the change in life expectancies","volume":"21","author":[{"family":"Arriaga","given":"Eduardo E."}],"issued":{"date-parts":[["1984",2,1]]}}}],"schema":"https://github.com/citation-style-language/schema/raw/master/csl-citation.json"} </w:instrText>
      </w:r>
      <w:r>
        <w:rPr>
          <w:color w:val="000000" w:themeColor="text1"/>
        </w:rPr>
        <w:fldChar w:fldCharType="separate"/>
      </w:r>
      <w:r>
        <w:rPr>
          <w:noProof/>
          <w:color w:val="000000" w:themeColor="text1"/>
        </w:rPr>
        <w:t>(Arriaga 1984)</w:t>
      </w:r>
      <w:r>
        <w:rPr>
          <w:color w:val="000000" w:themeColor="text1"/>
        </w:rPr>
        <w:fldChar w:fldCharType="end"/>
      </w:r>
      <w:r>
        <w:rPr>
          <w:color w:val="000000" w:themeColor="text1"/>
        </w:rPr>
        <w:t xml:space="preserve">. </w:t>
      </w:r>
      <w:r w:rsidR="00C2562D">
        <w:rPr>
          <w:color w:val="000000" w:themeColor="text1"/>
        </w:rPr>
        <w:t>These issues</w:t>
      </w:r>
      <w:r>
        <w:rPr>
          <w:color w:val="000000" w:themeColor="text1"/>
        </w:rPr>
        <w:t xml:space="preserve"> have been usually solved by averaging over different orderings </w:t>
      </w:r>
      <w:r w:rsidR="00C2562D">
        <w:rPr>
          <w:color w:val="000000" w:themeColor="text1"/>
        </w:rPr>
        <w:fldChar w:fldCharType="begin"/>
      </w:r>
      <w:r w:rsidR="00E95306">
        <w:rPr>
          <w:color w:val="000000" w:themeColor="text1"/>
        </w:rPr>
        <w:instrText xml:space="preserve"> ADDIN ZOTERO_ITEM CSL_CITATION {"citationID":"mTrEEfsk","properties":{"formattedCitation":"(Andreev 1982; Andreev et al. 2002; Pressat 1985)","plainCitation":"(Andreev 1982; Andreev et al. 2002; Pressat 1985)","noteIndex":0},"citationItems":[{"id":2657,"uris":["http://zotero.org/users/8250957/items/MLFTPIYA"],"itemData":{"id":2657,"type":"article-journal","container-title":"Vestnik Statistiki","page":"42-47","title":"Metod komponent v analize prodoljitelnosty zjizni. [The method of components in the analysis of length of life]","volume":"9","author":[{"family":"Andreev","given":"Evgueni M."}],"issued":{"date-parts":[["1982"]]}}},{"id":"S9LI65xL/mKOMXE6Y","uris":["http://zotero.org/users/8250957/items/DSEQELWC"],"itemData":{"id":"cHiZulFV/2MDtPPay","type":"article-journal","abstract":"A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Z."}],"issued":{"date-parts":[["2002"]]}}},{"id":2658,"uris":["http://zotero.org/users/8250957/items/HTWKJMBZ"],"itemData":{"id":2658,"type":"article-journal","container-title":"Population (French Edition)","DOI":"10.2307/1532986","ISSN":"0032-4663","issue":"4/5","note":"publisher: Institut National d'Études Démographiques","page":"766-770","source":"JSTOR","title":"Contribution des écarts de mortalité par âge à la différence des vies moyennes","volume":"40","author":[{"family":"Pressat","given":"Roland"}],"issued":{"date-parts":[["1985"]]}}}],"schema":"https://github.com/citation-style-language/schema/raw/master/csl-citation.json"} </w:instrText>
      </w:r>
      <w:r w:rsidR="00C2562D">
        <w:rPr>
          <w:color w:val="000000" w:themeColor="text1"/>
        </w:rPr>
        <w:fldChar w:fldCharType="separate"/>
      </w:r>
      <w:r w:rsidR="00E95306">
        <w:rPr>
          <w:noProof/>
          <w:color w:val="000000" w:themeColor="text1"/>
        </w:rPr>
        <w:t xml:space="preserve">(Andreev 1982; Andreev et al. </w:t>
      </w:r>
      <w:r w:rsidR="00E95306">
        <w:rPr>
          <w:noProof/>
          <w:color w:val="000000" w:themeColor="text1"/>
        </w:rPr>
        <w:lastRenderedPageBreak/>
        <w:t>2002; Pressat 1985)</w:t>
      </w:r>
      <w:r w:rsidR="00C2562D">
        <w:rPr>
          <w:color w:val="000000" w:themeColor="text1"/>
        </w:rPr>
        <w:fldChar w:fldCharType="end"/>
      </w:r>
      <w:r w:rsidR="00C2562D">
        <w:rPr>
          <w:color w:val="000000" w:themeColor="text1"/>
        </w:rPr>
        <w:t xml:space="preserve"> which however becomes computationally more challeng</w:t>
      </w:r>
      <w:r w:rsidR="00E95306">
        <w:rPr>
          <w:color w:val="000000" w:themeColor="text1"/>
        </w:rPr>
        <w:t>ing</w:t>
      </w:r>
      <w:r w:rsidR="00C2562D">
        <w:rPr>
          <w:color w:val="000000" w:themeColor="text1"/>
        </w:rPr>
        <w:t xml:space="preserve"> as the possible number of orderings to consider increases.</w:t>
      </w:r>
    </w:p>
    <w:p w14:paraId="6C4160C8" w14:textId="77777777" w:rsidR="008215CA" w:rsidRDefault="008215CA" w:rsidP="00856A10">
      <w:pPr>
        <w:spacing w:line="480" w:lineRule="auto"/>
        <w:rPr>
          <w:color w:val="000000" w:themeColor="text1"/>
        </w:rPr>
      </w:pPr>
    </w:p>
    <w:p w14:paraId="64C1E80A" w14:textId="08BCA4AF" w:rsidR="000848D6" w:rsidRPr="000848D6" w:rsidRDefault="000848D6" w:rsidP="00856A10">
      <w:pPr>
        <w:spacing w:line="480" w:lineRule="auto"/>
        <w:rPr>
          <w:b/>
          <w:bCs/>
          <w:color w:val="000000" w:themeColor="text1"/>
        </w:rPr>
      </w:pPr>
      <w:r w:rsidRPr="000848D6">
        <w:rPr>
          <w:b/>
          <w:bCs/>
          <w:color w:val="000000" w:themeColor="text1"/>
        </w:rPr>
        <w:t xml:space="preserve">A Decomposition for </w:t>
      </w:r>
      <m:oMath>
        <m:r>
          <m:rPr>
            <m:sty m:val="bi"/>
          </m:rPr>
          <w:rPr>
            <w:rFonts w:ascii="Cambria Math" w:hAnsi="Cambria Math"/>
            <w:color w:val="000000" w:themeColor="text1"/>
          </w:rPr>
          <m:t>(N=2)</m:t>
        </m:r>
      </m:oMath>
    </w:p>
    <w:p w14:paraId="27E578D9" w14:textId="4A293AA6" w:rsidR="00307B50" w:rsidRDefault="00307B50" w:rsidP="00856A10">
      <w:pPr>
        <w:spacing w:line="480" w:lineRule="auto"/>
        <w:rPr>
          <w:color w:val="000000" w:themeColor="text1"/>
        </w:rPr>
      </w:pPr>
      <w:r>
        <w:rPr>
          <w:color w:val="000000" w:themeColor="text1"/>
        </w:rPr>
        <w:t>Let us consider a population</w:t>
      </w:r>
      <w:r w:rsidR="000848D6">
        <w:rPr>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T</m:t>
            </m:r>
          </m:e>
        </m:d>
      </m:oMath>
      <w:r>
        <w:rPr>
          <w:color w:val="000000" w:themeColor="text1"/>
        </w:rPr>
        <w:t xml:space="preserve"> that is composed of </w:t>
      </w:r>
      <w:r w:rsidR="000848D6">
        <w:rPr>
          <w:color w:val="000000" w:themeColor="text1"/>
        </w:rPr>
        <w:t xml:space="preserve">a baseline population </w:t>
      </w:r>
      <m:oMath>
        <m:r>
          <w:rPr>
            <w:rFonts w:ascii="Cambria Math" w:hAnsi="Cambria Math"/>
            <w:color w:val="000000" w:themeColor="text1"/>
          </w:rPr>
          <m:t>(B)</m:t>
        </m:r>
      </m:oMath>
      <w:r w:rsidR="000848D6">
        <w:rPr>
          <w:color w:val="000000" w:themeColor="text1"/>
        </w:rPr>
        <w:t xml:space="preserve"> and two mutually exclusive contributing 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0848D6">
        <w:rPr>
          <w:color w:val="000000" w:themeColor="text1"/>
        </w:rPr>
        <w:t>.</w:t>
      </w:r>
      <w:r w:rsidR="003575FF">
        <w:rPr>
          <w:color w:val="000000" w:themeColor="text1"/>
        </w:rPr>
        <w:t xml:space="preserve"> Let us also denote the population combining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as </w:t>
      </w:r>
      <m:oMath>
        <m:r>
          <w:rPr>
            <w:rFonts w:ascii="Cambria Math" w:hAnsi="Cambria Math"/>
            <w:color w:val="000000" w:themeColor="text1"/>
          </w:rPr>
          <m:t>G</m:t>
        </m:r>
      </m:oMath>
      <w:r w:rsidR="003575FF">
        <w:rPr>
          <w:color w:val="000000" w:themeColor="text1"/>
        </w:rPr>
        <w:t>. Finally, l</w:t>
      </w:r>
      <w:r w:rsidR="000848D6">
        <w:rPr>
          <w:color w:val="000000" w:themeColor="text1"/>
        </w:rPr>
        <w:t xml:space="preserve">et us be as general as we can and leave the life-table function of interest unspecified. </w:t>
      </w:r>
      <w:r w:rsidR="005636BE">
        <w:rPr>
          <w:color w:val="000000" w:themeColor="text1"/>
        </w:rPr>
        <w:t xml:space="preserve">While this might seem strange, this is the same approach taken by all major general decomposition tools </w:t>
      </w:r>
      <w:r w:rsidR="005636BE">
        <w:rPr>
          <w:color w:val="000000" w:themeColor="text1"/>
        </w:rPr>
        <w:fldChar w:fldCharType="begin"/>
      </w:r>
      <w:r w:rsidR="00E95306">
        <w:rPr>
          <w:color w:val="000000" w:themeColor="text1"/>
        </w:rPr>
        <w:instrText xml:space="preserve"> ADDIN ZOTERO_ITEM CSL_CITATION {"citationID":"yVMQFBHG","properties":{"formattedCitation":"(Andreev et al. 2002; Caswell 1989; Horiuchi et al. 2008)","plainCitation":"(Andreev et al. 2002; Caswell 1989; Horiuchi et al. 2008)","noteIndex":0},"citationItems":[{"id":"S9LI65xL/mKOMXE6Y","uris":["http://zotero.org/users/8250957/items/DSEQELWC"],"itemData":{"id":"cHiZulFV/2MDtPPay","type":"article-journal","abstract":"A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5636BE">
        <w:rPr>
          <w:color w:val="000000" w:themeColor="text1"/>
        </w:rPr>
        <w:fldChar w:fldCharType="separate"/>
      </w:r>
      <w:r w:rsidR="00E95306">
        <w:rPr>
          <w:noProof/>
          <w:color w:val="000000" w:themeColor="text1"/>
        </w:rPr>
        <w:t>(Andreev et al. 2002; Caswell 1989; Horiuchi et al. 2008)</w:t>
      </w:r>
      <w:r w:rsidR="005636BE">
        <w:rPr>
          <w:color w:val="000000" w:themeColor="text1"/>
        </w:rPr>
        <w:fldChar w:fldCharType="end"/>
      </w:r>
      <w:r w:rsidR="005636BE">
        <w:rPr>
          <w:color w:val="000000" w:themeColor="text1"/>
        </w:rPr>
        <w:t xml:space="preserve">. </w:t>
      </w:r>
      <w:r w:rsidR="000848D6">
        <w:rPr>
          <w:color w:val="000000" w:themeColor="text1"/>
        </w:rPr>
        <w:t xml:space="preserve">We will denote with </w:t>
      </w:r>
      <m:oMath>
        <m:r>
          <w:rPr>
            <w:rFonts w:ascii="Cambria Math" w:hAnsi="Cambria Math"/>
            <w:color w:val="000000" w:themeColor="text1"/>
          </w:rPr>
          <m:t>l(A)</m:t>
        </m:r>
      </m:oMath>
      <w:r w:rsidR="000848D6">
        <w:rPr>
          <w:color w:val="000000" w:themeColor="text1"/>
        </w:rPr>
        <w:t xml:space="preserve"> the life-table function for population </w:t>
      </w:r>
      <m:oMath>
        <m:r>
          <w:rPr>
            <w:rFonts w:ascii="Cambria Math" w:hAnsi="Cambria Math"/>
            <w:color w:val="000000" w:themeColor="text1"/>
          </w:rPr>
          <m:t>A</m:t>
        </m:r>
      </m:oMath>
      <w:r w:rsidR="000848D6">
        <w:rPr>
          <w:color w:val="000000" w:themeColor="text1"/>
        </w:rPr>
        <w:t xml:space="preserve">. </w:t>
      </w:r>
      <w:proofErr w:type="spellStart"/>
      <w:r w:rsidR="000848D6">
        <w:rPr>
          <w:color w:val="000000" w:themeColor="text1"/>
        </w:rPr>
        <w:t>Hendi</w:t>
      </w:r>
      <w:proofErr w:type="spellEnd"/>
      <w:r w:rsidR="000848D6">
        <w:rPr>
          <w:color w:val="000000" w:themeColor="text1"/>
        </w:rPr>
        <w:t xml:space="preserve"> and Ho</w:t>
      </w:r>
      <w:r w:rsidR="00BC3860">
        <w:rPr>
          <w:color w:val="000000" w:themeColor="text1"/>
        </w:rPr>
        <w:t>’s</w:t>
      </w:r>
      <w:r w:rsidR="000848D6">
        <w:rPr>
          <w:color w:val="000000" w:themeColor="text1"/>
        </w:rPr>
        <w:t xml:space="preserve"> expression for the total contribution of the two groups is still valid</w:t>
      </w:r>
      <w:r w:rsidR="00237F1B">
        <w:rPr>
          <w:color w:val="000000" w:themeColor="text1"/>
        </w:rPr>
        <w:t>:</w:t>
      </w:r>
    </w:p>
    <w:p w14:paraId="2B17E7AB" w14:textId="77777777" w:rsidR="000848D6" w:rsidRDefault="000848D6" w:rsidP="00856A10">
      <w:pPr>
        <w:spacing w:line="480" w:lineRule="auto"/>
        <w:rPr>
          <w:color w:val="000000" w:themeColor="text1"/>
        </w:rPr>
      </w:pPr>
    </w:p>
    <w:p w14:paraId="4A3244EA" w14:textId="0A3050D5" w:rsidR="00237F1B" w:rsidRPr="000848D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=l(T)-l(B)</m:t>
          </m:r>
        </m:oMath>
      </m:oMathPara>
    </w:p>
    <w:p w14:paraId="02C17F6C" w14:textId="77777777" w:rsidR="000848D6" w:rsidRPr="00237F1B" w:rsidRDefault="000848D6" w:rsidP="00856A10">
      <w:pPr>
        <w:spacing w:line="480" w:lineRule="auto"/>
        <w:rPr>
          <w:color w:val="000000" w:themeColor="text1"/>
        </w:rPr>
      </w:pPr>
    </w:p>
    <w:p w14:paraId="66972B4E" w14:textId="4127F872" w:rsidR="00237F1B" w:rsidRDefault="003575FF" w:rsidP="00856A10">
      <w:pPr>
        <w:spacing w:line="480" w:lineRule="auto"/>
        <w:rPr>
          <w:color w:val="000000" w:themeColor="text1"/>
        </w:rPr>
      </w:pPr>
      <w:r>
        <w:rPr>
          <w:color w:val="000000" w:themeColor="text1"/>
        </w:rPr>
        <w:t xml:space="preserve">Because both the person-years and the death counts involved in the computation of </w:t>
      </w:r>
      <w:proofErr w:type="gramStart"/>
      <w:r>
        <w:rPr>
          <w:color w:val="000000" w:themeColor="text1"/>
        </w:rPr>
        <w:t>life-tables</w:t>
      </w:r>
      <w:proofErr w:type="gramEnd"/>
      <w:r>
        <w:rPr>
          <w:color w:val="000000" w:themeColor="text1"/>
        </w:rPr>
        <w:t xml:space="preserve"> combine additively, w</w:t>
      </w:r>
      <w:r w:rsidR="000848D6">
        <w:rPr>
          <w:color w:val="000000" w:themeColor="text1"/>
        </w:rPr>
        <w:t>e</w:t>
      </w:r>
      <w:r w:rsidR="00237F1B">
        <w:rPr>
          <w:color w:val="000000" w:themeColor="text1"/>
        </w:rPr>
        <w:t xml:space="preserve"> </w:t>
      </w:r>
      <w:r>
        <w:rPr>
          <w:color w:val="000000" w:themeColor="text1"/>
        </w:rPr>
        <w:t>have that</w:t>
      </w:r>
      <w:r w:rsidR="00237F1B">
        <w:rPr>
          <w:color w:val="000000" w:themeColor="text1"/>
        </w:rPr>
        <w:t xml:space="preserve"> </w:t>
      </w:r>
      <m:oMath>
        <m:r>
          <w:rPr>
            <w:rFonts w:ascii="Cambria Math" w:hAnsi="Cambria Math"/>
            <w:color w:val="000000" w:themeColor="text1"/>
          </w:rPr>
          <m:t>l(B)=l</m:t>
        </m:r>
        <m:d>
          <m:dPr>
            <m:ctrlPr>
              <w:rPr>
                <w:rFonts w:ascii="Cambria Math" w:hAnsi="Cambria Math"/>
                <w:i/>
                <w:color w:val="000000" w:themeColor="text1"/>
              </w:rPr>
            </m:ctrlPr>
          </m:dPr>
          <m:e>
            <m:r>
              <w:rPr>
                <w:rFonts w:ascii="Cambria Math" w:hAnsi="Cambria Math"/>
                <w:color w:val="000000" w:themeColor="text1"/>
              </w:rPr>
              <m:t>T-G</m:t>
            </m:r>
          </m:e>
        </m:d>
      </m:oMath>
      <w:r w:rsidR="00237F1B">
        <w:rPr>
          <w:color w:val="000000" w:themeColor="text1"/>
        </w:rPr>
        <w:t xml:space="preserve">. Equivalently, </w:t>
      </w:r>
      <w:r>
        <w:rPr>
          <w:color w:val="000000" w:themeColor="text1"/>
        </w:rPr>
        <w:t>we could</w:t>
      </w:r>
      <w:r w:rsidR="00237F1B">
        <w:rPr>
          <w:color w:val="000000" w:themeColor="text1"/>
        </w:rPr>
        <w:t xml:space="preserve"> </w:t>
      </w:r>
      <w:r>
        <w:rPr>
          <w:color w:val="000000" w:themeColor="text1"/>
        </w:rPr>
        <w:t>write</w:t>
      </w:r>
      <w:r w:rsidR="00237F1B">
        <w:rPr>
          <w:color w:val="000000" w:themeColor="text1"/>
        </w:rPr>
        <w:t xml:space="preserve"> </w:t>
      </w:r>
      <m:oMath>
        <m:r>
          <w:rPr>
            <w:rFonts w:ascii="Cambria Math" w:hAnsi="Cambria Math"/>
            <w:color w:val="000000" w:themeColor="text1"/>
          </w:rPr>
          <m:t>l(T)=l(B+G)</m:t>
        </m:r>
      </m:oMath>
      <w:r w:rsidR="00237F1B">
        <w:rPr>
          <w:color w:val="000000" w:themeColor="text1"/>
        </w:rPr>
        <w:t>. Together, these two equations allow us to write:</w:t>
      </w:r>
    </w:p>
    <w:p w14:paraId="45C1BCB8" w14:textId="77777777" w:rsidR="003575FF" w:rsidRDefault="003575FF" w:rsidP="00856A10">
      <w:pPr>
        <w:spacing w:line="480" w:lineRule="auto"/>
        <w:rPr>
          <w:color w:val="000000" w:themeColor="text1"/>
        </w:rPr>
      </w:pPr>
    </w:p>
    <w:p w14:paraId="280DB097" w14:textId="028ECD78" w:rsidR="00237F1B" w:rsidRPr="003575FF"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B+G</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-l(T-G)</m:t>
          </m:r>
        </m:oMath>
      </m:oMathPara>
    </w:p>
    <w:p w14:paraId="0AF4B5AC" w14:textId="77777777" w:rsidR="003575FF" w:rsidRPr="00237F1B" w:rsidRDefault="003575FF" w:rsidP="00856A10">
      <w:pPr>
        <w:spacing w:line="480" w:lineRule="auto"/>
        <w:rPr>
          <w:color w:val="000000" w:themeColor="text1"/>
        </w:rPr>
      </w:pPr>
    </w:p>
    <w:p w14:paraId="2B715D12" w14:textId="35E355DC" w:rsidR="00983DF9" w:rsidRDefault="00237F1B" w:rsidP="00856A10">
      <w:pPr>
        <w:spacing w:line="480" w:lineRule="auto"/>
        <w:rPr>
          <w:color w:val="000000" w:themeColor="text1"/>
        </w:rPr>
      </w:pPr>
      <w:r>
        <w:rPr>
          <w:color w:val="000000" w:themeColor="text1"/>
        </w:rPr>
        <w:t xml:space="preserve">Looking at the equation above it is apparent that the total contribution of population </w:t>
      </w:r>
      <m:oMath>
        <m:r>
          <w:rPr>
            <w:rFonts w:ascii="Cambria Math" w:hAnsi="Cambria Math"/>
            <w:color w:val="000000" w:themeColor="text1"/>
          </w:rPr>
          <m:t>G</m:t>
        </m:r>
      </m:oMath>
      <w:r>
        <w:rPr>
          <w:color w:val="000000" w:themeColor="text1"/>
        </w:rPr>
        <w:t xml:space="preserve"> can equivalently be understood </w:t>
      </w:r>
      <w:r w:rsidR="00380FFC">
        <w:rPr>
          <w:color w:val="000000" w:themeColor="text1"/>
        </w:rPr>
        <w:t xml:space="preserve">as an addition process starting from the baseline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or as a subtraction process starting from the total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80FFC">
        <w:rPr>
          <w:color w:val="000000" w:themeColor="text1"/>
        </w:rPr>
        <w:t>. It now becomes useful to introduce another layer of notation</w:t>
      </w:r>
      <w:r w:rsidR="003575FF">
        <w:rPr>
          <w:color w:val="000000" w:themeColor="text1"/>
        </w:rPr>
        <w:t>. W</w:t>
      </w:r>
      <w:r w:rsidR="00380FFC">
        <w:rPr>
          <w:color w:val="000000" w:themeColor="text1"/>
        </w:rPr>
        <w:t xml:space="preserve">e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w:t>
      </w:r>
      <w:r w:rsidR="003575FF">
        <w:rPr>
          <w:color w:val="000000" w:themeColor="text1"/>
        </w:rPr>
        <w:t xml:space="preserve">and call it the “addition contribution” of </w:t>
      </w:r>
      <m:oMath>
        <m:r>
          <w:rPr>
            <w:rFonts w:ascii="Cambria Math" w:hAnsi="Cambria Math"/>
            <w:color w:val="000000" w:themeColor="text1"/>
          </w:rPr>
          <m:t>G</m:t>
        </m:r>
      </m:oMath>
      <w:r w:rsidR="003575FF">
        <w:rPr>
          <w:color w:val="000000" w:themeColor="text1"/>
        </w:rPr>
        <w:t xml:space="preserve">. We instead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575FF">
        <w:rPr>
          <w:color w:val="000000" w:themeColor="text1"/>
        </w:rPr>
        <w:t xml:space="preserve"> and call it the “subtraction contribution” of </w:t>
      </w:r>
      <m:oMath>
        <m:r>
          <w:rPr>
            <w:rFonts w:ascii="Cambria Math" w:hAnsi="Cambria Math"/>
            <w:color w:val="000000" w:themeColor="text1"/>
          </w:rPr>
          <m:t>G</m:t>
        </m:r>
      </m:oMath>
      <w:r w:rsidR="00380FFC">
        <w:rPr>
          <w:color w:val="000000" w:themeColor="text1"/>
        </w:rPr>
        <w:t xml:space="preserve">. Clearly, when a single contributing population is considered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80FFC">
        <w:rPr>
          <w:color w:val="000000" w:themeColor="text1"/>
        </w:rPr>
        <w:t xml:space="preserve">. However, </w:t>
      </w:r>
      <w:r w:rsidR="003575FF">
        <w:rPr>
          <w:color w:val="000000" w:themeColor="text1"/>
        </w:rPr>
        <w:t xml:space="preserve">we will see that even in the case of two </w:t>
      </w:r>
      <w:r w:rsidR="003575FF">
        <w:rPr>
          <w:color w:val="000000" w:themeColor="text1"/>
        </w:rPr>
        <w:lastRenderedPageBreak/>
        <w:t xml:space="preserve">contributing subpopulations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575FF">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575FF">
        <w:rPr>
          <w:color w:val="000000" w:themeColor="text1"/>
        </w:rPr>
        <w:t xml:space="preserve"> so that the notation</w:t>
      </w:r>
      <w:r w:rsidR="00BC3860">
        <w:rPr>
          <w:color w:val="000000" w:themeColor="text1"/>
        </w:rPr>
        <w:t xml:space="preserve"> I just introduced</w:t>
      </w:r>
      <w:r w:rsidR="003575FF">
        <w:rPr>
          <w:color w:val="000000" w:themeColor="text1"/>
        </w:rPr>
        <w:t xml:space="preserve"> becomes useful.</w:t>
      </w:r>
      <w:r w:rsidR="00380FFC">
        <w:rPr>
          <w:color w:val="000000" w:themeColor="text1"/>
        </w:rPr>
        <w:t xml:space="preserve"> </w:t>
      </w:r>
      <w:r w:rsidR="003575FF">
        <w:rPr>
          <w:color w:val="000000" w:themeColor="text1"/>
        </w:rPr>
        <w:t xml:space="preserve">To see why these two </w:t>
      </w:r>
      <w:r w:rsidR="004F2514">
        <w:rPr>
          <w:color w:val="000000" w:themeColor="text1"/>
        </w:rPr>
        <w:t xml:space="preserve">inequalities </w:t>
      </w:r>
      <w:r w:rsidR="003575FF">
        <w:rPr>
          <w:color w:val="000000" w:themeColor="text1"/>
        </w:rPr>
        <w:t xml:space="preserve">arise, let us </w:t>
      </w:r>
      <w:r w:rsidR="00380FFC">
        <w:rPr>
          <w:color w:val="000000" w:themeColor="text1"/>
        </w:rPr>
        <w:t xml:space="preserve">consider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w:t>
      </w:r>
      <w:r w:rsidR="003575FF">
        <w:rPr>
          <w:color w:val="000000" w:themeColor="text1"/>
        </w:rPr>
        <w:t>Suppose</w:t>
      </w:r>
      <w:r w:rsidR="00380FFC">
        <w:rPr>
          <w:color w:val="000000" w:themeColor="text1"/>
        </w:rPr>
        <w:t xml:space="preserve"> for the moment</w:t>
      </w:r>
      <w:r w:rsidR="004F2514">
        <w:rPr>
          <w:color w:val="000000" w:themeColor="text1"/>
        </w:rPr>
        <w:t xml:space="preserve"> </w:t>
      </w:r>
      <w:r w:rsidR="00380FFC">
        <w:rPr>
          <w:color w:val="000000" w:themeColor="text1"/>
        </w:rPr>
        <w:t xml:space="preserve">that both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380FFC">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380FFC">
        <w:rPr>
          <w:color w:val="000000" w:themeColor="text1"/>
        </w:rPr>
        <w:t xml:space="preserve"> contribute positively to the life </w:t>
      </w:r>
      <w:r w:rsidR="003575FF">
        <w:rPr>
          <w:color w:val="000000" w:themeColor="text1"/>
        </w:rPr>
        <w:t>table function we are considering</w:t>
      </w:r>
      <w:r w:rsidR="00BC3860">
        <w:rPr>
          <w:color w:val="000000" w:themeColor="text1"/>
        </w:rPr>
        <w:t>, and more precisely that</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&gt;0</m:t>
        </m:r>
      </m:oMath>
      <w:r w:rsidR="00380FFC">
        <w:rPr>
          <w:color w:val="000000" w:themeColor="text1"/>
        </w:rPr>
        <w:t xml:space="preserve">. When </w:t>
      </w:r>
      <w:r w:rsidR="004F2514">
        <w:rPr>
          <w:color w:val="000000" w:themeColor="text1"/>
        </w:rPr>
        <w:t xml:space="preserve">we </w:t>
      </w:r>
      <w:r w:rsidR="008C5EAB">
        <w:rPr>
          <w:color w:val="000000" w:themeColor="text1"/>
        </w:rPr>
        <w:t>compute</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then starting from a population </w:t>
      </w:r>
      <m:oMath>
        <m:r>
          <w:rPr>
            <w:rFonts w:ascii="Cambria Math" w:hAnsi="Cambria Math"/>
            <w:color w:val="000000" w:themeColor="text1"/>
          </w:rPr>
          <m:t>T</m:t>
        </m:r>
      </m:oMath>
      <w:r w:rsidR="008C5EAB">
        <w:rPr>
          <w:color w:val="000000" w:themeColor="text1"/>
        </w:rPr>
        <w:t xml:space="preserve"> which </w:t>
      </w:r>
      <w:r w:rsidR="004F2514">
        <w:rPr>
          <w:color w:val="000000" w:themeColor="text1"/>
        </w:rPr>
        <w:t xml:space="preserve">already encapsulates </w:t>
      </w:r>
      <w:r w:rsidR="008C5EAB">
        <w:rPr>
          <w:color w:val="000000" w:themeColor="text1"/>
        </w:rPr>
        <w:t xml:space="preserve">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On the contrary, when we compute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starting from the baseline population</w:t>
      </w:r>
      <w:r w:rsidR="004F2514">
        <w:rPr>
          <w:color w:val="000000" w:themeColor="text1"/>
        </w:rPr>
        <w:t xml:space="preserve"> </w:t>
      </w:r>
      <m:oMath>
        <m:r>
          <w:rPr>
            <w:rFonts w:ascii="Cambria Math" w:hAnsi="Cambria Math"/>
            <w:color w:val="000000" w:themeColor="text1"/>
          </w:rPr>
          <m:t>B</m:t>
        </m:r>
      </m:oMath>
      <w:r w:rsidR="008C5EAB">
        <w:rPr>
          <w:color w:val="000000" w:themeColor="text1"/>
        </w:rPr>
        <w:t xml:space="preserve"> that has not yet received 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Furthermore, population </w:t>
      </w:r>
      <m:oMath>
        <m:r>
          <w:rPr>
            <w:rFonts w:ascii="Cambria Math" w:hAnsi="Cambria Math"/>
            <w:color w:val="000000" w:themeColor="text1"/>
          </w:rPr>
          <m:t>B</m:t>
        </m:r>
      </m:oMath>
      <w:r w:rsidR="008C5EAB">
        <w:rPr>
          <w:color w:val="000000" w:themeColor="text1"/>
        </w:rPr>
        <w:t xml:space="preserve"> from which are starting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is smaller than population </w:t>
      </w:r>
      <m:oMath>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from which we start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Consequently</w:t>
      </w:r>
      <w:r w:rsidR="008C5EAB">
        <w:rPr>
          <w:color w:val="000000" w:themeColor="text1"/>
        </w:rPr>
        <w:t xml:space="preserve">, the effect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8C5EAB">
        <w:rPr>
          <w:color w:val="000000" w:themeColor="text1"/>
        </w:rPr>
        <w:t xml:space="preserve"> will be larger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than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 specular argument can be made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8C5EAB">
        <w:rPr>
          <w:color w:val="000000" w:themeColor="text1"/>
        </w:rPr>
        <w:t>.</w:t>
      </w:r>
      <w:r w:rsidR="004F2514">
        <w:rPr>
          <w:color w:val="000000" w:themeColor="text1"/>
        </w:rPr>
        <w:t xml:space="preserve"> While</w:t>
      </w:r>
      <w:r w:rsidR="008C5EAB">
        <w:rPr>
          <w:color w:val="000000" w:themeColor="text1"/>
        </w:rPr>
        <w:t xml:space="preserve">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depends on</w:t>
      </w:r>
      <w:r w:rsidR="008C5EAB">
        <w:rPr>
          <w:color w:val="000000" w:themeColor="text1"/>
        </w:rPr>
        <w:t xml:space="preserve"> the assumption that both populations have a positive effect, </w:t>
      </w:r>
      <w:r w:rsidR="004F2514">
        <w:rPr>
          <w:color w:val="000000" w:themeColor="text1"/>
        </w:rPr>
        <w:t xml:space="preserve">I have illustrated the general principle that will lead to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983DF9">
        <w:rPr>
          <w:color w:val="000000" w:themeColor="text1"/>
        </w:rPr>
        <w:t xml:space="preserve">. </w:t>
      </w:r>
    </w:p>
    <w:p w14:paraId="3EB5C6AB" w14:textId="77777777" w:rsidR="004F2514" w:rsidRDefault="004F2514" w:rsidP="00856A10">
      <w:pPr>
        <w:spacing w:line="480" w:lineRule="auto"/>
        <w:rPr>
          <w:color w:val="000000" w:themeColor="text1"/>
        </w:rPr>
      </w:pPr>
    </w:p>
    <w:p w14:paraId="59330C97" w14:textId="1BC23932" w:rsidR="004F2514" w:rsidRDefault="009E608D" w:rsidP="00856A10">
      <w:pPr>
        <w:spacing w:line="480" w:lineRule="auto"/>
        <w:rPr>
          <w:color w:val="000000" w:themeColor="text1"/>
        </w:rPr>
      </w:pPr>
      <w:r>
        <w:rPr>
          <w:color w:val="000000" w:themeColor="text1"/>
        </w:rPr>
        <w:t xml:space="preserve">The inequality above means that </w:t>
      </w:r>
      <w:r w:rsidR="00A129CB">
        <w:rPr>
          <w:color w:val="000000" w:themeColor="text1"/>
        </w:rPr>
        <w:t xml:space="preserve">we now have two different measures of the contribution of each group. One way of solving this inconsistency is to introduce a third type of contribution </w:t>
      </w:r>
      <m:oMath>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A129CB">
        <w:rPr>
          <w:color w:val="000000" w:themeColor="text1"/>
        </w:rPr>
        <w:t xml:space="preserve">), which we will call the “average contribution”. It turns out that the average contributions have a nice property that both the addition and the subtraction contributions generally lack. </w:t>
      </w:r>
    </w:p>
    <w:p w14:paraId="2A65AFF2" w14:textId="77777777" w:rsidR="00A129CB" w:rsidRDefault="00A129CB" w:rsidP="00856A10">
      <w:pPr>
        <w:spacing w:line="480" w:lineRule="auto"/>
        <w:ind w:left="1985"/>
        <w:rPr>
          <w:color w:val="000000" w:themeColor="text1"/>
        </w:rPr>
      </w:pPr>
    </w:p>
    <w:p w14:paraId="40236660" w14:textId="0518FB19" w:rsidR="00CA30BF" w:rsidRPr="00BE49A4" w:rsidRDefault="00000000" w:rsidP="00856A10">
      <w:pPr>
        <w:spacing w:line="480" w:lineRule="auto"/>
        <w:ind w:left="426" w:firstLine="1559"/>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oMath>
      </m:oMathPara>
    </w:p>
    <w:p w14:paraId="65FE1468" w14:textId="3A5B498F"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e>
          </m:d>
          <m:r>
            <w:rPr>
              <w:rFonts w:ascii="Cambria Math" w:hAnsi="Cambria Math"/>
              <w:color w:val="000000" w:themeColor="text1"/>
            </w:rPr>
            <m:t>]</m:t>
          </m:r>
        </m:oMath>
      </m:oMathPara>
    </w:p>
    <w:p w14:paraId="2F3FC7C9" w14:textId="2E4B6752"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300C17DE" w14:textId="23B0494D"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748F3CD4" w14:textId="2959766E"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19299567" w14:textId="72AB9434"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w:lastRenderedPageBreak/>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e>
          </m:d>
        </m:oMath>
      </m:oMathPara>
    </w:p>
    <w:p w14:paraId="327CA777" w14:textId="2FB0DE2B"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m:oMathPara>
    </w:p>
    <w:p w14:paraId="31D6D156" w14:textId="77777777" w:rsidR="00BE49A4" w:rsidRPr="00CA30BF" w:rsidRDefault="00BE49A4" w:rsidP="00856A10">
      <w:pPr>
        <w:spacing w:line="480" w:lineRule="auto"/>
        <w:rPr>
          <w:color w:val="000000" w:themeColor="text1"/>
        </w:rPr>
      </w:pPr>
    </w:p>
    <w:p w14:paraId="5C7675AD" w14:textId="0919DD10" w:rsidR="00CA30BF" w:rsidRDefault="00EB2497" w:rsidP="00856A10">
      <w:pPr>
        <w:spacing w:line="480" w:lineRule="auto"/>
        <w:rPr>
          <w:color w:val="000000" w:themeColor="text1"/>
        </w:rPr>
      </w:pPr>
      <w:r>
        <w:rPr>
          <w:color w:val="000000" w:themeColor="text1"/>
        </w:rPr>
        <w:t xml:space="preserve">So, the two average contributions sum to the total contribution of </w:t>
      </w:r>
      <m:oMath>
        <m:r>
          <w:rPr>
            <w:rFonts w:ascii="Cambria Math" w:hAnsi="Cambria Math"/>
            <w:color w:val="000000" w:themeColor="text1"/>
          </w:rPr>
          <m:t>G</m:t>
        </m:r>
      </m:oMath>
      <w:r>
        <w:rPr>
          <w:color w:val="000000" w:themeColor="text1"/>
        </w:rPr>
        <w:t xml:space="preserve">, which </w:t>
      </w:r>
      <w:r w:rsidR="00306423">
        <w:rPr>
          <w:color w:val="000000" w:themeColor="text1"/>
        </w:rPr>
        <w:t xml:space="preserve">establishes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06423">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06423">
        <w:rPr>
          <w:color w:val="000000" w:themeColor="text1"/>
        </w:rPr>
        <w:t>. Note that t</w:t>
      </w:r>
      <w:r w:rsidR="00BE49A4">
        <w:rPr>
          <w:color w:val="000000" w:themeColor="text1"/>
        </w:rPr>
        <w:t xml:space="preserve">he substitutions in the second last line hold because </w:t>
      </w:r>
      <w:r w:rsidR="00306423">
        <w:rPr>
          <w:color w:val="000000" w:themeColor="text1"/>
        </w:rPr>
        <w:t>of the additivity of person-years and deaths so</w:t>
      </w:r>
      <w:r w:rsidR="003351FA">
        <w:rPr>
          <w:color w:val="000000" w:themeColor="text1"/>
        </w:rPr>
        <w:t xml:space="preserve">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oMath>
      <w:r w:rsidR="003351FA">
        <w:rPr>
          <w:color w:val="000000" w:themeColor="text1"/>
        </w:rPr>
        <w:t xml:space="preserve"> and similarly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351FA">
        <w:rPr>
          <w:color w:val="000000" w:themeColor="text1"/>
        </w:rPr>
        <w:t xml:space="preserve">. </w:t>
      </w:r>
      <w:r w:rsidR="00B22E93">
        <w:rPr>
          <w:color w:val="000000" w:themeColor="text1"/>
        </w:rPr>
        <w:t xml:space="preserve">Notice also that no </w:t>
      </w:r>
      <w:r w:rsidR="00306423">
        <w:rPr>
          <w:color w:val="000000" w:themeColor="text1"/>
        </w:rPr>
        <w:t xml:space="preserve">special properties of the life-table function </w:t>
      </w:r>
      <w:r w:rsidR="00B22E93">
        <w:rPr>
          <w:color w:val="000000" w:themeColor="text1"/>
        </w:rPr>
        <w:t xml:space="preserve">were used in the proof </w:t>
      </w:r>
      <w:r w:rsidR="00306423">
        <w:rPr>
          <w:color w:val="000000" w:themeColor="text1"/>
        </w:rPr>
        <w:t>which establishes that this approach is valid for functions other than life expectancy</w:t>
      </w:r>
      <w:r w:rsidR="00B22E93">
        <w:rPr>
          <w:color w:val="000000" w:themeColor="text1"/>
        </w:rPr>
        <w:t>.</w:t>
      </w:r>
    </w:p>
    <w:p w14:paraId="585CF07F" w14:textId="77777777" w:rsidR="0055662E" w:rsidRPr="00CA30BF" w:rsidRDefault="0055662E" w:rsidP="00856A10">
      <w:pPr>
        <w:spacing w:line="480" w:lineRule="auto"/>
        <w:rPr>
          <w:color w:val="000000" w:themeColor="text1"/>
        </w:rPr>
      </w:pPr>
    </w:p>
    <w:p w14:paraId="20E4DDC1" w14:textId="2D28FACA" w:rsidR="0055662E" w:rsidRPr="000848D6" w:rsidRDefault="00BC3860" w:rsidP="00856A10">
      <w:pPr>
        <w:spacing w:line="480" w:lineRule="auto"/>
        <w:rPr>
          <w:b/>
          <w:bCs/>
          <w:color w:val="000000" w:themeColor="text1"/>
        </w:rPr>
      </w:pPr>
      <w:r>
        <w:rPr>
          <w:b/>
          <w:bCs/>
          <w:color w:val="000000" w:themeColor="text1"/>
        </w:rPr>
        <w:t xml:space="preserve">Extending the </w:t>
      </w:r>
      <w:r w:rsidR="0055662E" w:rsidRPr="000848D6">
        <w:rPr>
          <w:b/>
          <w:bCs/>
          <w:color w:val="000000" w:themeColor="text1"/>
        </w:rPr>
        <w:t xml:space="preserve">Decomposition </w:t>
      </w:r>
      <w:r>
        <w:rPr>
          <w:b/>
          <w:bCs/>
          <w:color w:val="000000" w:themeColor="text1"/>
        </w:rPr>
        <w:t>to the Case</w:t>
      </w:r>
      <w:r w:rsidR="0055662E" w:rsidRPr="000848D6">
        <w:rPr>
          <w:b/>
          <w:bCs/>
          <w:color w:val="000000" w:themeColor="text1"/>
        </w:rPr>
        <w:t xml:space="preserve"> </w:t>
      </w:r>
      <m:oMath>
        <m:r>
          <m:rPr>
            <m:sty m:val="bi"/>
          </m:rPr>
          <w:rPr>
            <w:rFonts w:ascii="Cambria Math" w:hAnsi="Cambria Math"/>
            <w:color w:val="000000" w:themeColor="text1"/>
          </w:rPr>
          <m:t>(N=3)</m:t>
        </m:r>
      </m:oMath>
    </w:p>
    <w:p w14:paraId="0A59819F" w14:textId="423A8E6D" w:rsidR="0027564B" w:rsidRDefault="00DC6E11" w:rsidP="00856A10">
      <w:pPr>
        <w:spacing w:line="480" w:lineRule="auto"/>
        <w:rPr>
          <w:color w:val="000000" w:themeColor="text1"/>
        </w:rPr>
      </w:pPr>
      <w:r>
        <w:rPr>
          <w:color w:val="000000" w:themeColor="text1"/>
        </w:rPr>
        <w:t xml:space="preserve">The case of three groups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introduces a few additional complications which illuminate some properties of this decomposition and will allow us to find a general expression for any number of groups. The main difference with the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case is that our notation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Pr>
          <w:color w:val="000000" w:themeColor="text1"/>
        </w:rPr>
        <w:t xml:space="preserve"> for </w:t>
      </w:r>
      <m:oMath>
        <m:r>
          <w:rPr>
            <w:rFonts w:ascii="Cambria Math" w:hAnsi="Cambria Math"/>
            <w:color w:val="000000" w:themeColor="text1"/>
          </w:rPr>
          <m:t>n=1,2,3</m:t>
        </m:r>
      </m:oMath>
      <w:r>
        <w:rPr>
          <w:color w:val="000000" w:themeColor="text1"/>
        </w:rPr>
        <w:t xml:space="preserve"> is no longer sufficient to describe all possible ways of computing the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the </w:t>
      </w:r>
      <w:r w:rsidR="007A76D6">
        <w:rPr>
          <w:color w:val="000000" w:themeColor="text1"/>
        </w:rPr>
        <w:t>life-table function for the total population</w:t>
      </w:r>
      <w:r>
        <w:rPr>
          <w:color w:val="000000" w:themeColor="text1"/>
        </w:rPr>
        <w:t xml:space="preserve">. </w:t>
      </w:r>
      <w:r w:rsidR="001B12C9">
        <w:rPr>
          <w:color w:val="000000" w:themeColor="text1"/>
        </w:rPr>
        <w:t xml:space="preserve">Indeed, we now have four ways of computing the contribution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1B12C9">
        <w:rPr>
          <w:color w:val="000000" w:themeColor="text1"/>
        </w:rPr>
        <w:t>:</w:t>
      </w:r>
    </w:p>
    <w:p w14:paraId="3EC07788" w14:textId="77777777" w:rsidR="001B12C9" w:rsidRDefault="001B12C9" w:rsidP="00856A10">
      <w:pPr>
        <w:spacing w:line="480" w:lineRule="auto"/>
        <w:rPr>
          <w:color w:val="000000" w:themeColor="text1"/>
        </w:rPr>
      </w:pPr>
    </w:p>
    <w:p w14:paraId="49D74360" w14:textId="3C40AE3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e>
        </m:d>
        <m:r>
          <w:rPr>
            <w:rFonts w:ascii="Cambria Math" w:hAnsi="Cambria Math"/>
            <w:color w:val="000000" w:themeColor="text1"/>
          </w:rPr>
          <m:t>-l(B)</m:t>
        </m:r>
      </m:oMath>
    </w:p>
    <w:p w14:paraId="7EB57EA4" w14:textId="7F60422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p>
    <w:p w14:paraId="57B54F40" w14:textId="1DE67950"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p>
    <w:p w14:paraId="762725B0" w14:textId="6ECE109E" w:rsidR="0027564B"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w:t>
      </w:r>
    </w:p>
    <w:p w14:paraId="0A256919" w14:textId="77777777" w:rsidR="001B12C9" w:rsidRPr="001B12C9" w:rsidRDefault="001B12C9" w:rsidP="00856A10">
      <w:pPr>
        <w:spacing w:line="480" w:lineRule="auto"/>
        <w:rPr>
          <w:color w:val="000000" w:themeColor="text1"/>
        </w:rPr>
      </w:pPr>
    </w:p>
    <w:p w14:paraId="66B38285" w14:textId="2B7ECD78" w:rsidR="007A76D6" w:rsidRDefault="001B12C9" w:rsidP="00856A10">
      <w:pPr>
        <w:spacing w:line="480" w:lineRule="auto"/>
        <w:rPr>
          <w:color w:val="000000" w:themeColor="text1"/>
        </w:rPr>
      </w:pPr>
      <w:r>
        <w:rPr>
          <w:color w:val="000000" w:themeColor="text1"/>
        </w:rPr>
        <w:t xml:space="preserve">Number 1 and 4 are equal to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but number 2 and 3 are outside of what we have seen so far. </w:t>
      </w:r>
      <w:r w:rsidR="00FD1A3C">
        <w:rPr>
          <w:color w:val="000000" w:themeColor="text1"/>
        </w:rPr>
        <w:t xml:space="preserve">In the next section, I will introduce a more general notation to capture these cases. However, for the moment, let us focus on how to define the average contribution in this case. </w:t>
      </w:r>
      <w:r w:rsidR="00514E1F">
        <w:rPr>
          <w:color w:val="000000" w:themeColor="text1"/>
        </w:rPr>
        <w:t xml:space="preserve">It turns out that the average contribution in this </w:t>
      </w:r>
      <w:r w:rsidR="00514E1F">
        <w:rPr>
          <w:color w:val="000000" w:themeColor="text1"/>
        </w:rPr>
        <w:lastRenderedPageBreak/>
        <w:t xml:space="preserve">case assigns </w:t>
      </w:r>
      <w:r w:rsidR="00E27ADB">
        <w:rPr>
          <w:color w:val="000000" w:themeColor="text1"/>
        </w:rPr>
        <w:t xml:space="preserve">weights </w:t>
      </w:r>
      <w:r w:rsidR="00514E1F">
        <w:rPr>
          <w:color w:val="000000" w:themeColor="text1"/>
        </w:rPr>
        <w:t>to each term that</w:t>
      </w:r>
      <w:r w:rsidR="00E27ADB">
        <w:rPr>
          <w:color w:val="000000" w:themeColor="text1"/>
        </w:rPr>
        <w:t xml:space="preserve"> are inversely proportional to the number of groups </w:t>
      </w:r>
      <m:oMath>
        <m:r>
          <w:rPr>
            <w:rFonts w:ascii="Cambria Math" w:hAnsi="Cambria Math"/>
            <w:color w:val="000000" w:themeColor="text1"/>
          </w:rPr>
          <m:t>N=3</m:t>
        </m:r>
      </m:oMath>
      <w:r w:rsidR="00E27ADB">
        <w:rPr>
          <w:color w:val="000000" w:themeColor="text1"/>
        </w:rPr>
        <w:t xml:space="preserve"> and to the number of contributions involving the same number of subpopulations. </w:t>
      </w:r>
      <w:r w:rsidR="00514E1F">
        <w:rPr>
          <w:color w:val="000000" w:themeColor="text1"/>
        </w:rPr>
        <w:t xml:space="preserve">Notice that contributions 1 and 4 involve 1 and 3 subpopulations respectively, while contributions 2 and 3 each involve 2 subpopulations. </w:t>
      </w:r>
      <w:r w:rsidR="00E27ADB">
        <w:rPr>
          <w:color w:val="000000" w:themeColor="text1"/>
        </w:rPr>
        <w:t xml:space="preserve">As such, contributions 1 and 4 </w:t>
      </w:r>
      <w:r w:rsidR="00514E1F">
        <w:rPr>
          <w:color w:val="000000" w:themeColor="text1"/>
        </w:rPr>
        <w:t>have</w:t>
      </w:r>
      <w:r w:rsidR="00E27ADB">
        <w:rPr>
          <w:color w:val="000000" w:themeColor="text1"/>
        </w:rPr>
        <w:t xml:space="preserve"> </w:t>
      </w:r>
      <w:proofErr w:type="spellStart"/>
      <w:r w:rsidR="00E27ADB">
        <w:rPr>
          <w:color w:val="000000" w:themeColor="text1"/>
        </w:rPr>
        <w:t>have</w:t>
      </w:r>
      <w:proofErr w:type="spellEnd"/>
      <w:r w:rsidR="00E27ADB">
        <w:rPr>
          <w:color w:val="000000" w:themeColor="text1"/>
        </w:rPr>
        <w:t xml:space="preser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w:r w:rsidR="00514E1F">
        <w:rPr>
          <w:color w:val="000000" w:themeColor="text1"/>
        </w:rPr>
        <w:t xml:space="preserve">, while </w:t>
      </w:r>
      <w:r w:rsidR="00E27ADB">
        <w:rPr>
          <w:color w:val="000000" w:themeColor="text1"/>
        </w:rPr>
        <w:t xml:space="preserve">contributions 2 and 3 have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1</m:t>
            </m:r>
          </m:num>
          <m:den>
            <m:r>
              <m:rPr>
                <m:sty m:val="bi"/>
              </m:rP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oMath>
      <w:r w:rsidR="00C614CD">
        <w:rPr>
          <w:color w:val="000000" w:themeColor="text1"/>
        </w:rPr>
        <w:t xml:space="preserve">. </w:t>
      </w:r>
      <w:r w:rsidR="00514E1F">
        <w:rPr>
          <w:color w:val="000000" w:themeColor="text1"/>
        </w:rPr>
        <w:t>The use of these weights</w:t>
      </w:r>
      <w:r w:rsidR="00C614CD">
        <w:rPr>
          <w:color w:val="000000" w:themeColor="text1"/>
        </w:rPr>
        <w:t xml:space="preserve"> is equivalent to first averaging within contributions involving the same number of subpopulations and then averaging between contributions involving different numbers of subpopulations.</w:t>
      </w:r>
      <w:r w:rsidR="00514E1F">
        <w:rPr>
          <w:color w:val="000000" w:themeColor="text1"/>
        </w:rPr>
        <w:t xml:space="preserve"> While this might seem unintuitive, I will now show that it leads to a set of average contributions that sum to the total contribution as in the </w:t>
      </w:r>
      <m:oMath>
        <m:r>
          <w:rPr>
            <w:rFonts w:ascii="Cambria Math" w:hAnsi="Cambria Math"/>
            <w:color w:val="000000" w:themeColor="text1"/>
          </w:rPr>
          <m:t>(N=2)</m:t>
        </m:r>
      </m:oMath>
      <w:r w:rsidR="00514E1F">
        <w:rPr>
          <w:color w:val="000000" w:themeColor="text1"/>
        </w:rPr>
        <w:t xml:space="preserve"> case.</w:t>
      </w:r>
      <w:r w:rsidR="00C614CD">
        <w:rPr>
          <w:color w:val="000000" w:themeColor="text1"/>
        </w:rPr>
        <w:t xml:space="preserve"> </w:t>
      </w:r>
    </w:p>
    <w:p w14:paraId="3F0AB32E" w14:textId="77777777" w:rsidR="007A76D6" w:rsidRPr="007A76D6" w:rsidRDefault="007A76D6" w:rsidP="00856A10">
      <w:pPr>
        <w:spacing w:line="480" w:lineRule="auto"/>
        <w:rPr>
          <w:color w:val="000000" w:themeColor="text1"/>
        </w:rPr>
      </w:pPr>
    </w:p>
    <w:p w14:paraId="3E326D5F" w14:textId="73C3FFD8" w:rsidR="000926F8" w:rsidRPr="007A76D6" w:rsidRDefault="00000000" w:rsidP="00856A10">
      <w:pPr>
        <w:spacing w:line="480" w:lineRule="auto"/>
        <w:rPr>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2</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3</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0D026552" w14:textId="0CC23795"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3AB5109A" w14:textId="0B471DA6"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oMath>
      </m:oMathPara>
    </w:p>
    <w:p w14:paraId="5C61963B" w14:textId="77777777" w:rsidR="007A76D6" w:rsidRPr="007A76D6" w:rsidRDefault="007A76D6" w:rsidP="00856A10">
      <w:pPr>
        <w:spacing w:line="480" w:lineRule="auto"/>
        <w:rPr>
          <w:color w:val="000000" w:themeColor="text1"/>
        </w:rPr>
      </w:pPr>
    </w:p>
    <w:p w14:paraId="578C672E" w14:textId="4C26063F" w:rsidR="000926F8" w:rsidRDefault="000926F8" w:rsidP="00856A10">
      <w:pPr>
        <w:spacing w:line="480" w:lineRule="auto"/>
        <w:rPr>
          <w:color w:val="000000" w:themeColor="text1"/>
        </w:rPr>
      </w:pPr>
      <w:r>
        <w:rPr>
          <w:color w:val="000000" w:themeColor="text1"/>
        </w:rPr>
        <w:t>It is easy to see that one can ta</w:t>
      </w:r>
      <w:r w:rsidR="007A76D6">
        <w:rPr>
          <w:color w:val="000000" w:themeColor="text1"/>
        </w:rPr>
        <w:t>ke</w:t>
      </w:r>
      <w:r>
        <w:rPr>
          <w:color w:val="000000" w:themeColor="text1"/>
        </w:rPr>
        <w:t xml:space="preserve"> out of this complicated expression the target value </w:t>
      </w:r>
      <m:oMath>
        <m:r>
          <w:rPr>
            <w:rFonts w:ascii="Cambria Math" w:hAnsi="Cambria Math"/>
            <w:color w:val="000000" w:themeColor="text1"/>
          </w:rPr>
          <m:t>l(T)-l(B)</m:t>
        </m:r>
      </m:oMath>
      <w:r>
        <w:rPr>
          <w:color w:val="000000" w:themeColor="text1"/>
        </w:rPr>
        <w:t>. We can then reorder the remaining terms and write:</w:t>
      </w:r>
    </w:p>
    <w:p w14:paraId="2EFDCEE3" w14:textId="77777777" w:rsidR="00695B0F" w:rsidRDefault="00695B0F" w:rsidP="00856A10">
      <w:pPr>
        <w:spacing w:line="480" w:lineRule="auto"/>
        <w:rPr>
          <w:color w:val="000000" w:themeColor="text1"/>
        </w:rPr>
      </w:pPr>
    </w:p>
    <w:p w14:paraId="2B44DD0F" w14:textId="6ABEE6AC" w:rsidR="009B15AF" w:rsidRPr="009B15AF" w:rsidRDefault="00000000" w:rsidP="00856A10">
      <w:pPr>
        <w:spacing w:line="480" w:lineRule="auto"/>
        <w:ind w:left="1843" w:hanging="2551"/>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10551803" w14:textId="64ABE375"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e>
          </m:d>
        </m:oMath>
      </m:oMathPara>
    </w:p>
    <w:p w14:paraId="5E024A6F" w14:textId="113D2F74"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d>
            <m:dPr>
              <m:ctrlPr>
                <w:rPr>
                  <w:rFonts w:ascii="Cambria Math" w:hAnsi="Cambria Math"/>
                  <w:i/>
                  <w:color w:val="000000" w:themeColor="text1"/>
                </w:rPr>
              </m:ctrlPr>
            </m:dPr>
            <m:e>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)+ 2l(B+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046C258A" w14:textId="6345C88B" w:rsidR="009B15AF" w:rsidRPr="009B15AF" w:rsidRDefault="000926F8"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m:t>
          </m:r>
        </m:oMath>
      </m:oMathPara>
    </w:p>
    <w:p w14:paraId="54F026DF" w14:textId="77777777" w:rsidR="00695B0F" w:rsidRPr="00CD71CC" w:rsidRDefault="00695B0F" w:rsidP="00856A10">
      <w:pPr>
        <w:spacing w:line="480" w:lineRule="auto"/>
        <w:rPr>
          <w:color w:val="000000" w:themeColor="text1"/>
        </w:rPr>
      </w:pPr>
    </w:p>
    <w:p w14:paraId="5369D44E" w14:textId="77777777" w:rsidR="009B15AF" w:rsidRDefault="00CD71CC" w:rsidP="00856A10">
      <w:pPr>
        <w:spacing w:line="480" w:lineRule="auto"/>
        <w:rPr>
          <w:color w:val="000000" w:themeColor="text1"/>
        </w:rPr>
      </w:pPr>
      <w:r>
        <w:rPr>
          <w:color w:val="000000" w:themeColor="text1"/>
        </w:rPr>
        <w:lastRenderedPageBreak/>
        <w:t xml:space="preserve">From which one can easily verify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oMath>
      <w:r>
        <w:rPr>
          <w:color w:val="000000" w:themeColor="text1"/>
        </w:rPr>
        <w:t xml:space="preserve"> as we wanted to prove. This</w:t>
      </w:r>
      <w:r w:rsidR="00695B0F">
        <w:rPr>
          <w:color w:val="000000" w:themeColor="text1"/>
        </w:rPr>
        <w:t xml:space="preserve"> result establishes </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e>
        </m:d>
      </m:oMath>
      <w:r w:rsidR="00695B0F">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w:t>
      </w:r>
    </w:p>
    <w:p w14:paraId="66B2BC60" w14:textId="77777777" w:rsidR="009B15AF" w:rsidRDefault="009B15AF" w:rsidP="00856A10">
      <w:pPr>
        <w:spacing w:line="480" w:lineRule="auto"/>
        <w:rPr>
          <w:color w:val="000000" w:themeColor="text1"/>
        </w:rPr>
      </w:pPr>
    </w:p>
    <w:p w14:paraId="50562289" w14:textId="2DA28884" w:rsidR="00B52E3F" w:rsidRDefault="009B15AF" w:rsidP="00856A10">
      <w:pPr>
        <w:spacing w:line="480" w:lineRule="auto"/>
        <w:rPr>
          <w:color w:val="000000" w:themeColor="text1"/>
        </w:rPr>
      </w:pPr>
      <w:r>
        <w:rPr>
          <w:color w:val="000000" w:themeColor="text1"/>
        </w:rPr>
        <w:t xml:space="preserve">By comparing the computations involved in the case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to those for the case </w:t>
      </w:r>
      <m:oMath>
        <m:d>
          <m:dPr>
            <m:ctrlPr>
              <w:rPr>
                <w:rFonts w:ascii="Cambria Math" w:hAnsi="Cambria Math"/>
                <w:i/>
                <w:color w:val="000000" w:themeColor="text1"/>
              </w:rPr>
            </m:ctrlPr>
          </m:dPr>
          <m:e>
            <m:r>
              <w:rPr>
                <w:rFonts w:ascii="Cambria Math" w:hAnsi="Cambria Math"/>
                <w:color w:val="000000" w:themeColor="text1"/>
              </w:rPr>
              <m:t>N=3</m:t>
            </m:r>
          </m:e>
        </m:d>
      </m:oMath>
      <w:r w:rsidR="00CD71CC">
        <w:rPr>
          <w:color w:val="000000" w:themeColor="text1"/>
        </w:rPr>
        <w:t xml:space="preserve">, it </w:t>
      </w:r>
      <w:r>
        <w:rPr>
          <w:color w:val="000000" w:themeColor="text1"/>
        </w:rPr>
        <w:t>becomes</w:t>
      </w:r>
      <w:r w:rsidR="00CD71CC">
        <w:rPr>
          <w:color w:val="000000" w:themeColor="text1"/>
        </w:rPr>
        <w:t xml:space="preserve"> apparent that the computational </w:t>
      </w:r>
      <w:r>
        <w:rPr>
          <w:color w:val="000000" w:themeColor="text1"/>
        </w:rPr>
        <w:t>requirement</w:t>
      </w:r>
      <w:r w:rsidR="00CD71CC">
        <w:rPr>
          <w:color w:val="000000" w:themeColor="text1"/>
        </w:rPr>
        <w:t xml:space="preserve"> for this method increase</w:t>
      </w:r>
      <w:r>
        <w:rPr>
          <w:color w:val="000000" w:themeColor="text1"/>
        </w:rPr>
        <w:t>s</w:t>
      </w:r>
      <w:r w:rsidR="00CD71CC">
        <w:rPr>
          <w:color w:val="000000" w:themeColor="text1"/>
        </w:rPr>
        <w:t xml:space="preserve"> very fast as the number of groups increases. Luckily, </w:t>
      </w:r>
      <w:r w:rsidR="005E6C5C">
        <w:rPr>
          <w:color w:val="000000" w:themeColor="text1"/>
        </w:rPr>
        <w:t xml:space="preserve">one can show that </w:t>
      </w:r>
      <w:r w:rsidR="00CD71CC">
        <w:rPr>
          <w:color w:val="000000" w:themeColor="text1"/>
        </w:rPr>
        <w:t xml:space="preserve">if we are willing to make some assumptions, the computations can be greatly simplified without loss of precision. </w:t>
      </w:r>
      <w:r w:rsidR="00B52E3F">
        <w:rPr>
          <w:color w:val="000000" w:themeColor="text1"/>
        </w:rPr>
        <w:t>Let us assume that:</w:t>
      </w:r>
    </w:p>
    <w:p w14:paraId="7B403B84" w14:textId="77777777" w:rsidR="005E6C5C" w:rsidRDefault="005E6C5C" w:rsidP="00856A10">
      <w:pPr>
        <w:spacing w:line="480" w:lineRule="auto"/>
        <w:rPr>
          <w:color w:val="000000" w:themeColor="text1"/>
        </w:rPr>
      </w:pPr>
    </w:p>
    <w:p w14:paraId="760E62B1" w14:textId="6CC65D7C" w:rsidR="00B52E3F" w:rsidRPr="005E6C5C" w:rsidRDefault="00B52E3F" w:rsidP="00856A10">
      <w:pPr>
        <w:spacing w:line="480" w:lineRule="auto"/>
        <w:rPr>
          <w:color w:val="000000" w:themeColor="text1"/>
        </w:rPr>
      </w:pPr>
      <m:oMathPara>
        <m:oMath>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1</m:t>
                      </m:r>
                    </m:sub>
                  </m:sSub>
                </m:e>
              </m:d>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2</m:t>
                      </m:r>
                    </m:sub>
                  </m:sSub>
                </m:e>
              </m:d>
            </m:e>
          </m:d>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3</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1</m:t>
                      </m:r>
                    </m:sub>
                  </m:sSub>
                </m:e>
              </m:d>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3</m:t>
                      </m:r>
                    </m:sub>
                  </m:sSub>
                </m:e>
              </m:d>
            </m:e>
          </m:d>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1</m:t>
                      </m:r>
                    </m:sub>
                  </m:sSub>
                </m:e>
              </m:d>
              <m:r>
                <w:rPr>
                  <w:rFonts w:ascii="Cambria Math" w:hAnsi="Cambria Math"/>
                  <w:color w:val="000000" w:themeColor="text1"/>
                  <w:sz w:val="21"/>
                  <w:szCs w:val="21"/>
                </w:rPr>
                <m:t>-l(B)</m:t>
              </m:r>
            </m:e>
          </m:d>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T</m:t>
                  </m:r>
                </m:e>
              </m:d>
              <m:r>
                <w:rPr>
                  <w:rFonts w:ascii="Cambria Math" w:hAnsi="Cambria Math"/>
                  <w:color w:val="000000" w:themeColor="text1"/>
                  <w:sz w:val="21"/>
                  <w:szCs w:val="21"/>
                </w:rPr>
                <m:t>-l</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3</m:t>
                      </m:r>
                    </m:sub>
                  </m:sSub>
                </m:e>
              </m:d>
            </m:e>
          </m:d>
        </m:oMath>
      </m:oMathPara>
    </w:p>
    <w:p w14:paraId="2499BD6B" w14:textId="77777777" w:rsidR="005E6C5C" w:rsidRDefault="005E6C5C" w:rsidP="00856A10">
      <w:pPr>
        <w:spacing w:line="480" w:lineRule="auto"/>
        <w:rPr>
          <w:color w:val="000000" w:themeColor="text1"/>
        </w:rPr>
      </w:pPr>
    </w:p>
    <w:p w14:paraId="6F425FA9" w14:textId="2C260918" w:rsidR="00CD71CC" w:rsidRDefault="00B52E3F" w:rsidP="00856A10">
      <w:pPr>
        <w:spacing w:line="480" w:lineRule="auto"/>
        <w:rPr>
          <w:color w:val="000000" w:themeColor="text1"/>
        </w:rPr>
      </w:pPr>
      <w:r>
        <w:rPr>
          <w:color w:val="000000" w:themeColor="text1"/>
        </w:rPr>
        <w:t>For the four contributions involv</w:t>
      </w:r>
      <w:r w:rsidR="005E6C5C">
        <w:rPr>
          <w:color w:val="000000" w:themeColor="text1"/>
        </w:rPr>
        <w:t>ed</w:t>
      </w:r>
      <w:r>
        <w:rPr>
          <w:color w:val="000000" w:themeColor="text1"/>
        </w:rPr>
        <w:t xml:space="preserve"> </w:t>
      </w:r>
      <w:r w:rsidR="005E6C5C">
        <w:rPr>
          <w:color w:val="000000" w:themeColor="text1"/>
        </w:rPr>
        <w:t xml:space="preserve">in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5E6C5C">
        <w:rPr>
          <w:color w:val="000000" w:themeColor="text1"/>
        </w:rPr>
        <w:t xml:space="preserve"> </w:t>
      </w:r>
      <w:r>
        <w:rPr>
          <w:color w:val="000000" w:themeColor="text1"/>
        </w:rPr>
        <w:t xml:space="preserve">and that equivalent expressions hold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oMath>
      <w:r>
        <w:rPr>
          <w:color w:val="000000" w:themeColor="text1"/>
        </w:rPr>
        <w:t xml:space="preserve">. The </w:t>
      </w:r>
      <w:r w:rsidR="005E6C5C">
        <w:rPr>
          <w:color w:val="000000" w:themeColor="text1"/>
        </w:rPr>
        <w:t>expression above</w:t>
      </w:r>
      <w:r>
        <w:rPr>
          <w:color w:val="000000" w:themeColor="text1"/>
        </w:rPr>
        <w:t xml:space="preserve"> is requiring that the average of the two “internal” contributions</w:t>
      </w:r>
      <w:r w:rsidR="005E6C5C">
        <w:rPr>
          <w:color w:val="000000" w:themeColor="text1"/>
        </w:rPr>
        <w:t xml:space="preserve"> (2 and 3)</w:t>
      </w:r>
      <w:r>
        <w:rPr>
          <w:color w:val="000000" w:themeColor="text1"/>
        </w:rPr>
        <w:t xml:space="preserve"> is equal to the average of the two “external” contributions</w:t>
      </w:r>
      <w:r w:rsidR="005E6C5C">
        <w:rPr>
          <w:color w:val="000000" w:themeColor="text1"/>
        </w:rPr>
        <w:t xml:space="preserve"> (1 and 4)</w:t>
      </w:r>
      <w:r>
        <w:rPr>
          <w:color w:val="000000" w:themeColor="text1"/>
        </w:rPr>
        <w:t xml:space="preserve">. Then, for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Pr>
          <w:color w:val="000000" w:themeColor="text1"/>
        </w:rPr>
        <w:t>, we can write:</w:t>
      </w:r>
    </w:p>
    <w:p w14:paraId="21C82D4B" w14:textId="77777777" w:rsidR="005E6C5C" w:rsidRDefault="005E6C5C" w:rsidP="00856A10">
      <w:pPr>
        <w:spacing w:line="480" w:lineRule="auto"/>
        <w:rPr>
          <w:color w:val="000000" w:themeColor="text1"/>
        </w:rPr>
      </w:pPr>
    </w:p>
    <w:p w14:paraId="331ED8BA" w14:textId="76AE3016" w:rsidR="00D66A82" w:rsidRPr="00F85486" w:rsidRDefault="00000000" w:rsidP="00856A10">
      <w:pPr>
        <w:spacing w:line="480" w:lineRule="auto"/>
        <w:ind w:left="567" w:hanging="567"/>
        <w:rPr>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4C160880" w14:textId="6D80B1C3"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1A16E1D2" w14:textId="333782F3" w:rsidR="00F85486" w:rsidRPr="00F85486" w:rsidRDefault="00F85486"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7F3F66AC" w14:textId="14C9DC81" w:rsidR="00F85486" w:rsidRPr="00F85486" w:rsidRDefault="00F85486"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596C900A" w14:textId="59366999"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47881DFA" w14:textId="7F6F9504"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481AFC4A" w14:textId="471902AC"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oMath>
      </m:oMathPara>
    </w:p>
    <w:p w14:paraId="634B3EB2" w14:textId="77777777" w:rsidR="00F85486" w:rsidRPr="00F85486" w:rsidRDefault="00F85486" w:rsidP="00856A10">
      <w:pPr>
        <w:spacing w:line="480" w:lineRule="auto"/>
        <w:ind w:left="1134"/>
        <w:rPr>
          <w:color w:val="000000" w:themeColor="text1"/>
          <w:sz w:val="18"/>
          <w:szCs w:val="18"/>
        </w:rPr>
      </w:pPr>
    </w:p>
    <w:p w14:paraId="6EB7DBA3" w14:textId="7E418A3C" w:rsidR="00B52E3F" w:rsidRDefault="00F85486" w:rsidP="00856A10">
      <w:pPr>
        <w:spacing w:line="480" w:lineRule="auto"/>
        <w:rPr>
          <w:color w:val="000000" w:themeColor="text1"/>
        </w:rPr>
      </w:pPr>
      <w:r>
        <w:rPr>
          <w:color w:val="000000" w:themeColor="text1"/>
        </w:rPr>
        <w:t xml:space="preserve">The </w:t>
      </w:r>
      <w:r w:rsidRPr="00F85486">
        <w:rPr>
          <w:color w:val="000000" w:themeColor="text1"/>
        </w:rPr>
        <w:t xml:space="preserve">equation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oMath>
      <w:r>
        <w:rPr>
          <w:color w:val="000000" w:themeColor="text1"/>
        </w:rPr>
        <w:t xml:space="preserve"> tells us</w:t>
      </w:r>
      <w:r w:rsidR="00B52E3F">
        <w:rPr>
          <w:color w:val="000000" w:themeColor="text1"/>
        </w:rPr>
        <w:t xml:space="preserve"> that as long as we are willing to assume that the two internal contributions and the two external contributions have the same average (an assumption that can be verified </w:t>
      </w:r>
      <w:r w:rsidR="00B52E3F">
        <w:rPr>
          <w:color w:val="000000" w:themeColor="text1"/>
        </w:rPr>
        <w:lastRenderedPageBreak/>
        <w:t xml:space="preserve">empirically), we can </w:t>
      </w:r>
      <w:r>
        <w:rPr>
          <w:color w:val="000000" w:themeColor="text1"/>
        </w:rPr>
        <w:t xml:space="preserve">ignore the internal terms and simply compute the average contribution of each group as the </w:t>
      </w:r>
      <w:r w:rsidR="00BE49A4">
        <w:rPr>
          <w:color w:val="000000" w:themeColor="text1"/>
        </w:rPr>
        <w:t>average</w:t>
      </w:r>
      <w:r w:rsidR="00B52E3F">
        <w:rPr>
          <w:color w:val="000000" w:themeColor="text1"/>
        </w:rPr>
        <w:t xml:space="preserve"> the two external contributions as we did for the two group case. </w:t>
      </w:r>
      <w:r w:rsidR="00733A10">
        <w:rPr>
          <w:color w:val="000000" w:themeColor="text1"/>
        </w:rPr>
        <w:t xml:space="preserve">With this result we have made the decomposition computationally scalable even when many groups are involved. In the next section I will prove that the same results hold even in the case of </w:t>
      </w:r>
      <m:oMath>
        <m:r>
          <w:rPr>
            <w:rFonts w:ascii="Cambria Math" w:hAnsi="Cambria Math"/>
            <w:color w:val="000000" w:themeColor="text1"/>
          </w:rPr>
          <m:t>N</m:t>
        </m:r>
      </m:oMath>
      <w:r w:rsidR="00733A10">
        <w:rPr>
          <w:color w:val="000000" w:themeColor="text1"/>
        </w:rPr>
        <w:t xml:space="preserve"> groups.</w:t>
      </w:r>
    </w:p>
    <w:p w14:paraId="30DEA8B2" w14:textId="77777777" w:rsidR="00733A10" w:rsidRDefault="00733A10" w:rsidP="00856A10">
      <w:pPr>
        <w:spacing w:line="480" w:lineRule="auto"/>
        <w:rPr>
          <w:color w:val="000000" w:themeColor="text1"/>
        </w:rPr>
      </w:pPr>
    </w:p>
    <w:p w14:paraId="221C4930" w14:textId="77777777" w:rsidR="00733A10" w:rsidRDefault="00733A10" w:rsidP="00856A10">
      <w:pPr>
        <w:spacing w:line="480" w:lineRule="auto"/>
        <w:rPr>
          <w:b/>
          <w:bCs/>
          <w:color w:val="000000" w:themeColor="text1"/>
        </w:rPr>
      </w:pPr>
      <w:r>
        <w:rPr>
          <w:b/>
          <w:bCs/>
          <w:color w:val="000000" w:themeColor="text1"/>
        </w:rPr>
        <w:t xml:space="preserve">Generalizing the Decomposition to a Population with </w:t>
      </w:r>
      <m:oMath>
        <m:r>
          <m:rPr>
            <m:sty m:val="bi"/>
          </m:rPr>
          <w:rPr>
            <w:rFonts w:ascii="Cambria Math" w:hAnsi="Cambria Math"/>
            <w:color w:val="000000" w:themeColor="text1"/>
          </w:rPr>
          <m:t>N</m:t>
        </m:r>
      </m:oMath>
      <w:r>
        <w:rPr>
          <w:b/>
          <w:bCs/>
          <w:color w:val="000000" w:themeColor="text1"/>
        </w:rPr>
        <w:t xml:space="preserve"> subgroups</w:t>
      </w:r>
    </w:p>
    <w:p w14:paraId="077E5A9F" w14:textId="77777777" w:rsidR="00733A10" w:rsidRDefault="00733A10" w:rsidP="00856A10">
      <w:pPr>
        <w:spacing w:line="480" w:lineRule="auto"/>
        <w:rPr>
          <w:b/>
          <w:bCs/>
          <w:color w:val="000000" w:themeColor="text1"/>
        </w:rPr>
      </w:pPr>
    </w:p>
    <w:p w14:paraId="0B0BC729" w14:textId="728CBB47" w:rsidR="001A4376" w:rsidRDefault="009F1352" w:rsidP="00856A10">
      <w:pPr>
        <w:spacing w:line="480" w:lineRule="auto"/>
        <w:rPr>
          <w:color w:val="000000" w:themeColor="text1"/>
        </w:rPr>
      </w:pPr>
      <w:r>
        <w:rPr>
          <w:color w:val="000000" w:themeColor="text1"/>
        </w:rPr>
        <w:t xml:space="preserve">To study the general case of </w:t>
      </w:r>
      <m:oMath>
        <m:r>
          <w:rPr>
            <w:rFonts w:ascii="Cambria Math" w:hAnsi="Cambria Math"/>
            <w:color w:val="000000" w:themeColor="text1"/>
          </w:rPr>
          <m:t>N</m:t>
        </m:r>
      </m:oMath>
      <w:r>
        <w:rPr>
          <w:color w:val="000000" w:themeColor="text1"/>
        </w:rPr>
        <w:t xml:space="preserve"> contributing groups, it is useful to introduce a slightly more general notation. We define:</w:t>
      </w:r>
    </w:p>
    <w:p w14:paraId="4F5E1FD5" w14:textId="77777777" w:rsidR="00733A10" w:rsidRPr="00733A10" w:rsidRDefault="00733A10" w:rsidP="00856A10">
      <w:pPr>
        <w:spacing w:line="480" w:lineRule="auto"/>
        <w:rPr>
          <w:b/>
          <w:bCs/>
          <w:color w:val="000000" w:themeColor="text1"/>
        </w:rPr>
      </w:pPr>
    </w:p>
    <w:p w14:paraId="6422ECC0" w14:textId="453152E3" w:rsidR="009F1352" w:rsidRPr="00733A10"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m:oMathPara>
    </w:p>
    <w:p w14:paraId="10572763" w14:textId="77777777" w:rsidR="00733A10" w:rsidRDefault="00733A10" w:rsidP="00856A10">
      <w:pPr>
        <w:spacing w:line="480" w:lineRule="auto"/>
        <w:rPr>
          <w:color w:val="000000" w:themeColor="text1"/>
        </w:rPr>
      </w:pPr>
    </w:p>
    <w:p w14:paraId="34D514BA" w14:textId="2C936E8C" w:rsidR="00B24C92" w:rsidRDefault="009F1352" w:rsidP="00856A10">
      <w:pPr>
        <w:spacing w:line="480" w:lineRule="auto"/>
        <w:rPr>
          <w:color w:val="000000" w:themeColor="text1"/>
        </w:rPr>
      </w:pPr>
      <w:r>
        <w:rPr>
          <w:color w:val="000000" w:themeColor="text1"/>
        </w:rPr>
        <w:t xml:space="preserve">With </w:t>
      </w:r>
      <m:oMath>
        <m:r>
          <w:rPr>
            <w:rFonts w:ascii="Cambria Math" w:hAnsi="Cambria Math"/>
            <w:color w:val="000000" w:themeColor="text1"/>
          </w:rPr>
          <m:t>n=</m:t>
        </m:r>
        <m:d>
          <m:dPr>
            <m:begChr m:val="{"/>
            <m:endChr m:val="}"/>
            <m:ctrlPr>
              <w:rPr>
                <w:rFonts w:ascii="Cambria Math" w:hAnsi="Cambria Math"/>
                <w:i/>
                <w:color w:val="000000" w:themeColor="text1"/>
              </w:rPr>
            </m:ctrlPr>
          </m:dPr>
          <m:e>
            <m:r>
              <w:rPr>
                <w:rFonts w:ascii="Cambria Math" w:hAnsi="Cambria Math"/>
                <w:color w:val="000000" w:themeColor="text1"/>
              </w:rPr>
              <m:t>1,2,…,N</m:t>
            </m:r>
          </m:e>
        </m:d>
        <m:r>
          <w:rPr>
            <w:rFonts w:ascii="Cambria Math" w:hAnsi="Cambria Math"/>
            <w:color w:val="000000" w:themeColor="text1"/>
          </w:rPr>
          <m:t>, m=</m:t>
        </m:r>
        <m:d>
          <m:dPr>
            <m:begChr m:val="{"/>
            <m:endChr m:val="}"/>
            <m:ctrlPr>
              <w:rPr>
                <w:rFonts w:ascii="Cambria Math" w:hAnsi="Cambria Math"/>
                <w:i/>
                <w:color w:val="000000" w:themeColor="text1"/>
              </w:rPr>
            </m:ctrlPr>
          </m:dPr>
          <m:e>
            <m:r>
              <w:rPr>
                <w:rFonts w:ascii="Cambria Math" w:hAnsi="Cambria Math"/>
                <w:color w:val="000000" w:themeColor="text1"/>
              </w:rPr>
              <m:t>0,1,…,N-1</m:t>
            </m:r>
          </m:e>
        </m:d>
        <m:r>
          <w:rPr>
            <w:rFonts w:ascii="Cambria Math" w:hAnsi="Cambria Math"/>
            <w:color w:val="000000" w:themeColor="text1"/>
          </w:rPr>
          <m:t>, i={1,2,…,</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r>
          <w:rPr>
            <w:rFonts w:ascii="Cambria Math" w:hAnsi="Cambria Math"/>
            <w:color w:val="000000" w:themeColor="text1"/>
          </w:rPr>
          <m:t>}</m:t>
        </m:r>
      </m:oMath>
      <w:r>
        <w:rPr>
          <w:color w:val="000000" w:themeColor="text1"/>
        </w:rPr>
        <w:t xml:space="preserve"> and where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Pr>
          <w:color w:val="000000" w:themeColor="text1"/>
        </w:rPr>
        <w:t xml:space="preserve"> is 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Pr>
          <w:color w:val="000000" w:themeColor="text1"/>
        </w:rPr>
        <w:t xml:space="preserve"> set of subpopulations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Pr>
          <w:color w:val="000000" w:themeColor="text1"/>
        </w:rPr>
        <w:t xml:space="preserve"> with </w:t>
      </w:r>
      <m:oMath>
        <m:r>
          <w:rPr>
            <w:rFonts w:ascii="Cambria Math" w:hAnsi="Cambria Math"/>
            <w:color w:val="000000" w:themeColor="text1"/>
          </w:rPr>
          <m:t>k≠n</m:t>
        </m:r>
      </m:oMath>
      <w:r>
        <w:rPr>
          <w:color w:val="000000" w:themeColor="text1"/>
        </w:rPr>
        <w:t xml:space="preserve"> such that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m:t>
        </m:r>
      </m:oMath>
      <w:r>
        <w:rPr>
          <w:color w:val="000000" w:themeColor="text1"/>
        </w:rPr>
        <w:t xml:space="preserve">. </w:t>
      </w:r>
      <w:r w:rsidR="00076CF9">
        <w:rPr>
          <w:color w:val="000000" w:themeColor="text1"/>
        </w:rPr>
        <w:t xml:space="preserve">In words,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076CF9">
        <w:rPr>
          <w:color w:val="000000" w:themeColor="text1"/>
        </w:rPr>
        <w:t xml:space="preserve"> is the contribution of subgroup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to the </w:t>
      </w:r>
      <w:r w:rsidR="008E4BD2">
        <w:rPr>
          <w:color w:val="000000" w:themeColor="text1"/>
        </w:rPr>
        <w:t xml:space="preserve">life-table function </w:t>
      </w:r>
      <m:oMath>
        <m:r>
          <w:rPr>
            <w:rFonts w:ascii="Cambria Math" w:hAnsi="Cambria Math"/>
            <w:color w:val="000000" w:themeColor="text1"/>
          </w:rPr>
          <m:t>l()</m:t>
        </m:r>
      </m:oMath>
      <w:r w:rsidR="008E4BD2">
        <w:rPr>
          <w:color w:val="000000" w:themeColor="text1"/>
        </w:rPr>
        <w:t xml:space="preserve"> for the total population</w:t>
      </w:r>
      <w:r w:rsidR="00076CF9">
        <w:rPr>
          <w:color w:val="000000" w:themeColor="text1"/>
        </w:rPr>
        <w:t xml:space="preserve"> calculated as the difference between the </w:t>
      </w:r>
      <w:r w:rsidR="00944A8E">
        <w:rPr>
          <w:color w:val="000000" w:themeColor="text1"/>
        </w:rPr>
        <w:t xml:space="preserve">value of </w:t>
      </w:r>
      <m:oMath>
        <m:r>
          <w:rPr>
            <w:rFonts w:ascii="Cambria Math" w:hAnsi="Cambria Math"/>
            <w:color w:val="000000" w:themeColor="text1"/>
          </w:rPr>
          <m:t>l()</m:t>
        </m:r>
      </m:oMath>
      <w:r w:rsidR="00944A8E">
        <w:rPr>
          <w:color w:val="000000" w:themeColor="text1"/>
        </w:rPr>
        <w:t xml:space="preserve"> for </w:t>
      </w:r>
      <w:r w:rsidR="00076CF9">
        <w:rPr>
          <w:color w:val="000000" w:themeColor="text1"/>
        </w:rPr>
        <w:t xml:space="preserve">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944A8E">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076CF9">
        <w:rPr>
          <w:color w:val="000000" w:themeColor="text1"/>
        </w:rPr>
        <w:t>), and th</w:t>
      </w:r>
      <w:r w:rsidR="00944A8E">
        <w:rPr>
          <w:color w:val="000000" w:themeColor="text1"/>
        </w:rPr>
        <w:t xml:space="preserve">e value of </w:t>
      </w:r>
      <m:oMath>
        <m:r>
          <w:rPr>
            <w:rFonts w:ascii="Cambria Math" w:hAnsi="Cambria Math"/>
            <w:color w:val="000000" w:themeColor="text1"/>
          </w:rPr>
          <m:t>l()</m:t>
        </m:r>
      </m:oMath>
      <w:r w:rsidR="00944A8E">
        <w:rPr>
          <w:color w:val="000000" w:themeColor="text1"/>
        </w:rPr>
        <w:t xml:space="preserve"> for</w:t>
      </w:r>
      <w:r w:rsidR="00076CF9">
        <w:rPr>
          <w:color w:val="000000" w:themeColor="text1"/>
        </w:rPr>
        <w:t xml:space="preserve"> 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and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w:r w:rsidR="00076CF9">
        <w:rPr>
          <w:color w:val="000000" w:themeColor="text1"/>
        </w:rPr>
        <w:t xml:space="preserve">). This </w:t>
      </w:r>
      <w:r w:rsidR="00E230B9">
        <w:rPr>
          <w:color w:val="000000" w:themeColor="text1"/>
        </w:rPr>
        <w:t xml:space="preserve">definition </w:t>
      </w:r>
      <w:r w:rsidR="00076CF9">
        <w:rPr>
          <w:color w:val="000000" w:themeColor="text1"/>
        </w:rPr>
        <w:t xml:space="preserve">might seem confusing but it’s just a generalization of the types of contributions we have seen in the cases </w:t>
      </w:r>
      <m:oMath>
        <m:r>
          <w:rPr>
            <w:rFonts w:ascii="Cambria Math" w:hAnsi="Cambria Math"/>
            <w:color w:val="000000" w:themeColor="text1"/>
          </w:rPr>
          <m:t>N=2, 3</m:t>
        </m:r>
      </m:oMath>
      <w:r w:rsidR="00076CF9">
        <w:rPr>
          <w:color w:val="000000" w:themeColor="text1"/>
        </w:rPr>
        <w:t xml:space="preserve">. Indeed, for </w:t>
      </w:r>
      <m:oMath>
        <m:r>
          <w:rPr>
            <w:rFonts w:ascii="Cambria Math" w:hAnsi="Cambria Math"/>
            <w:color w:val="000000" w:themeColor="text1"/>
          </w:rPr>
          <m:t>N=2</m:t>
        </m:r>
      </m:oMath>
      <w:r w:rsidR="00E230B9">
        <w:rPr>
          <w:color w:val="000000" w:themeColor="text1"/>
        </w:rPr>
        <w:t>,</w:t>
      </w:r>
      <w:r w:rsidR="00076CF9">
        <w:rPr>
          <w:color w:val="000000" w:themeColor="text1"/>
        </w:rPr>
        <w:t xml:space="preserve"> our familiar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simply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1,0,1</m:t>
            </m:r>
          </m:sup>
        </m:sSup>
      </m:oMath>
      <w:r w:rsidR="00076CF9">
        <w:rPr>
          <w:color w:val="000000" w:themeColor="text1"/>
        </w:rPr>
        <w:t xml:space="preserve"> while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r w:rsidR="00076CF9">
        <w:rPr>
          <w:color w:val="000000" w:themeColor="text1"/>
        </w:rPr>
        <w:t xml:space="preserve">. For </w:t>
      </w:r>
      <m:oMath>
        <m:r>
          <w:rPr>
            <w:rFonts w:ascii="Cambria Math" w:hAnsi="Cambria Math"/>
            <w:color w:val="000000" w:themeColor="text1"/>
          </w:rPr>
          <m:t>N=3</m:t>
        </m:r>
      </m:oMath>
      <w:r w:rsidR="00076CF9">
        <w:rPr>
          <w:color w:val="000000" w:themeColor="text1"/>
        </w:rPr>
        <w:t xml:space="preserve">, we have the more interesting </w:t>
      </w:r>
      <w:r w:rsidR="00B24C92">
        <w:rPr>
          <w:color w:val="000000" w:themeColor="text1"/>
        </w:rPr>
        <w:t>“internal” terms for which we had no notation so far. With this new notation we can write:</w:t>
      </w:r>
    </w:p>
    <w:p w14:paraId="07C16571" w14:textId="77777777" w:rsidR="00B24C92" w:rsidRDefault="00B24C92" w:rsidP="00856A10">
      <w:pPr>
        <w:spacing w:line="480" w:lineRule="auto"/>
        <w:rPr>
          <w:color w:val="000000" w:themeColor="text1"/>
        </w:rPr>
      </w:pPr>
    </w:p>
    <w:p w14:paraId="35CDC3B5" w14:textId="0520E4D0" w:rsidR="00B24C92" w:rsidRPr="0036265F"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p>
    <w:p w14:paraId="31D9C5BB" w14:textId="1CC0956D" w:rsidR="00B24C92"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1,1,2</m:t>
            </m:r>
          </m:sup>
        </m:sSup>
      </m:oMath>
    </w:p>
    <w:p w14:paraId="57299701" w14:textId="77777777" w:rsidR="00B24C92" w:rsidRDefault="00B24C92" w:rsidP="00856A10">
      <w:pPr>
        <w:pStyle w:val="ListParagraph"/>
        <w:spacing w:line="480" w:lineRule="auto"/>
        <w:rPr>
          <w:color w:val="000000" w:themeColor="text1"/>
        </w:rPr>
      </w:pPr>
    </w:p>
    <w:p w14:paraId="13C1DA92" w14:textId="0C3D8D8C" w:rsidR="00B24C92" w:rsidRDefault="00B24C92" w:rsidP="00856A10">
      <w:pPr>
        <w:spacing w:line="480" w:lineRule="auto"/>
        <w:rPr>
          <w:color w:val="000000" w:themeColor="text1"/>
        </w:rPr>
      </w:pPr>
      <w:r>
        <w:rPr>
          <w:color w:val="000000" w:themeColor="text1"/>
        </w:rPr>
        <w:t xml:space="preserve">With these expressions, we can see why </w:t>
      </w:r>
      <m:oMath>
        <m:r>
          <w:rPr>
            <w:rFonts w:ascii="Cambria Math" w:hAnsi="Cambria Math"/>
            <w:color w:val="000000" w:themeColor="text1"/>
          </w:rPr>
          <m:t>m</m:t>
        </m:r>
      </m:oMath>
      <w:r w:rsidR="00C907B4">
        <w:rPr>
          <w:color w:val="000000" w:themeColor="text1"/>
        </w:rPr>
        <w:t xml:space="preserve"> should be bounded between </w:t>
      </w:r>
      <m:oMath>
        <m:r>
          <w:rPr>
            <w:rFonts w:ascii="Cambria Math" w:hAnsi="Cambria Math"/>
            <w:color w:val="000000" w:themeColor="text1"/>
          </w:rPr>
          <m:t>0</m:t>
        </m:r>
      </m:oMath>
      <w:r w:rsidR="00C907B4">
        <w:rPr>
          <w:color w:val="000000" w:themeColor="text1"/>
        </w:rPr>
        <w:t xml:space="preserve"> and </w:t>
      </w:r>
      <m:oMath>
        <m:r>
          <w:rPr>
            <w:rFonts w:ascii="Cambria Math" w:hAnsi="Cambria Math"/>
            <w:color w:val="000000" w:themeColor="text1"/>
          </w:rPr>
          <m:t>N-1</m:t>
        </m:r>
      </m:oMath>
      <w:r w:rsidR="00C907B4">
        <w:rPr>
          <w:color w:val="000000" w:themeColor="text1"/>
        </w:rPr>
        <w:t xml:space="preserve"> and </w:t>
      </w:r>
      <m:oMath>
        <m:r>
          <w:rPr>
            <w:rFonts w:ascii="Cambria Math" w:hAnsi="Cambria Math"/>
            <w:color w:val="000000" w:themeColor="text1"/>
          </w:rPr>
          <m:t>i</m:t>
        </m:r>
      </m:oMath>
      <w:r w:rsidR="00C907B4">
        <w:rPr>
          <w:color w:val="000000" w:themeColor="text1"/>
        </w:rPr>
        <w:t xml:space="preserve"> between </w:t>
      </w:r>
      <m:oMath>
        <m:r>
          <w:rPr>
            <w:rFonts w:ascii="Cambria Math" w:hAnsi="Cambria Math"/>
            <w:color w:val="000000" w:themeColor="text1"/>
          </w:rPr>
          <m:t>1</m:t>
        </m:r>
      </m:oMath>
      <w:r w:rsidR="00C907B4">
        <w:rPr>
          <w:color w:val="000000" w:themeColor="text1"/>
        </w:rPr>
        <w:t xml:space="preserve"> and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With </w:t>
      </w:r>
      <m:oMath>
        <m:r>
          <w:rPr>
            <w:rFonts w:ascii="Cambria Math" w:hAnsi="Cambria Math"/>
            <w:color w:val="000000" w:themeColor="text1"/>
          </w:rPr>
          <m:t>m=0,</m:t>
        </m:r>
      </m:oMath>
      <w:r w:rsidR="00C907B4">
        <w:rPr>
          <w:color w:val="000000" w:themeColor="text1"/>
        </w:rPr>
        <w:t xml:space="preserve"> we recover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C907B4">
        <w:rPr>
          <w:color w:val="000000" w:themeColor="text1"/>
        </w:rPr>
        <w:t xml:space="preserve">, when </w:t>
      </w:r>
      <m:oMath>
        <m:r>
          <w:rPr>
            <w:rFonts w:ascii="Cambria Math" w:hAnsi="Cambria Math"/>
            <w:color w:val="000000" w:themeColor="text1"/>
          </w:rPr>
          <m:t>m=0</m:t>
        </m:r>
      </m:oMath>
      <w:r w:rsidR="00C907B4">
        <w:rPr>
          <w:color w:val="000000" w:themeColor="text1"/>
        </w:rPr>
        <w:t xml:space="preserve">, there is no need for an index </w:t>
      </w:r>
      <m:oMath>
        <m:r>
          <w:rPr>
            <w:rFonts w:ascii="Cambria Math" w:hAnsi="Cambria Math"/>
            <w:color w:val="000000" w:themeColor="text1"/>
          </w:rPr>
          <m:t>i</m:t>
        </m:r>
      </m:oMath>
      <w:r w:rsidR="00C907B4">
        <w:rPr>
          <w:color w:val="000000" w:themeColor="text1"/>
        </w:rPr>
        <w:t xml:space="preserve"> which we can conventionally set to </w:t>
      </w:r>
      <m:oMath>
        <m:r>
          <w:rPr>
            <w:rFonts w:ascii="Cambria Math" w:hAnsi="Cambria Math"/>
            <w:color w:val="000000" w:themeColor="text1"/>
          </w:rPr>
          <m:t>1</m:t>
        </m:r>
      </m:oMath>
      <w:r w:rsidR="00C907B4">
        <w:rPr>
          <w:color w:val="000000" w:themeColor="text1"/>
        </w:rPr>
        <w:t xml:space="preserve">. For </w:t>
      </w:r>
      <m:oMath>
        <m:r>
          <w:rPr>
            <w:rFonts w:ascii="Cambria Math" w:hAnsi="Cambria Math"/>
            <w:color w:val="000000" w:themeColor="text1"/>
          </w:rPr>
          <m:t>m=1</m:t>
        </m:r>
      </m:oMath>
      <w:r w:rsidR="00C907B4">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sidR="000D5BC6">
        <w:rPr>
          <w:color w:val="000000" w:themeColor="text1"/>
        </w:rPr>
        <w:t xml:space="preserve"> contains only one element which we can choose</w:t>
      </w:r>
      <w:r w:rsidR="00C907B4">
        <w:rPr>
          <w:color w:val="000000" w:themeColor="text1"/>
        </w:rPr>
        <w:t xml:space="preserve"> out of the </w:t>
      </w:r>
      <m:oMath>
        <m:r>
          <w:rPr>
            <w:rFonts w:ascii="Cambria Math" w:hAnsi="Cambria Math"/>
            <w:color w:val="000000" w:themeColor="text1"/>
          </w:rPr>
          <m:t>N-1</m:t>
        </m:r>
      </m:oMath>
      <w:r w:rsidR="00C907B4">
        <w:rPr>
          <w:color w:val="000000" w:themeColor="text1"/>
        </w:rPr>
        <w:t xml:space="preserve"> groups that are not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C907B4">
        <w:rPr>
          <w:color w:val="000000" w:themeColor="text1"/>
        </w:rPr>
        <w:t xml:space="preserve">. The first of these groups will be denoted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1</m:t>
            </m:r>
          </m:sup>
        </m:sSubSup>
      </m:oMath>
      <w:r w:rsidR="00C907B4">
        <w:rPr>
          <w:color w:val="000000" w:themeColor="text1"/>
        </w:rPr>
        <w:t xml:space="preserve">, the second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2</m:t>
            </m:r>
          </m:sub>
          <m:sup>
            <m:r>
              <w:rPr>
                <w:rFonts w:ascii="Cambria Math" w:hAnsi="Cambria Math"/>
                <w:color w:val="000000" w:themeColor="text1"/>
              </w:rPr>
              <m:t>1</m:t>
            </m:r>
          </m:sup>
        </m:sSubSup>
      </m:oMath>
      <w:r w:rsidR="00C907B4">
        <w:rPr>
          <w:color w:val="000000" w:themeColor="text1"/>
        </w:rPr>
        <w:t>, and so on.</w:t>
      </w:r>
      <w:r w:rsidR="00C61E60">
        <w:rPr>
          <w:color w:val="000000" w:themeColor="text1"/>
        </w:rPr>
        <w:t xml:space="preserve"> The order in which we select the groups does not really matter.</w:t>
      </w:r>
      <w:r w:rsidR="00C907B4">
        <w:rPr>
          <w:color w:val="000000" w:themeColor="text1"/>
        </w:rPr>
        <w:t xml:space="preserve"> Notice that</w:t>
      </w:r>
      <w:r w:rsidR="000D5BC6">
        <w:rPr>
          <w:color w:val="000000" w:themeColor="text1"/>
        </w:rPr>
        <w:t xml:space="preserve">, for a general </w:t>
      </w:r>
      <m:oMath>
        <m:r>
          <w:rPr>
            <w:rFonts w:ascii="Cambria Math" w:hAnsi="Cambria Math"/>
            <w:color w:val="000000" w:themeColor="text1"/>
          </w:rPr>
          <m:t>m</m:t>
        </m:r>
      </m:oMath>
      <w:r w:rsidR="000D5BC6">
        <w:rPr>
          <w:color w:val="000000" w:themeColor="text1"/>
        </w:rPr>
        <w:t xml:space="preserve"> </w:t>
      </w:r>
      <w:r w:rsidR="00C907B4">
        <w:rPr>
          <w:color w:val="000000" w:themeColor="text1"/>
        </w:rPr>
        <w:t xml:space="preserve">there will be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of these groups which explains the limits imposed on </w:t>
      </w:r>
      <m:oMath>
        <m:r>
          <w:rPr>
            <w:rFonts w:ascii="Cambria Math" w:hAnsi="Cambria Math"/>
            <w:color w:val="000000" w:themeColor="text1"/>
          </w:rPr>
          <m:t>i</m:t>
        </m:r>
      </m:oMath>
      <w:r w:rsidR="00C907B4">
        <w:rPr>
          <w:color w:val="000000" w:themeColor="text1"/>
        </w:rPr>
        <w:t>.</w:t>
      </w:r>
      <w:r w:rsidR="0010301C">
        <w:rPr>
          <w:color w:val="000000" w:themeColor="text1"/>
        </w:rPr>
        <w:t xml:space="preserve"> Finally, when we reach </w:t>
      </w:r>
      <m:oMath>
        <m:r>
          <w:rPr>
            <w:rFonts w:ascii="Cambria Math" w:hAnsi="Cambria Math"/>
            <w:color w:val="000000" w:themeColor="text1"/>
          </w:rPr>
          <m:t>m=N-1</m:t>
        </m:r>
      </m:oMath>
      <w:r w:rsidR="0010301C">
        <w:rPr>
          <w:color w:val="000000" w:themeColor="text1"/>
        </w:rPr>
        <w:t xml:space="preserve">, we obtain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10301C">
        <w:rPr>
          <w:color w:val="000000" w:themeColor="text1"/>
        </w:rPr>
        <w:t xml:space="preserve"> because:</w:t>
      </w:r>
    </w:p>
    <w:p w14:paraId="6ECE9136" w14:textId="77777777" w:rsidR="005636BE" w:rsidRDefault="005636BE" w:rsidP="00856A10">
      <w:pPr>
        <w:spacing w:line="480" w:lineRule="auto"/>
        <w:rPr>
          <w:color w:val="000000" w:themeColor="text1"/>
        </w:rPr>
      </w:pPr>
    </w:p>
    <w:p w14:paraId="2FCAFAFD" w14:textId="0DB675E4" w:rsidR="0010301C" w:rsidRPr="00C61E60" w:rsidRDefault="00C61E60" w:rsidP="00856A10">
      <w:pPr>
        <w:pStyle w:val="ListParagraph"/>
        <w:spacing w:line="480" w:lineRule="auto"/>
        <w:rPr>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m:oMathPara>
    </w:p>
    <w:p w14:paraId="599EC675" w14:textId="77777777" w:rsidR="00C61E60" w:rsidRDefault="00C61E60" w:rsidP="00856A10">
      <w:pPr>
        <w:pStyle w:val="ListParagraph"/>
        <w:spacing w:line="480" w:lineRule="auto"/>
        <w:rPr>
          <w:color w:val="000000" w:themeColor="text1"/>
        </w:rPr>
      </w:pPr>
    </w:p>
    <w:p w14:paraId="6DFF4393" w14:textId="77777777" w:rsidR="000D5BC6" w:rsidRDefault="0010301C" w:rsidP="00856A10">
      <w:pPr>
        <w:spacing w:line="480" w:lineRule="auto"/>
        <w:rPr>
          <w:color w:val="000000" w:themeColor="text1"/>
        </w:rPr>
      </w:pPr>
      <w:r>
        <w:rPr>
          <w:color w:val="000000" w:themeColor="text1"/>
        </w:rPr>
        <w:t xml:space="preserve">Clearly, there is only one way of choosing </w:t>
      </w:r>
      <m:oMath>
        <m:r>
          <w:rPr>
            <w:rFonts w:ascii="Cambria Math" w:hAnsi="Cambria Math"/>
            <w:color w:val="000000" w:themeColor="text1"/>
          </w:rPr>
          <m:t>N-1</m:t>
        </m:r>
      </m:oMath>
      <w:r>
        <w:rPr>
          <w:color w:val="000000" w:themeColor="text1"/>
        </w:rPr>
        <w:t xml:space="preserve"> elements from a set of </w:t>
      </w:r>
      <m:oMath>
        <m:r>
          <w:rPr>
            <w:rFonts w:ascii="Cambria Math" w:hAnsi="Cambria Math"/>
            <w:color w:val="000000" w:themeColor="text1"/>
          </w:rPr>
          <m:t>N-1</m:t>
        </m:r>
      </m:oMath>
      <w:r>
        <w:rPr>
          <w:color w:val="000000" w:themeColor="text1"/>
        </w:rPr>
        <w:t xml:space="preserve"> elements.</w:t>
      </w:r>
      <w:r w:rsidR="00D66608">
        <w:rPr>
          <w:color w:val="000000" w:themeColor="text1"/>
        </w:rPr>
        <w:t xml:space="preserve"> </w:t>
      </w:r>
    </w:p>
    <w:p w14:paraId="78E410D0" w14:textId="77777777" w:rsidR="000D5BC6" w:rsidRDefault="000D5BC6" w:rsidP="00856A10">
      <w:pPr>
        <w:spacing w:line="480" w:lineRule="auto"/>
        <w:rPr>
          <w:color w:val="000000" w:themeColor="text1"/>
        </w:rPr>
      </w:pPr>
    </w:p>
    <w:p w14:paraId="1D90A969" w14:textId="6F0DAF30" w:rsidR="0010301C" w:rsidRDefault="00D66608" w:rsidP="00856A10">
      <w:pPr>
        <w:spacing w:line="480" w:lineRule="auto"/>
        <w:rPr>
          <w:color w:val="000000" w:themeColor="text1"/>
        </w:rPr>
      </w:pPr>
      <w:r>
        <w:rPr>
          <w:color w:val="000000" w:themeColor="text1"/>
        </w:rPr>
        <w:t xml:space="preserve">As for the </w:t>
      </w:r>
      <m:oMath>
        <m:r>
          <w:rPr>
            <w:rFonts w:ascii="Cambria Math" w:hAnsi="Cambria Math"/>
            <w:color w:val="000000" w:themeColor="text1"/>
          </w:rPr>
          <m:t>N=3</m:t>
        </m:r>
      </m:oMath>
      <w:r>
        <w:rPr>
          <w:color w:val="000000" w:themeColor="text1"/>
        </w:rPr>
        <w:t xml:space="preserve"> case, we </w:t>
      </w:r>
      <w:r w:rsidR="000D5BC6">
        <w:rPr>
          <w:color w:val="000000" w:themeColor="text1"/>
        </w:rPr>
        <w:t xml:space="preserve">now </w:t>
      </w:r>
      <w:r>
        <w:rPr>
          <w:color w:val="000000" w:themeColor="text1"/>
        </w:rPr>
        <w:t xml:space="preserve">need to find appropriate weights for each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Pr>
          <w:color w:val="000000" w:themeColor="text1"/>
        </w:rPr>
        <w:t xml:space="preserve">. </w:t>
      </w:r>
      <w:r w:rsidR="00B522A6">
        <w:rPr>
          <w:color w:val="000000" w:themeColor="text1"/>
        </w:rPr>
        <w:t>The general principle is still the same, we need</w:t>
      </w:r>
      <w:r w:rsidR="00265512">
        <w:rPr>
          <w:color w:val="000000" w:themeColor="text1"/>
        </w:rPr>
        <w:t xml:space="preserve"> weights </w:t>
      </w:r>
      <w:r w:rsidR="005636BE">
        <w:rPr>
          <w:color w:val="000000" w:themeColor="text1"/>
        </w:rPr>
        <w:t xml:space="preserve">that </w:t>
      </w:r>
      <w:r w:rsidR="00265512">
        <w:rPr>
          <w:color w:val="000000" w:themeColor="text1"/>
        </w:rPr>
        <w:t>are</w:t>
      </w:r>
      <w:r w:rsidR="00B522A6">
        <w:rPr>
          <w:color w:val="000000" w:themeColor="text1"/>
        </w:rPr>
        <w:t xml:space="preserve"> inversely</w:t>
      </w:r>
      <w:r w:rsidR="00265512">
        <w:rPr>
          <w:color w:val="000000" w:themeColor="text1"/>
        </w:rPr>
        <w:t xml:space="preserve"> proportional to the number of contribution types </w:t>
      </w:r>
      <m:oMath>
        <m:r>
          <w:rPr>
            <w:rFonts w:ascii="Cambria Math" w:hAnsi="Cambria Math"/>
            <w:color w:val="000000" w:themeColor="text1"/>
          </w:rPr>
          <m:t>N</m:t>
        </m:r>
      </m:oMath>
      <w:r w:rsidR="00265512">
        <w:rPr>
          <w:color w:val="000000" w:themeColor="text1"/>
        </w:rPr>
        <w:t xml:space="preserve"> and </w:t>
      </w:r>
      <w:r w:rsidR="00B522A6">
        <w:rPr>
          <w:color w:val="000000" w:themeColor="text1"/>
        </w:rPr>
        <w:t xml:space="preserve">inversely proportional to </w:t>
      </w:r>
      <w:r w:rsidR="00265512">
        <w:rPr>
          <w:color w:val="000000" w:themeColor="text1"/>
        </w:rPr>
        <w:t xml:space="preserve">the number of contributions for the specific type </w:t>
      </w:r>
      <m:oMath>
        <m:r>
          <w:rPr>
            <w:rFonts w:ascii="Cambria Math" w:hAnsi="Cambria Math"/>
            <w:color w:val="000000" w:themeColor="text1"/>
          </w:rPr>
          <m:t>m</m:t>
        </m:r>
      </m:oMath>
      <w:r w:rsidR="00265512">
        <w:rPr>
          <w:color w:val="000000" w:themeColor="text1"/>
        </w:rPr>
        <w:t>. This consideration leads to a simple expression:</w:t>
      </w:r>
    </w:p>
    <w:p w14:paraId="55504E91" w14:textId="77777777" w:rsidR="00B522A6" w:rsidRDefault="00B522A6" w:rsidP="00856A10">
      <w:pPr>
        <w:spacing w:line="480" w:lineRule="auto"/>
        <w:rPr>
          <w:color w:val="000000" w:themeColor="text1"/>
        </w:rPr>
      </w:pPr>
    </w:p>
    <w:p w14:paraId="4EAB1E79" w14:textId="2B6A0633" w:rsidR="00265512"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m:oMathPara>
    </w:p>
    <w:p w14:paraId="134B1919" w14:textId="77777777" w:rsidR="00B522A6" w:rsidRDefault="00B522A6" w:rsidP="00856A10">
      <w:pPr>
        <w:spacing w:line="480" w:lineRule="auto"/>
        <w:rPr>
          <w:color w:val="000000" w:themeColor="text1"/>
        </w:rPr>
      </w:pPr>
    </w:p>
    <w:p w14:paraId="4A0FC83C" w14:textId="26CE0E14" w:rsidR="000D5BC6" w:rsidRDefault="00B522A6" w:rsidP="00856A10">
      <w:pPr>
        <w:spacing w:line="480" w:lineRule="auto"/>
        <w:rPr>
          <w:color w:val="000000" w:themeColor="text1"/>
        </w:rPr>
      </w:pPr>
      <w:r>
        <w:rPr>
          <w:color w:val="000000" w:themeColor="text1"/>
        </w:rPr>
        <w:t xml:space="preserve">Which is just a generalization of the weights we derived for </w:t>
      </w:r>
      <m:oMath>
        <m:r>
          <w:rPr>
            <w:rFonts w:ascii="Cambria Math" w:hAnsi="Cambria Math"/>
            <w:color w:val="000000" w:themeColor="text1"/>
          </w:rPr>
          <m:t>(N=3)</m:t>
        </m:r>
      </m:oMath>
      <w:r>
        <w:rPr>
          <w:color w:val="000000" w:themeColor="text1"/>
        </w:rPr>
        <w:t>. In the expression above</w:t>
      </w:r>
      <w:r w:rsidR="0050357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50357C">
        <w:rPr>
          <w:color w:val="000000" w:themeColor="text1"/>
        </w:rPr>
        <w:t xml:space="preserve"> denotes the weight for all terms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50357C">
        <w:rPr>
          <w:color w:val="000000" w:themeColor="text1"/>
        </w:rPr>
        <w:t xml:space="preserve">. </w:t>
      </w:r>
      <w:r w:rsidR="000D5BC6">
        <w:rPr>
          <w:color w:val="000000" w:themeColor="text1"/>
        </w:rPr>
        <w:t xml:space="preserve">These weights are equal for all </w:t>
      </w:r>
      <m:oMath>
        <m:r>
          <w:rPr>
            <w:rFonts w:ascii="Cambria Math" w:hAnsi="Cambria Math"/>
            <w:color w:val="000000" w:themeColor="text1"/>
          </w:rPr>
          <m:t>m</m:t>
        </m:r>
      </m:oMath>
      <w:r w:rsidR="000D5BC6">
        <w:rPr>
          <w:color w:val="000000" w:themeColor="text1"/>
        </w:rPr>
        <w:t xml:space="preserve">-type contributions and </w:t>
      </w:r>
      <w:r>
        <w:rPr>
          <w:color w:val="000000" w:themeColor="text1"/>
        </w:rPr>
        <w:t>en</w:t>
      </w:r>
      <w:r w:rsidR="000D5BC6">
        <w:rPr>
          <w:color w:val="000000" w:themeColor="text1"/>
        </w:rPr>
        <w:t xml:space="preserve">sure that each set of </w:t>
      </w:r>
      <m:oMath>
        <m:r>
          <w:rPr>
            <w:rFonts w:ascii="Cambria Math" w:hAnsi="Cambria Math"/>
            <w:color w:val="000000" w:themeColor="text1"/>
          </w:rPr>
          <m:t>m</m:t>
        </m:r>
      </m:oMath>
      <w:r w:rsidR="000D5BC6">
        <w:rPr>
          <w:color w:val="000000" w:themeColor="text1"/>
        </w:rPr>
        <w:t xml:space="preserve">-contributions is collectively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0D5BC6">
        <w:rPr>
          <w:color w:val="000000" w:themeColor="text1"/>
        </w:rPr>
        <w:t xml:space="preserve"> while each of its members is also assigned the </w:t>
      </w:r>
      <w:r w:rsidR="000D5BC6">
        <w:rPr>
          <w:color w:val="000000" w:themeColor="text1"/>
        </w:rPr>
        <w:lastRenderedPageBreak/>
        <w:t xml:space="preserve">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w:r w:rsidR="000D5BC6">
        <w:rPr>
          <w:color w:val="000000" w:themeColor="text1"/>
        </w:rPr>
        <w:t xml:space="preserve">. With our new notation and having defined appropriate weights, we can define the average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D5BC6">
        <w:rPr>
          <w:color w:val="000000" w:themeColor="text1"/>
        </w:rPr>
        <w:t xml:space="preserve"> as:</w:t>
      </w:r>
    </w:p>
    <w:p w14:paraId="526A2486" w14:textId="77777777" w:rsidR="00B522A6" w:rsidRDefault="00B522A6" w:rsidP="00856A10">
      <w:pPr>
        <w:spacing w:line="480" w:lineRule="auto"/>
        <w:rPr>
          <w:color w:val="000000" w:themeColor="text1"/>
        </w:rPr>
      </w:pPr>
    </w:p>
    <w:p w14:paraId="2766EAA0" w14:textId="6BBCA886" w:rsidR="000D5BC6"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m=0</m:t>
              </m:r>
            </m:sub>
            <m:sup>
              <m:r>
                <w:rPr>
                  <w:rFonts w:ascii="Cambria Math" w:hAnsi="Cambria Math"/>
                  <w:color w:val="000000" w:themeColor="text1"/>
                </w:rPr>
                <m:t>N-1</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e>
              </m:nary>
            </m:e>
          </m:nary>
        </m:oMath>
      </m:oMathPara>
    </w:p>
    <w:p w14:paraId="4B016FB3" w14:textId="77777777" w:rsidR="00B522A6" w:rsidRDefault="00B522A6" w:rsidP="00856A10">
      <w:pPr>
        <w:spacing w:line="480" w:lineRule="auto"/>
        <w:rPr>
          <w:color w:val="000000" w:themeColor="text1"/>
        </w:rPr>
      </w:pPr>
    </w:p>
    <w:p w14:paraId="0C17190C" w14:textId="3EC5F474" w:rsidR="00D94235" w:rsidRDefault="00D94235" w:rsidP="00856A10">
      <w:pPr>
        <w:spacing w:line="480" w:lineRule="auto"/>
        <w:rPr>
          <w:color w:val="000000" w:themeColor="text1"/>
        </w:rPr>
      </w:pPr>
      <w:r>
        <w:rPr>
          <w:color w:val="000000" w:themeColor="text1"/>
        </w:rPr>
        <w:t xml:space="preserve">To establish that average contributions defined in this way form a </w:t>
      </w:r>
      <w:r w:rsidR="00B522A6">
        <w:rPr>
          <w:color w:val="000000" w:themeColor="text1"/>
        </w:rPr>
        <w:t xml:space="preserve">valid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B522A6">
        <w:rPr>
          <w:color w:val="000000" w:themeColor="text1"/>
        </w:rPr>
        <w:t xml:space="preserve"> into group-specific contributions</w:t>
      </w:r>
      <w:r>
        <w:rPr>
          <w:color w:val="000000" w:themeColor="text1"/>
        </w:rPr>
        <w:t>, we just need to prove that:</w:t>
      </w:r>
    </w:p>
    <w:p w14:paraId="6E691BDE" w14:textId="77777777" w:rsidR="00B522A6" w:rsidRDefault="00B522A6" w:rsidP="00856A10">
      <w:pPr>
        <w:spacing w:line="480" w:lineRule="auto"/>
        <w:rPr>
          <w:color w:val="000000" w:themeColor="text1"/>
        </w:rPr>
      </w:pPr>
    </w:p>
    <w:p w14:paraId="48614D3C" w14:textId="162B57FF" w:rsidR="00D94235" w:rsidRPr="00B522A6"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45F6F60C" w14:textId="77777777" w:rsidR="00B522A6" w:rsidRDefault="00B522A6" w:rsidP="00856A10">
      <w:pPr>
        <w:spacing w:line="480" w:lineRule="auto"/>
        <w:rPr>
          <w:color w:val="000000" w:themeColor="text1"/>
        </w:rPr>
      </w:pPr>
    </w:p>
    <w:p w14:paraId="3396D693" w14:textId="6B44950F" w:rsidR="00B0622D" w:rsidRDefault="002B51D1" w:rsidP="00856A10">
      <w:pPr>
        <w:spacing w:line="480" w:lineRule="auto"/>
        <w:rPr>
          <w:color w:val="000000" w:themeColor="text1"/>
        </w:rPr>
      </w:pPr>
      <w:r>
        <w:rPr>
          <w:color w:val="000000" w:themeColor="text1"/>
        </w:rPr>
        <w:t>W</w:t>
      </w:r>
      <w:r w:rsidR="00704E5F">
        <w:rPr>
          <w:color w:val="000000" w:themeColor="text1"/>
        </w:rPr>
        <w:t>e already saw that</w:t>
      </w:r>
      <w:r>
        <w:rPr>
          <w:color w:val="000000" w:themeColor="text1"/>
        </w:rPr>
        <w:t xml:space="preserve"> for </w:t>
      </w:r>
      <m:oMath>
        <m:r>
          <w:rPr>
            <w:rFonts w:ascii="Cambria Math" w:hAnsi="Cambria Math"/>
            <w:color w:val="000000" w:themeColor="text1"/>
          </w:rPr>
          <m:t>N=2, 3</m:t>
        </m:r>
      </m:oMath>
      <w:r>
        <w:rPr>
          <w:color w:val="000000" w:themeColor="text1"/>
        </w:rPr>
        <w:t xml:space="preserve">, the proof involves showing that all terms except </w:t>
      </w:r>
      <m:oMath>
        <m:r>
          <w:rPr>
            <w:rFonts w:ascii="Cambria Math" w:hAnsi="Cambria Math"/>
            <w:color w:val="000000" w:themeColor="text1"/>
          </w:rPr>
          <m:t>l(T)</m:t>
        </m:r>
      </m:oMath>
      <w:r>
        <w:rPr>
          <w:color w:val="000000" w:themeColor="text1"/>
        </w:rPr>
        <w:t xml:space="preserve"> and </w:t>
      </w:r>
      <m:oMath>
        <m:r>
          <w:rPr>
            <w:rFonts w:ascii="Cambria Math" w:hAnsi="Cambria Math"/>
            <w:color w:val="000000" w:themeColor="text1"/>
          </w:rPr>
          <m:t>l(B)</m:t>
        </m:r>
      </m:oMath>
      <w:r>
        <w:rPr>
          <w:color w:val="000000" w:themeColor="text1"/>
        </w:rPr>
        <w:t xml:space="preserve"> have weights summing to </w:t>
      </w:r>
      <m:oMath>
        <m:r>
          <w:rPr>
            <w:rFonts w:ascii="Cambria Math" w:hAnsi="Cambria Math"/>
            <w:color w:val="000000" w:themeColor="text1"/>
          </w:rPr>
          <m:t>0.</m:t>
        </m:r>
      </m:oMath>
      <w:r>
        <w:rPr>
          <w:color w:val="000000" w:themeColor="text1"/>
        </w:rPr>
        <w:t xml:space="preserve"> </w:t>
      </w:r>
      <w:r w:rsidR="00704E5F">
        <w:rPr>
          <w:color w:val="000000" w:themeColor="text1"/>
        </w:rPr>
        <w:t>This is harder to do directly now that we have many terms. However, w</w:t>
      </w:r>
      <w:r w:rsidR="00B0622D">
        <w:rPr>
          <w:color w:val="000000" w:themeColor="text1"/>
        </w:rPr>
        <w:t xml:space="preserve">e </w:t>
      </w:r>
      <w:r w:rsidR="00704E5F">
        <w:rPr>
          <w:color w:val="000000" w:themeColor="text1"/>
        </w:rPr>
        <w:t>can</w:t>
      </w:r>
      <w:r w:rsidR="00B0622D">
        <w:rPr>
          <w:color w:val="000000" w:themeColor="text1"/>
        </w:rPr>
        <w:t xml:space="preserve"> start by recognizing that the life</w:t>
      </w:r>
      <w:r w:rsidR="00704E5F">
        <w:rPr>
          <w:color w:val="000000" w:themeColor="text1"/>
        </w:rPr>
        <w:t>-table function computed for</w:t>
      </w:r>
      <w:r w:rsidR="00B0622D">
        <w:rPr>
          <w:color w:val="000000" w:themeColor="text1"/>
        </w:rPr>
        <w:t xml:space="preserve"> a given </w:t>
      </w:r>
      <w:r w:rsidR="00704E5F">
        <w:rPr>
          <w:color w:val="000000" w:themeColor="text1"/>
        </w:rPr>
        <w:t xml:space="preserve">population composed by a </w:t>
      </w:r>
      <w:r w:rsidR="00B0622D">
        <w:rPr>
          <w:color w:val="000000" w:themeColor="text1"/>
        </w:rPr>
        <w:t xml:space="preserve">set of </w:t>
      </w:r>
      <w:r w:rsidR="00704E5F">
        <w:rPr>
          <w:color w:val="000000" w:themeColor="text1"/>
        </w:rPr>
        <w:t xml:space="preserve">subgroups </w:t>
      </w:r>
      <w:r>
        <w:rPr>
          <w:color w:val="000000" w:themeColor="text1"/>
        </w:rPr>
        <w:t>plus the baseline population</w:t>
      </w:r>
      <w:r w:rsidR="00B0622D">
        <w:rPr>
          <w:color w:val="000000" w:themeColor="text1"/>
        </w:rPr>
        <w:t xml:space="preserve"> can appear in two ways:</w:t>
      </w:r>
    </w:p>
    <w:p w14:paraId="37E3E400" w14:textId="77777777" w:rsidR="00704E5F" w:rsidRDefault="00704E5F" w:rsidP="00856A10">
      <w:pPr>
        <w:spacing w:line="480" w:lineRule="auto"/>
        <w:rPr>
          <w:color w:val="000000" w:themeColor="text1"/>
        </w:rPr>
      </w:pPr>
    </w:p>
    <w:p w14:paraId="27CE8F13" w14:textId="77857F74" w:rsidR="00B0622D" w:rsidRP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Pr>
          <w:color w:val="000000" w:themeColor="text1"/>
        </w:rPr>
        <w:t xml:space="preserve"> 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p>
    <w:p w14:paraId="72905A3B" w14:textId="389223A4" w:rsid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m+1</m:t>
                </m:r>
              </m:sup>
            </m:sSubSup>
          </m:e>
        </m:d>
      </m:oMath>
      <w:r w:rsidR="009F1EF7">
        <w:rPr>
          <w:color w:val="000000" w:themeColor="text1"/>
        </w:rPr>
        <w:t xml:space="preserve"> </w:t>
      </w:r>
      <w:r>
        <w:rPr>
          <w:color w:val="000000" w:themeColor="text1"/>
        </w:rPr>
        <w:t xml:space="preserve">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k,m,i</m:t>
            </m:r>
          </m:sup>
        </m:sSup>
      </m:oMath>
      <w:r w:rsidR="001921AE">
        <w:rPr>
          <w:color w:val="000000" w:themeColor="text1"/>
        </w:rPr>
        <w:t xml:space="preserve"> where </w:t>
      </w:r>
      <m:oMath>
        <m:r>
          <w:rPr>
            <w:rFonts w:ascii="Cambria Math" w:hAnsi="Cambria Math"/>
            <w:color w:val="000000" w:themeColor="text1"/>
          </w:rPr>
          <m:t>k≠n</m:t>
        </m:r>
      </m:oMath>
      <w:r w:rsidR="001921AE">
        <w:rPr>
          <w:color w:val="000000" w:themeColor="text1"/>
        </w:rPr>
        <w:t>.</w:t>
      </w:r>
    </w:p>
    <w:p w14:paraId="13CE889A" w14:textId="77777777" w:rsidR="00704E5F" w:rsidRPr="00704E5F" w:rsidRDefault="00704E5F" w:rsidP="00856A10">
      <w:pPr>
        <w:spacing w:line="480" w:lineRule="auto"/>
        <w:rPr>
          <w:color w:val="000000" w:themeColor="text1"/>
        </w:rPr>
      </w:pPr>
    </w:p>
    <w:p w14:paraId="34D8B34C" w14:textId="3D4DB3D9" w:rsidR="00B0622D" w:rsidRDefault="00B0622D" w:rsidP="00856A10">
      <w:pPr>
        <w:spacing w:line="480" w:lineRule="auto"/>
        <w:rPr>
          <w:color w:val="000000" w:themeColor="text1"/>
        </w:rPr>
      </w:pPr>
      <w:r>
        <w:rPr>
          <w:color w:val="000000" w:themeColor="text1"/>
        </w:rPr>
        <w:t xml:space="preserve">In the first case, </w:t>
      </w:r>
      <w:r w:rsidR="001921AE">
        <w:rPr>
          <w:color w:val="000000" w:themeColor="text1"/>
        </w:rPr>
        <w:t>the life</w:t>
      </w:r>
      <w:r w:rsidR="009F1EF7">
        <w:rPr>
          <w:color w:val="000000" w:themeColor="text1"/>
        </w:rPr>
        <w:t xml:space="preserve">-table function </w:t>
      </w:r>
      <w:r>
        <w:rPr>
          <w:color w:val="000000" w:themeColor="text1"/>
        </w:rPr>
        <w:t xml:space="preserve">will have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Pr>
          <w:color w:val="000000" w:themeColor="text1"/>
        </w:rPr>
        <w:t xml:space="preserve"> and in the second case it will have weight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5661A2">
        <w:rPr>
          <w:color w:val="000000" w:themeColor="text1"/>
        </w:rPr>
        <w:t xml:space="preserve">. </w:t>
      </w:r>
      <w:r w:rsidR="001921AE">
        <w:rPr>
          <w:color w:val="000000" w:themeColor="text1"/>
        </w:rPr>
        <w:t xml:space="preserve">To understand what the final weight will be for each term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9F1EF7">
        <w:rPr>
          <w:color w:val="000000" w:themeColor="text1"/>
        </w:rPr>
        <w:t xml:space="preserve">, </w:t>
      </w:r>
      <w:r w:rsidR="001921AE">
        <w:rPr>
          <w:color w:val="000000" w:themeColor="text1"/>
        </w:rPr>
        <w:t xml:space="preserve">we just need to know how many times it will appear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1921AE">
        <w:rPr>
          <w:color w:val="000000" w:themeColor="text1"/>
        </w:rPr>
        <w:t xml:space="preserve"> and how many times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1921AE">
        <w:rPr>
          <w:color w:val="000000" w:themeColor="text1"/>
        </w:rPr>
        <w:t>. For terms of the first type,</w:t>
      </w:r>
      <w:r w:rsidR="00AC044A">
        <w:rPr>
          <w:color w:val="000000" w:themeColor="text1"/>
        </w:rPr>
        <w:t xml:space="preserve"> we have </w:t>
      </w:r>
      <m:oMath>
        <m:r>
          <w:rPr>
            <w:rFonts w:ascii="Cambria Math" w:hAnsi="Cambria Math"/>
            <w:color w:val="000000" w:themeColor="text1"/>
          </w:rPr>
          <m:t>m+1</m:t>
        </m:r>
      </m:oMath>
      <w:r w:rsidR="00AC044A">
        <w:rPr>
          <w:color w:val="000000" w:themeColor="text1"/>
        </w:rPr>
        <w:t xml:space="preserve"> ways of choosing </w:t>
      </w:r>
      <m:oMath>
        <m:r>
          <w:rPr>
            <w:rFonts w:ascii="Cambria Math" w:hAnsi="Cambria Math"/>
            <w:color w:val="000000" w:themeColor="text1"/>
          </w:rPr>
          <m:t>n</m:t>
        </m:r>
      </m:oMath>
      <w:r w:rsidR="00AC044A">
        <w:rPr>
          <w:color w:val="000000" w:themeColor="text1"/>
        </w:rPr>
        <w:t xml:space="preserve"> while keeping the </w:t>
      </w:r>
      <w:r w:rsidR="009F1EF7">
        <w:rPr>
          <w:color w:val="000000" w:themeColor="text1"/>
        </w:rPr>
        <w:t xml:space="preserve">subgroups </w:t>
      </w:r>
      <w:r w:rsidR="00AC044A">
        <w:rPr>
          <w:color w:val="000000" w:themeColor="text1"/>
        </w:rPr>
        <w:t xml:space="preserve">involved the same. </w:t>
      </w:r>
      <w:r w:rsidR="009F1EF7">
        <w:rPr>
          <w:color w:val="000000" w:themeColor="text1"/>
        </w:rPr>
        <w:t xml:space="preserve">On the other </w:t>
      </w:r>
      <w:r w:rsidR="009F1EF7">
        <w:rPr>
          <w:color w:val="000000" w:themeColor="text1"/>
        </w:rPr>
        <w:lastRenderedPageBreak/>
        <w:t>hand, terms</w:t>
      </w:r>
      <w:r w:rsidR="00AC044A">
        <w:rPr>
          <w:color w:val="000000" w:themeColor="text1"/>
        </w:rPr>
        <w:t xml:space="preserve"> of the second type</w:t>
      </w:r>
      <w:r w:rsidR="009F1EF7">
        <w:rPr>
          <w:color w:val="000000" w:themeColor="text1"/>
        </w:rPr>
        <w:t xml:space="preserve"> </w:t>
      </w:r>
      <w:r w:rsidR="00DF24E2">
        <w:rPr>
          <w:color w:val="000000" w:themeColor="text1"/>
        </w:rPr>
        <w:t xml:space="preserve">can only appear in contributions involving the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m+1</m:t>
            </m:r>
          </m:e>
        </m:d>
      </m:oMath>
      <w:r w:rsidR="00DF24E2">
        <w:rPr>
          <w:color w:val="000000" w:themeColor="text1"/>
        </w:rPr>
        <w:t xml:space="preserve"> excluded groups. With this information, we are now able to compute the weight associated with </w:t>
      </w:r>
      <w:r w:rsidR="009F1EF7">
        <w:rPr>
          <w:color w:val="000000" w:themeColor="text1"/>
        </w:rPr>
        <w:t>the</w:t>
      </w:r>
      <w:r w:rsidR="00DF24E2">
        <w:rPr>
          <w:color w:val="000000" w:themeColor="text1"/>
        </w:rPr>
        <w:t xml:space="preserve"> life</w:t>
      </w:r>
      <w:r w:rsidR="009F1EF7">
        <w:rPr>
          <w:color w:val="000000" w:themeColor="text1"/>
        </w:rPr>
        <w:t>-table function computed for each population</w:t>
      </w:r>
      <w:r w:rsidR="00DF24E2">
        <w:rPr>
          <w:color w:val="000000" w:themeColor="text1"/>
        </w:rPr>
        <w:t>:</w:t>
      </w:r>
    </w:p>
    <w:p w14:paraId="3B6D6CE4" w14:textId="77777777" w:rsidR="009F1EF7" w:rsidRDefault="009F1EF7" w:rsidP="00856A10">
      <w:pPr>
        <w:spacing w:line="480" w:lineRule="auto"/>
        <w:rPr>
          <w:color w:val="000000" w:themeColor="text1"/>
        </w:rPr>
      </w:pPr>
    </w:p>
    <w:p w14:paraId="683B4541" w14:textId="183918A3" w:rsidR="005661A2" w:rsidRPr="00DF24E2" w:rsidRDefault="00DF24E2" w:rsidP="00856A10">
      <w:pPr>
        <w:spacing w:line="480" w:lineRule="auto"/>
        <w:ind w:left="284" w:hanging="284"/>
        <w:rPr>
          <w:color w:val="000000" w:themeColor="text1"/>
        </w:rPr>
      </w:pPr>
      <m:oMathPara>
        <m:oMathParaPr>
          <m:jc m:val="left"/>
        </m:oMathParaPr>
        <m:oMath>
          <m:r>
            <w:rPr>
              <w:rFonts w:ascii="Cambria Math" w:hAnsi="Cambria Math"/>
              <w:color w:val="000000" w:themeColor="text1"/>
            </w:rPr>
            <m:t>w</m:t>
          </m:r>
          <m:d>
            <m:dPr>
              <m:ctrlPr>
                <w:rPr>
                  <w:rFonts w:ascii="Cambria Math" w:hAnsi="Cambria Math"/>
                  <w:i/>
                  <w:color w:val="000000" w:themeColor="text1"/>
                </w:rPr>
              </m:ctrlPr>
            </m:dPr>
            <m:e>
              <m:r>
                <w:rPr>
                  <w:rFonts w:ascii="Cambria Math" w:hAnsi="Cambria Math"/>
                  <w:color w:val="000000" w:themeColor="text1"/>
                </w:rPr>
                <m:t>l(</m:t>
              </m:r>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m:oMathPara>
    </w:p>
    <w:p w14:paraId="42C29341" w14:textId="788F963C" w:rsidR="005661A2"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m+1</m:t>
                      </m:r>
                    </m:den>
                  </m:f>
                </m:e>
              </m:d>
            </m:den>
          </m:f>
        </m:oMath>
      </m:oMathPara>
    </w:p>
    <w:p w14:paraId="5658580A" w14:textId="35E2C724"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den>
          </m:f>
        </m:oMath>
      </m:oMathPara>
    </w:p>
    <w:p w14:paraId="50FB58DC" w14:textId="57FE6FB1"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5B1D37D2" w14:textId="570FBB4E"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(m+1)!</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6CA513CC" w14:textId="39631951" w:rsidR="003E34E3" w:rsidRPr="009F1EF7" w:rsidRDefault="003E34E3"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=0</m:t>
          </m:r>
        </m:oMath>
      </m:oMathPara>
    </w:p>
    <w:p w14:paraId="10FACCEE" w14:textId="77777777" w:rsidR="009F1EF7" w:rsidRPr="00DF24E2" w:rsidRDefault="009F1EF7" w:rsidP="00856A10">
      <w:pPr>
        <w:spacing w:line="480" w:lineRule="auto"/>
        <w:ind w:left="1701" w:hanging="1701"/>
        <w:rPr>
          <w:color w:val="000000" w:themeColor="text1"/>
        </w:rPr>
      </w:pPr>
    </w:p>
    <w:p w14:paraId="1AE52321" w14:textId="25B01CF9" w:rsidR="003E34E3" w:rsidRDefault="009F1EF7" w:rsidP="00856A10">
      <w:pPr>
        <w:spacing w:line="480" w:lineRule="auto"/>
        <w:rPr>
          <w:color w:val="000000" w:themeColor="text1"/>
        </w:rPr>
      </w:pPr>
      <w:r>
        <w:rPr>
          <w:color w:val="000000" w:themeColor="text1"/>
        </w:rPr>
        <w:t xml:space="preserve">Which proves that life-table functions for all populations of the type </w:t>
      </w:r>
      <m:oMath>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 xml:space="preserve"> </m:t>
        </m:r>
      </m:oMath>
      <w:r>
        <w:rPr>
          <w:color w:val="000000" w:themeColor="text1"/>
        </w:rPr>
        <w:t xml:space="preserve">cancel out. </w:t>
      </w:r>
      <w:r w:rsidR="003E34E3">
        <w:rPr>
          <w:color w:val="000000" w:themeColor="text1"/>
        </w:rPr>
        <w:t xml:space="preserve">The only </w:t>
      </w:r>
      <w:r>
        <w:rPr>
          <w:color w:val="000000" w:themeColor="text1"/>
        </w:rPr>
        <w:t xml:space="preserve">two </w:t>
      </w:r>
      <w:r w:rsidR="003E34E3">
        <w:rPr>
          <w:color w:val="000000" w:themeColor="text1"/>
        </w:rPr>
        <w:t xml:space="preserve">exceptions are </w:t>
      </w:r>
      <m:oMath>
        <m:r>
          <w:rPr>
            <w:rFonts w:ascii="Cambria Math" w:hAnsi="Cambria Math"/>
            <w:color w:val="000000" w:themeColor="text1"/>
          </w:rPr>
          <m:t>l(B)</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Pr>
          <w:color w:val="000000" w:themeColor="text1"/>
        </w:rPr>
        <w:t xml:space="preserve">, </w:t>
      </w:r>
      <w:r w:rsidR="003E34E3">
        <w:rPr>
          <w:color w:val="000000" w:themeColor="text1"/>
        </w:rPr>
        <w:t xml:space="preserve">and </w:t>
      </w:r>
      <m:oMath>
        <m:r>
          <w:rPr>
            <w:rFonts w:ascii="Cambria Math" w:hAnsi="Cambria Math"/>
            <w:color w:val="000000" w:themeColor="text1"/>
          </w:rPr>
          <m:t>l(T)</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3E34E3">
        <w:rPr>
          <w:color w:val="000000" w:themeColor="text1"/>
        </w:rPr>
        <w:t xml:space="preserve">. Thus, summing the average contributions for our </w:t>
      </w:r>
      <m:oMath>
        <m:r>
          <w:rPr>
            <w:rFonts w:ascii="Cambria Math" w:hAnsi="Cambria Math"/>
            <w:color w:val="000000" w:themeColor="text1"/>
          </w:rPr>
          <m:t>N</m:t>
        </m:r>
      </m:oMath>
      <w:r w:rsidR="003E34E3">
        <w:rPr>
          <w:color w:val="000000" w:themeColor="text1"/>
        </w:rPr>
        <w:t xml:space="preserve"> groups we obtain:</w:t>
      </w:r>
    </w:p>
    <w:p w14:paraId="7B8DBF1F" w14:textId="77777777" w:rsidR="009F1EF7" w:rsidRDefault="009F1EF7" w:rsidP="00856A10">
      <w:pPr>
        <w:spacing w:line="480" w:lineRule="auto"/>
        <w:rPr>
          <w:color w:val="000000" w:themeColor="text1"/>
        </w:rPr>
      </w:pPr>
    </w:p>
    <w:p w14:paraId="383CF12F" w14:textId="62EF44EA" w:rsidR="003E34E3" w:rsidRPr="009F1EF7"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018F1E84" w14:textId="77777777" w:rsidR="009F1EF7" w:rsidRPr="00B24C92" w:rsidRDefault="009F1EF7" w:rsidP="00856A10">
      <w:pPr>
        <w:spacing w:line="480" w:lineRule="auto"/>
        <w:rPr>
          <w:color w:val="000000" w:themeColor="text1"/>
        </w:rPr>
      </w:pPr>
    </w:p>
    <w:p w14:paraId="5DFBF213" w14:textId="49135C1D" w:rsidR="006C08CD" w:rsidRDefault="00DF24E2" w:rsidP="00856A10">
      <w:pPr>
        <w:spacing w:line="480" w:lineRule="auto"/>
        <w:rPr>
          <w:color w:val="000000" w:themeColor="text1"/>
        </w:rPr>
      </w:pPr>
      <w:r>
        <w:rPr>
          <w:color w:val="000000" w:themeColor="text1"/>
        </w:rPr>
        <w:t>a</w:t>
      </w:r>
      <w:r w:rsidR="003E34E3">
        <w:rPr>
          <w:color w:val="000000" w:themeColor="text1"/>
        </w:rPr>
        <w:t xml:space="preserve">s desired. </w:t>
      </w:r>
      <w:r w:rsidR="00333F2A">
        <w:rPr>
          <w:color w:val="000000" w:themeColor="text1"/>
        </w:rPr>
        <w:t xml:space="preserve">This result shows </w:t>
      </w:r>
      <w:r w:rsidR="00926C27">
        <w:rPr>
          <w:color w:val="000000" w:themeColor="text1"/>
        </w:rPr>
        <w:t xml:space="preserve">that </w:t>
      </w:r>
      <w:r w:rsidR="009F1EF7">
        <w:rPr>
          <w:color w:val="000000" w:themeColor="text1"/>
        </w:rPr>
        <w:t xml:space="preserve">the average contributions provide a decomposition of the total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9F1EF7">
        <w:rPr>
          <w:color w:val="000000" w:themeColor="text1"/>
        </w:rPr>
        <w:t xml:space="preserve"> even in the case of </w:t>
      </w:r>
      <m:oMath>
        <m:r>
          <w:rPr>
            <w:rFonts w:ascii="Cambria Math" w:hAnsi="Cambria Math"/>
            <w:color w:val="000000" w:themeColor="text1"/>
          </w:rPr>
          <m:t>N</m:t>
        </m:r>
      </m:oMath>
      <w:r w:rsidR="009F1EF7">
        <w:rPr>
          <w:color w:val="000000" w:themeColor="text1"/>
        </w:rPr>
        <w:t xml:space="preserve"> subgroups. While this is an </w:t>
      </w:r>
      <w:r w:rsidR="00A64FD3">
        <w:rPr>
          <w:color w:val="000000" w:themeColor="text1"/>
        </w:rPr>
        <w:t>important result</w:t>
      </w:r>
      <w:r w:rsidR="00926C27">
        <w:rPr>
          <w:color w:val="000000" w:themeColor="text1"/>
        </w:rPr>
        <w:t xml:space="preserve">, the </w:t>
      </w:r>
      <w:r w:rsidR="006C08CD">
        <w:rPr>
          <w:color w:val="000000" w:themeColor="text1"/>
        </w:rPr>
        <w:t xml:space="preserve">number of terms </w:t>
      </w:r>
      <w:r w:rsidR="00926C27">
        <w:rPr>
          <w:color w:val="000000" w:themeColor="text1"/>
        </w:rPr>
        <w:t>involved in this decomposition grow</w:t>
      </w:r>
      <w:r w:rsidR="006C08CD">
        <w:rPr>
          <w:color w:val="000000" w:themeColor="text1"/>
        </w:rPr>
        <w:t>s</w:t>
      </w:r>
      <w:r w:rsidR="00926C27">
        <w:rPr>
          <w:color w:val="000000" w:themeColor="text1"/>
        </w:rPr>
        <w:t xml:space="preserve"> very fast</w:t>
      </w:r>
      <w:r w:rsidR="009F1EF7">
        <w:rPr>
          <w:color w:val="000000" w:themeColor="text1"/>
        </w:rPr>
        <w:t xml:space="preserve"> with </w:t>
      </w:r>
      <m:oMath>
        <m:r>
          <w:rPr>
            <w:rFonts w:ascii="Cambria Math" w:hAnsi="Cambria Math"/>
            <w:color w:val="000000" w:themeColor="text1"/>
          </w:rPr>
          <m:t>N</m:t>
        </m:r>
      </m:oMath>
      <w:r w:rsidR="006C08CD">
        <w:rPr>
          <w:color w:val="000000" w:themeColor="text1"/>
        </w:rPr>
        <w:t xml:space="preserve">, making </w:t>
      </w:r>
      <w:r w:rsidR="009F1EF7">
        <w:rPr>
          <w:color w:val="000000" w:themeColor="text1"/>
        </w:rPr>
        <w:t>computing the full decomposition</w:t>
      </w:r>
      <w:r w:rsidR="006C08CD">
        <w:rPr>
          <w:color w:val="000000" w:themeColor="text1"/>
        </w:rPr>
        <w:t xml:space="preserve"> impractical</w:t>
      </w:r>
      <w:r w:rsidR="00926C27">
        <w:rPr>
          <w:color w:val="000000" w:themeColor="text1"/>
        </w:rPr>
        <w:t>.</w:t>
      </w:r>
      <w:r w:rsidR="006C08CD">
        <w:rPr>
          <w:color w:val="000000" w:themeColor="text1"/>
        </w:rPr>
        <w:t xml:space="preserve"> In </w:t>
      </w:r>
      <w:r w:rsidR="00926C27">
        <w:rPr>
          <w:color w:val="000000" w:themeColor="text1"/>
        </w:rPr>
        <w:t xml:space="preserve">the </w:t>
      </w:r>
      <m:oMath>
        <m:r>
          <w:rPr>
            <w:rFonts w:ascii="Cambria Math" w:hAnsi="Cambria Math"/>
            <w:color w:val="000000" w:themeColor="text1"/>
          </w:rPr>
          <m:t>N=3</m:t>
        </m:r>
      </m:oMath>
      <w:r w:rsidR="00926C27">
        <w:rPr>
          <w:color w:val="000000" w:themeColor="text1"/>
        </w:rPr>
        <w:t xml:space="preserve"> case</w:t>
      </w:r>
      <w:r w:rsidR="006C08CD">
        <w:rPr>
          <w:color w:val="000000" w:themeColor="text1"/>
        </w:rPr>
        <w:t xml:space="preserve">, </w:t>
      </w:r>
      <w:r w:rsidR="009F1EF7">
        <w:rPr>
          <w:color w:val="000000" w:themeColor="text1"/>
        </w:rPr>
        <w:t>I showed that</w:t>
      </w:r>
      <w:r w:rsidR="006C08CD">
        <w:rPr>
          <w:color w:val="000000" w:themeColor="text1"/>
        </w:rPr>
        <w:t xml:space="preserve"> a convenient assumption allow</w:t>
      </w:r>
      <w:r w:rsidR="009F1EF7">
        <w:rPr>
          <w:color w:val="000000" w:themeColor="text1"/>
        </w:rPr>
        <w:t>s</w:t>
      </w:r>
      <w:r w:rsidR="006C08CD">
        <w:rPr>
          <w:color w:val="000000" w:themeColor="text1"/>
        </w:rPr>
        <w:t xml:space="preserve"> us to compute the decomposition using just the two </w:t>
      </w:r>
      <w:r w:rsidR="006C08CD">
        <w:rPr>
          <w:color w:val="000000" w:themeColor="text1"/>
        </w:rPr>
        <w:lastRenderedPageBreak/>
        <w:t xml:space="preserve">external terms for each group. </w:t>
      </w:r>
      <w:r w:rsidR="00926C27">
        <w:rPr>
          <w:color w:val="000000" w:themeColor="text1"/>
        </w:rPr>
        <w:t xml:space="preserve">It turns out that </w:t>
      </w:r>
      <w:r w:rsidR="006C08CD">
        <w:rPr>
          <w:color w:val="000000" w:themeColor="text1"/>
        </w:rPr>
        <w:t xml:space="preserve">a similar </w:t>
      </w:r>
      <w:r w:rsidR="00926C27">
        <w:rPr>
          <w:color w:val="000000" w:themeColor="text1"/>
        </w:rPr>
        <w:t>set of assumptions can be formulated</w:t>
      </w:r>
      <w:r w:rsidR="006C08CD">
        <w:rPr>
          <w:color w:val="000000" w:themeColor="text1"/>
        </w:rPr>
        <w:t xml:space="preserve"> even in the general case</w:t>
      </w:r>
      <w:r w:rsidR="00926C27">
        <w:rPr>
          <w:color w:val="000000" w:themeColor="text1"/>
        </w:rPr>
        <w:t xml:space="preserve"> by referring to the average of the “symmetric” terms with </w:t>
      </w:r>
      <m:oMath>
        <m:r>
          <w:rPr>
            <w:rFonts w:ascii="Cambria Math" w:hAnsi="Cambria Math"/>
            <w:color w:val="000000" w:themeColor="text1"/>
          </w:rPr>
          <m:t>M=m</m:t>
        </m:r>
      </m:oMath>
      <w:r w:rsidR="00926C27">
        <w:rPr>
          <w:color w:val="000000" w:themeColor="text1"/>
        </w:rPr>
        <w:t xml:space="preserve"> and </w:t>
      </w:r>
      <m:oMath>
        <m:r>
          <w:rPr>
            <w:rFonts w:ascii="Cambria Math" w:hAnsi="Cambria Math"/>
            <w:color w:val="000000" w:themeColor="text1"/>
          </w:rPr>
          <m:t>M=N-1-m</m:t>
        </m:r>
      </m:oMath>
      <w:r w:rsidR="00926C27">
        <w:rPr>
          <w:color w:val="000000" w:themeColor="text1"/>
        </w:rPr>
        <w:t xml:space="preserve">. </w:t>
      </w:r>
      <w:r w:rsidR="006C08CD">
        <w:rPr>
          <w:color w:val="000000" w:themeColor="text1"/>
        </w:rPr>
        <w:t xml:space="preserve">These two sets of terms are symmetric in the sense that terms with </w:t>
      </w:r>
      <m:oMath>
        <m:r>
          <w:rPr>
            <w:rFonts w:ascii="Cambria Math" w:hAnsi="Cambria Math"/>
            <w:color w:val="000000" w:themeColor="text1"/>
          </w:rPr>
          <m:t>M=m</m:t>
        </m:r>
      </m:oMath>
      <w:r w:rsidR="006C08CD">
        <w:rPr>
          <w:color w:val="000000" w:themeColor="text1"/>
        </w:rPr>
        <w:t xml:space="preserve"> are obtained by adding </w:t>
      </w:r>
      <m:oMath>
        <m:r>
          <w:rPr>
            <w:rFonts w:ascii="Cambria Math" w:hAnsi="Cambria Math"/>
            <w:color w:val="000000" w:themeColor="text1"/>
          </w:rPr>
          <m:t>m</m:t>
        </m:r>
      </m:oMath>
      <w:r w:rsidR="006C08CD">
        <w:rPr>
          <w:color w:val="000000" w:themeColor="text1"/>
        </w:rPr>
        <w:t xml:space="preserve"> subgroups to the baseline population, while terms with </w:t>
      </w:r>
      <m:oMath>
        <m:r>
          <w:rPr>
            <w:rFonts w:ascii="Cambria Math" w:hAnsi="Cambria Math"/>
            <w:color w:val="000000" w:themeColor="text1"/>
          </w:rPr>
          <m:t>M=N-1-m</m:t>
        </m:r>
      </m:oMath>
      <w:r w:rsidR="006C08CD">
        <w:rPr>
          <w:color w:val="000000" w:themeColor="text1"/>
        </w:rPr>
        <w:t xml:space="preserve"> are obtained by removing </w:t>
      </w:r>
      <m:oMath>
        <m:r>
          <w:rPr>
            <w:rFonts w:ascii="Cambria Math" w:hAnsi="Cambria Math"/>
            <w:color w:val="000000" w:themeColor="text1"/>
          </w:rPr>
          <m:t>m</m:t>
        </m:r>
      </m:oMath>
      <w:r w:rsidR="006C08CD">
        <w:rPr>
          <w:color w:val="000000" w:themeColor="text1"/>
        </w:rPr>
        <w:t xml:space="preserve"> subgroups from the total population. If some sort of linearity holds, we would expect that the average of the elements of these two sets does not depend on </w:t>
      </w:r>
      <m:oMath>
        <m:r>
          <w:rPr>
            <w:rFonts w:ascii="Cambria Math" w:hAnsi="Cambria Math"/>
            <w:color w:val="000000" w:themeColor="text1"/>
          </w:rPr>
          <m:t>m</m:t>
        </m:r>
      </m:oMath>
      <w:r w:rsidR="006C08CD">
        <w:rPr>
          <w:color w:val="000000" w:themeColor="text1"/>
        </w:rPr>
        <w:t xml:space="preserve"> so that we can write:</w:t>
      </w:r>
    </w:p>
    <w:p w14:paraId="29F9A2E1" w14:textId="77777777" w:rsidR="00B653BF" w:rsidRDefault="00B653BF" w:rsidP="00856A10">
      <w:pPr>
        <w:spacing w:line="480" w:lineRule="auto"/>
        <w:rPr>
          <w:color w:val="000000" w:themeColor="text1"/>
        </w:rPr>
      </w:pPr>
    </w:p>
    <w:p w14:paraId="2413B028" w14:textId="7E579C9C" w:rsidR="006C08CD" w:rsidRPr="00B653BF" w:rsidRDefault="00000000" w:rsidP="00856A10">
      <w:pPr>
        <w:spacing w:line="480" w:lineRule="auto"/>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oMath>
      </m:oMathPara>
    </w:p>
    <w:p w14:paraId="23AAF264" w14:textId="77777777" w:rsidR="006C08CD" w:rsidRDefault="006C08CD" w:rsidP="00856A10">
      <w:pPr>
        <w:spacing w:line="480" w:lineRule="auto"/>
        <w:rPr>
          <w:color w:val="000000" w:themeColor="text1"/>
        </w:rPr>
      </w:pPr>
    </w:p>
    <w:p w14:paraId="699F7BA7" w14:textId="25202A1A" w:rsidR="00926C27" w:rsidRDefault="00926C27" w:rsidP="00856A10">
      <w:pPr>
        <w:spacing w:line="480" w:lineRule="auto"/>
        <w:rPr>
          <w:color w:val="000000" w:themeColor="text1"/>
        </w:rPr>
      </w:pPr>
      <w:r>
        <w:rPr>
          <w:color w:val="000000" w:themeColor="text1"/>
        </w:rPr>
        <w:t>Notice that:</w:t>
      </w:r>
    </w:p>
    <w:p w14:paraId="0198D331" w14:textId="77777777" w:rsidR="00B653BF" w:rsidRDefault="00B653BF" w:rsidP="00856A10">
      <w:pPr>
        <w:spacing w:line="480" w:lineRule="auto"/>
        <w:rPr>
          <w:color w:val="000000" w:themeColor="text1"/>
        </w:rPr>
      </w:pPr>
    </w:p>
    <w:p w14:paraId="0C92ED14" w14:textId="48F72CAA" w:rsidR="00926C27" w:rsidRPr="00B653BF" w:rsidRDefault="00000000" w:rsidP="00856A10">
      <w:pPr>
        <w:spacing w:line="480" w:lineRule="auto"/>
        <w:rPr>
          <w:color w:val="000000" w:themeColor="text1"/>
        </w:rPr>
      </w:pPr>
      <m:oMathPara>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r>
            <w:rPr>
              <w:rFonts w:ascii="Cambria Math" w:hAnsi="Cambria Math"/>
              <w:color w:val="000000" w:themeColor="text1"/>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N-1-m</m:t>
                  </m:r>
                </m:den>
              </m:f>
            </m:e>
          </m:d>
        </m:oMath>
      </m:oMathPara>
    </w:p>
    <w:p w14:paraId="40B43309" w14:textId="77777777" w:rsidR="00B653BF" w:rsidRPr="003619C6" w:rsidRDefault="00B653BF" w:rsidP="00856A10">
      <w:pPr>
        <w:spacing w:line="480" w:lineRule="auto"/>
        <w:rPr>
          <w:color w:val="000000" w:themeColor="text1"/>
        </w:rPr>
      </w:pPr>
    </w:p>
    <w:p w14:paraId="242A4D39" w14:textId="1D0FBDDB" w:rsidR="003619C6" w:rsidRDefault="00F9584C" w:rsidP="00856A10">
      <w:pPr>
        <w:spacing w:line="480" w:lineRule="auto"/>
        <w:rPr>
          <w:color w:val="000000" w:themeColor="text1"/>
        </w:rPr>
      </w:pPr>
      <w:r>
        <w:rPr>
          <w:color w:val="000000" w:themeColor="text1"/>
        </w:rPr>
        <w:t>So,</w:t>
      </w:r>
      <w:r w:rsidR="003619C6">
        <w:rPr>
          <w:color w:val="000000" w:themeColor="text1"/>
        </w:rPr>
        <w:t xml:space="preserve"> we can </w:t>
      </w:r>
      <w:r w:rsidR="00B653BF">
        <w:rPr>
          <w:color w:val="000000" w:themeColor="text1"/>
        </w:rPr>
        <w:t>simplify the statement of</w:t>
      </w:r>
      <w:r w:rsidR="003619C6">
        <w:rPr>
          <w:color w:val="000000" w:themeColor="text1"/>
        </w:rPr>
        <w:t xml:space="preserve"> our assumption as:</w:t>
      </w:r>
    </w:p>
    <w:p w14:paraId="32BD9877" w14:textId="77777777" w:rsidR="00B653BF" w:rsidRDefault="00B653BF" w:rsidP="00856A10">
      <w:pPr>
        <w:spacing w:line="480" w:lineRule="auto"/>
        <w:rPr>
          <w:color w:val="000000" w:themeColor="text1"/>
        </w:rPr>
      </w:pPr>
    </w:p>
    <w:p w14:paraId="25288270" w14:textId="1C691001" w:rsidR="003619C6" w:rsidRPr="00B653BF"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oMath>
      </m:oMathPara>
    </w:p>
    <w:p w14:paraId="37A0191D" w14:textId="77777777" w:rsidR="00B653BF" w:rsidRPr="00B24C92" w:rsidRDefault="00B653BF" w:rsidP="00856A10">
      <w:pPr>
        <w:spacing w:line="480" w:lineRule="auto"/>
        <w:rPr>
          <w:color w:val="000000" w:themeColor="text1"/>
        </w:rPr>
      </w:pPr>
    </w:p>
    <w:p w14:paraId="07415426" w14:textId="151089A2" w:rsidR="003619C6" w:rsidRDefault="00B653BF" w:rsidP="00856A10">
      <w:pPr>
        <w:spacing w:line="480" w:lineRule="auto"/>
        <w:rPr>
          <w:color w:val="000000" w:themeColor="text1"/>
        </w:rPr>
      </w:pPr>
      <w:r>
        <w:rPr>
          <w:color w:val="000000" w:themeColor="text1"/>
        </w:rPr>
        <w:t>In the</w:t>
      </w:r>
      <w:r w:rsidR="00F9584C">
        <w:rPr>
          <w:color w:val="000000" w:themeColor="text1"/>
        </w:rPr>
        <w:t xml:space="preserve"> expression above </w:t>
      </w:r>
      <w:r>
        <w:rPr>
          <w:color w:val="000000" w:themeColor="text1"/>
        </w:rPr>
        <w:t>we can recognize</w:t>
      </w:r>
      <w:r w:rsidR="00F9584C">
        <w:rPr>
          <w:color w:val="000000" w:themeColor="text1"/>
        </w:rPr>
        <w:t xml:space="preserve"> a generalized version of the assumption we </w:t>
      </w:r>
      <w:r>
        <w:rPr>
          <w:color w:val="000000" w:themeColor="text1"/>
        </w:rPr>
        <w:t>imposed</w:t>
      </w:r>
      <w:r w:rsidR="00F9584C">
        <w:rPr>
          <w:color w:val="000000" w:themeColor="text1"/>
        </w:rPr>
        <w:t xml:space="preserve"> for </w:t>
      </w:r>
      <m:oMath>
        <m:r>
          <w:rPr>
            <w:rFonts w:ascii="Cambria Math" w:hAnsi="Cambria Math"/>
            <w:color w:val="000000" w:themeColor="text1"/>
          </w:rPr>
          <m:t>N=3</m:t>
        </m:r>
      </m:oMath>
      <w:r w:rsidR="00F9584C">
        <w:rPr>
          <w:color w:val="000000" w:themeColor="text1"/>
        </w:rPr>
        <w:t xml:space="preserve">. </w:t>
      </w:r>
      <w:r w:rsidR="003619C6">
        <w:rPr>
          <w:color w:val="000000" w:themeColor="text1"/>
        </w:rPr>
        <w:t xml:space="preserve">Now, notice that in our actual expression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we </w:t>
      </w:r>
      <w:r>
        <w:rPr>
          <w:color w:val="000000" w:themeColor="text1"/>
        </w:rPr>
        <w:t>have terms that are very similar to the ones in the assumption equation</w:t>
      </w:r>
      <w:r w:rsidR="003619C6">
        <w:rPr>
          <w:color w:val="000000" w:themeColor="text1"/>
        </w:rPr>
        <w:t>:</w:t>
      </w:r>
    </w:p>
    <w:p w14:paraId="07E47D88" w14:textId="77777777" w:rsidR="00B653BF" w:rsidRDefault="00B653BF" w:rsidP="00856A10">
      <w:pPr>
        <w:spacing w:line="480" w:lineRule="auto"/>
        <w:rPr>
          <w:color w:val="000000" w:themeColor="text1"/>
        </w:rPr>
      </w:pPr>
    </w:p>
    <w:p w14:paraId="23B1CD16" w14:textId="61BF4503" w:rsidR="003619C6" w:rsidRPr="00B653BF"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oMath>
      </m:oMathPara>
    </w:p>
    <w:p w14:paraId="056CB22F" w14:textId="77777777" w:rsidR="00B653BF" w:rsidRPr="00B24C92" w:rsidRDefault="00B653BF" w:rsidP="00856A10">
      <w:pPr>
        <w:spacing w:line="480" w:lineRule="auto"/>
        <w:rPr>
          <w:color w:val="000000" w:themeColor="text1"/>
        </w:rPr>
      </w:pPr>
    </w:p>
    <w:p w14:paraId="63C06DCE" w14:textId="68EB3ADC" w:rsidR="003619C6" w:rsidRDefault="00632D42" w:rsidP="00856A10">
      <w:pPr>
        <w:spacing w:line="480" w:lineRule="auto"/>
        <w:rPr>
          <w:color w:val="000000" w:themeColor="text1"/>
        </w:rPr>
      </w:pPr>
      <w:r>
        <w:rPr>
          <w:color w:val="000000" w:themeColor="text1"/>
        </w:rPr>
        <w:t>Furthermore, b</w:t>
      </w:r>
      <w:r w:rsidR="003619C6">
        <w:rPr>
          <w:color w:val="000000" w:themeColor="text1"/>
        </w:rPr>
        <w:t xml:space="preserve">ecause </w:t>
      </w:r>
      <m:oMath>
        <m:r>
          <w:rPr>
            <w:rFonts w:ascii="Cambria Math" w:hAnsi="Cambria Math"/>
            <w:color w:val="000000" w:themeColor="text1"/>
          </w:rPr>
          <m:t>m</m:t>
        </m:r>
      </m:oMath>
      <w:r w:rsidR="003619C6">
        <w:rPr>
          <w:color w:val="000000" w:themeColor="text1"/>
        </w:rPr>
        <w:t xml:space="preserve"> ranges from 0 to </w:t>
      </w:r>
      <m:oMath>
        <m:r>
          <w:rPr>
            <w:rFonts w:ascii="Cambria Math" w:hAnsi="Cambria Math"/>
            <w:color w:val="000000" w:themeColor="text1"/>
          </w:rPr>
          <m:t>N-1</m:t>
        </m:r>
      </m:oMath>
      <w:r w:rsidR="003619C6">
        <w:rPr>
          <w:color w:val="000000" w:themeColor="text1"/>
        </w:rPr>
        <w:t xml:space="preserve"> but the two extremes correspond to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respectively, we have </w:t>
      </w:r>
      <m:oMath>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oMath>
      <w:r w:rsidR="003619C6">
        <w:rPr>
          <w:color w:val="000000" w:themeColor="text1"/>
        </w:rPr>
        <w:t xml:space="preserve"> sums of the type </w:t>
      </w:r>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oMath>
      <w:r w:rsidR="003619C6">
        <w:rPr>
          <w:color w:val="000000" w:themeColor="text1"/>
        </w:rPr>
        <w:t xml:space="preserve"> in our expression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oMath>
      <w:r w:rsidR="003619C6">
        <w:rPr>
          <w:color w:val="000000" w:themeColor="text1"/>
        </w:rPr>
        <w:t xml:space="preserve"> if </w:t>
      </w:r>
      <m:oMath>
        <m:r>
          <w:rPr>
            <w:rFonts w:ascii="Cambria Math" w:hAnsi="Cambria Math"/>
            <w:color w:val="000000" w:themeColor="text1"/>
          </w:rPr>
          <m:t>N</m:t>
        </m:r>
      </m:oMath>
      <w:r w:rsidR="003619C6">
        <w:rPr>
          <w:color w:val="000000" w:themeColor="text1"/>
        </w:rPr>
        <w:t xml:space="preserve"> is odd). Thus, under our assumption we can write:</w:t>
      </w:r>
    </w:p>
    <w:p w14:paraId="6F395BD0" w14:textId="77777777" w:rsidR="00632D42" w:rsidRDefault="00632D42" w:rsidP="00856A10">
      <w:pPr>
        <w:spacing w:line="480" w:lineRule="auto"/>
        <w:rPr>
          <w:color w:val="000000" w:themeColor="text1"/>
        </w:rPr>
      </w:pPr>
    </w:p>
    <w:p w14:paraId="4AC364F2" w14:textId="4A8D5D1C" w:rsidR="003619C6" w:rsidRPr="00E27ADB"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 xml:space="preserve"> </m:t>
          </m:r>
        </m:oMath>
      </m:oMathPara>
    </w:p>
    <w:p w14:paraId="287ABE3F" w14:textId="54BB412F"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3AB7239D" w14:textId="18D457C7"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6D56230A" w14:textId="2CA800D9" w:rsidR="00E27ADB" w:rsidRPr="00632D42"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18A45067" w14:textId="77777777" w:rsidR="00632D42" w:rsidRPr="00E27ADB" w:rsidRDefault="00632D42" w:rsidP="00856A10">
      <w:pPr>
        <w:spacing w:line="480" w:lineRule="auto"/>
        <w:rPr>
          <w:color w:val="000000" w:themeColor="text1"/>
        </w:rPr>
      </w:pPr>
    </w:p>
    <w:p w14:paraId="4B6D0176" w14:textId="07821821" w:rsidR="00E27ADB" w:rsidRDefault="00E27ADB" w:rsidP="00856A10">
      <w:pPr>
        <w:spacing w:line="480" w:lineRule="auto"/>
        <w:rPr>
          <w:color w:val="000000" w:themeColor="text1"/>
        </w:rPr>
      </w:pPr>
      <w:r>
        <w:rPr>
          <w:color w:val="000000" w:themeColor="text1"/>
        </w:rPr>
        <w:t xml:space="preserve">Which proves that under our </w:t>
      </w:r>
      <w:r w:rsidR="00632D42">
        <w:rPr>
          <w:color w:val="000000" w:themeColor="text1"/>
        </w:rPr>
        <w:t xml:space="preserve">set of </w:t>
      </w:r>
      <w:r>
        <w:rPr>
          <w:color w:val="000000" w:themeColor="text1"/>
        </w:rPr>
        <w:t>assumption</w:t>
      </w:r>
      <w:r w:rsidR="00632D42">
        <w:rPr>
          <w:color w:val="000000" w:themeColor="text1"/>
        </w:rPr>
        <w:t>s</w:t>
      </w:r>
      <w:r>
        <w:rPr>
          <w:color w:val="000000" w:themeColor="text1"/>
        </w:rPr>
        <w:t xml:space="preserve"> we can ignore </w:t>
      </w:r>
      <w:r w:rsidR="00F9584C">
        <w:rPr>
          <w:color w:val="000000" w:themeColor="text1"/>
        </w:rPr>
        <w:t>all</w:t>
      </w:r>
      <w:r>
        <w:rPr>
          <w:color w:val="000000" w:themeColor="text1"/>
        </w:rPr>
        <w:t xml:space="preserve"> the internal terms and just compute our contributions as the average of the two external contributions. For completeness, we need to show that this is the case also for odd </w:t>
      </w:r>
      <m:oMath>
        <m:r>
          <w:rPr>
            <w:rFonts w:ascii="Cambria Math" w:hAnsi="Cambria Math"/>
            <w:color w:val="000000" w:themeColor="text1"/>
          </w:rPr>
          <m:t>N</m:t>
        </m:r>
      </m:oMath>
      <w:r>
        <w:rPr>
          <w:color w:val="000000" w:themeColor="text1"/>
        </w:rPr>
        <w:t xml:space="preserve">. In this case, we </w:t>
      </w:r>
      <w:r w:rsidR="00F9584C">
        <w:rPr>
          <w:color w:val="000000" w:themeColor="text1"/>
        </w:rPr>
        <w:t>have</w:t>
      </w:r>
      <w:r>
        <w:rPr>
          <w:color w:val="000000" w:themeColor="text1"/>
        </w:rPr>
        <w:t>:</w:t>
      </w:r>
    </w:p>
    <w:p w14:paraId="677AF48E" w14:textId="77777777" w:rsidR="00632D42" w:rsidRDefault="00632D42" w:rsidP="00856A10">
      <w:pPr>
        <w:spacing w:line="480" w:lineRule="auto"/>
        <w:rPr>
          <w:color w:val="000000" w:themeColor="text1"/>
        </w:rPr>
      </w:pPr>
    </w:p>
    <w:p w14:paraId="4292D758" w14:textId="2E3E8C78" w:rsidR="00E27ADB" w:rsidRPr="00E27ADB"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d>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 xml:space="preserve"> </m:t>
          </m:r>
        </m:oMath>
      </m:oMathPara>
    </w:p>
    <w:p w14:paraId="6626B1A0" w14:textId="6D5027F4" w:rsidR="00E27ADB" w:rsidRPr="00E27ADB" w:rsidRDefault="00E27ADB" w:rsidP="00856A10">
      <w:pPr>
        <w:spacing w:line="480" w:lineRule="auto"/>
        <w:rPr>
          <w:color w:val="000000" w:themeColor="text1"/>
        </w:rPr>
      </w:pPr>
      <m:oMathPara>
        <m:oMath>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e>
          </m:d>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165C26FC" w14:textId="77777777"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6850471E" w14:textId="77777777"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6AC5453A" w14:textId="77777777" w:rsidR="00E27ADB" w:rsidRPr="00632D42" w:rsidRDefault="00E27ADB" w:rsidP="00856A10">
      <w:pPr>
        <w:spacing w:line="480" w:lineRule="auto"/>
        <w:rPr>
          <w:color w:val="000000" w:themeColor="text1"/>
        </w:rPr>
      </w:pPr>
      <m:oMathPara>
        <m:oMath>
          <m:r>
            <w:rPr>
              <w:rFonts w:ascii="Cambria Math" w:hAnsi="Cambria Math"/>
              <w:color w:val="000000" w:themeColor="text1"/>
            </w:rPr>
            <w:lastRenderedPageBreak/>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1E01BFA1" w14:textId="77777777" w:rsidR="00632D42" w:rsidRPr="00E27ADB" w:rsidRDefault="00632D42" w:rsidP="00856A10">
      <w:pPr>
        <w:spacing w:line="480" w:lineRule="auto"/>
        <w:rPr>
          <w:color w:val="000000" w:themeColor="text1"/>
        </w:rPr>
      </w:pPr>
    </w:p>
    <w:p w14:paraId="76DE21C6" w14:textId="5DE0B7B8" w:rsidR="005661A2" w:rsidRDefault="00E27ADB" w:rsidP="00856A10">
      <w:pPr>
        <w:spacing w:line="480" w:lineRule="auto"/>
        <w:rPr>
          <w:color w:val="000000" w:themeColor="text1"/>
        </w:rPr>
      </w:pPr>
      <w:r>
        <w:rPr>
          <w:color w:val="000000" w:themeColor="text1"/>
        </w:rPr>
        <w:t xml:space="preserve">Where the difference in the first line comes from the fact that we have </w:t>
      </w:r>
      <m:oMath>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d>
        <m:r>
          <w:rPr>
            <w:rFonts w:ascii="Cambria Math" w:hAnsi="Cambria Math"/>
            <w:color w:val="000000" w:themeColor="text1"/>
          </w:rPr>
          <m:t xml:space="preserve"> </m:t>
        </m:r>
      </m:oMath>
      <w:r>
        <w:rPr>
          <w:color w:val="000000" w:themeColor="text1"/>
        </w:rPr>
        <w:t>symmetric sets plus a single “central” set</w:t>
      </w:r>
      <w:r w:rsidR="00D71BB9">
        <w:rPr>
          <w:color w:val="000000" w:themeColor="text1"/>
        </w:rPr>
        <w:t xml:space="preserve"> which equals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w:r>
        <w:rPr>
          <w:color w:val="000000" w:themeColor="text1"/>
        </w:rPr>
        <w:t>.</w:t>
      </w:r>
      <w:r w:rsidR="00D71BB9">
        <w:rPr>
          <w:color w:val="000000" w:themeColor="text1"/>
        </w:rPr>
        <w:t xml:space="preserve"> With this final proof I have shown that under relatively mild assumptions (and assumptions one can verify), even in the case of </w:t>
      </w:r>
      <m:oMath>
        <m:r>
          <w:rPr>
            <w:rFonts w:ascii="Cambria Math" w:hAnsi="Cambria Math"/>
            <w:color w:val="000000" w:themeColor="text1"/>
          </w:rPr>
          <m:t>N</m:t>
        </m:r>
      </m:oMath>
      <w:r w:rsidR="00D71BB9">
        <w:rPr>
          <w:color w:val="000000" w:themeColor="text1"/>
        </w:rPr>
        <w:t xml:space="preserve"> group we can compute each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D71BB9">
        <w:rPr>
          <w:color w:val="000000" w:themeColor="text1"/>
        </w:rPr>
        <w:t xml:space="preserve"> contribution as the average of just the two external contributions, requiring the computation of just </w:t>
      </w:r>
      <m:oMath>
        <m:r>
          <w:rPr>
            <w:rFonts w:ascii="Cambria Math" w:hAnsi="Cambria Math"/>
            <w:color w:val="000000" w:themeColor="text1"/>
          </w:rPr>
          <m:t>4N</m:t>
        </m:r>
      </m:oMath>
      <w:r w:rsidR="00D71BB9">
        <w:rPr>
          <w:color w:val="000000" w:themeColor="text1"/>
        </w:rPr>
        <w:t xml:space="preserve"> life table functions. </w:t>
      </w:r>
    </w:p>
    <w:p w14:paraId="22CF59D8" w14:textId="77777777" w:rsidR="003E6C62" w:rsidRDefault="003E6C62" w:rsidP="00856A10">
      <w:pPr>
        <w:spacing w:line="480" w:lineRule="auto"/>
        <w:rPr>
          <w:color w:val="000000" w:themeColor="text1"/>
        </w:rPr>
      </w:pPr>
    </w:p>
    <w:p w14:paraId="7F6F375A" w14:textId="7183CF1D" w:rsidR="003E6C62" w:rsidRPr="003E6C62" w:rsidRDefault="003E6C62" w:rsidP="00856A10">
      <w:pPr>
        <w:spacing w:line="480" w:lineRule="auto"/>
        <w:rPr>
          <w:b/>
          <w:bCs/>
          <w:color w:val="000000" w:themeColor="text1"/>
        </w:rPr>
      </w:pPr>
      <w:r w:rsidRPr="003E6C62">
        <w:rPr>
          <w:b/>
          <w:bCs/>
          <w:color w:val="000000" w:themeColor="text1"/>
        </w:rPr>
        <w:t>Use Cases</w:t>
      </w:r>
    </w:p>
    <w:p w14:paraId="5CDE0142" w14:textId="77777777" w:rsidR="00036834" w:rsidRDefault="003E6C62" w:rsidP="00856A10">
      <w:pPr>
        <w:spacing w:line="480" w:lineRule="auto"/>
        <w:rPr>
          <w:color w:val="000000" w:themeColor="text1"/>
        </w:rPr>
      </w:pPr>
      <w:r>
        <w:rPr>
          <w:color w:val="000000" w:themeColor="text1"/>
        </w:rPr>
        <w:t xml:space="preserve">The decomposition developed in this paper can be used to investigate the contribution of any set of mutually exclusive groups </w:t>
      </w:r>
      <w:r w:rsidR="00FE0240">
        <w:rPr>
          <w:color w:val="000000" w:themeColor="text1"/>
        </w:rPr>
        <w:t xml:space="preserve">to the values of a life-table function for the total population. </w:t>
      </w:r>
      <w:r w:rsidR="00E95123">
        <w:rPr>
          <w:color w:val="000000" w:themeColor="text1"/>
        </w:rPr>
        <w:t xml:space="preserve">The basic decomposition for the </w:t>
      </w:r>
      <m:oMath>
        <m:r>
          <w:rPr>
            <w:rFonts w:ascii="Cambria Math" w:hAnsi="Cambria Math"/>
            <w:color w:val="000000" w:themeColor="text1"/>
          </w:rPr>
          <m:t>N</m:t>
        </m:r>
        <m:r>
          <m:rPr>
            <m:sty m:val="p"/>
          </m:rPr>
          <w:rPr>
            <w:rFonts w:ascii="Cambria Math" w:hAnsi="Cambria Math"/>
            <w:color w:val="000000" w:themeColor="text1"/>
          </w:rPr>
          <m:t>=1</m:t>
        </m:r>
      </m:oMath>
      <w:r w:rsidR="00E95123">
        <w:rPr>
          <w:color w:val="000000" w:themeColor="text1"/>
        </w:rPr>
        <w:t xml:space="preserve"> case was introduced by </w:t>
      </w:r>
      <w:proofErr w:type="spellStart"/>
      <w:r w:rsidR="00E95123">
        <w:rPr>
          <w:color w:val="000000" w:themeColor="text1"/>
        </w:rPr>
        <w:t>Hendi</w:t>
      </w:r>
      <w:proofErr w:type="spellEnd"/>
      <w:r w:rsidR="00E95123">
        <w:rPr>
          <w:color w:val="000000" w:themeColor="text1"/>
        </w:rPr>
        <w:t xml:space="preserve"> and Ho (2021) to study how the foreign-born population contributes to the national life expectancy in the US. However, the contributions subgroups of the foreign-born population, by origin or race/ethnicity for example, can be studied with the decomposition developed in this paper. Other interesting applications include the investigation of how different regions contribute to national life expectancy or how different countries contribute to the regional life expectancy.</w:t>
      </w:r>
    </w:p>
    <w:p w14:paraId="63B947E3" w14:textId="77777777" w:rsidR="00036834" w:rsidRDefault="00036834" w:rsidP="00856A10">
      <w:pPr>
        <w:spacing w:line="480" w:lineRule="auto"/>
        <w:rPr>
          <w:color w:val="000000" w:themeColor="text1"/>
        </w:rPr>
      </w:pPr>
    </w:p>
    <w:p w14:paraId="78B8CDA3" w14:textId="64B5EE0F" w:rsidR="00993631" w:rsidRDefault="00036834" w:rsidP="00856A10">
      <w:pPr>
        <w:spacing w:line="480" w:lineRule="auto"/>
        <w:rPr>
          <w:b/>
          <w:bCs/>
          <w:color w:val="000000" w:themeColor="text1"/>
        </w:rPr>
      </w:pPr>
      <w:r w:rsidRPr="003E3540">
        <w:rPr>
          <w:b/>
          <w:bCs/>
          <w:color w:val="000000" w:themeColor="text1"/>
        </w:rPr>
        <w:t xml:space="preserve">Example Application: The Contribution of Counties along the </w:t>
      </w:r>
      <w:r w:rsidR="003E3540" w:rsidRPr="003E3540">
        <w:rPr>
          <w:b/>
          <w:bCs/>
          <w:color w:val="000000" w:themeColor="text1"/>
        </w:rPr>
        <w:t>Urban-Rural Classification to National Life Expectancy at Birth</w:t>
      </w:r>
    </w:p>
    <w:p w14:paraId="7C9F0AD6" w14:textId="77777777" w:rsidR="00F449A4" w:rsidRDefault="003E3540" w:rsidP="003E3540">
      <w:pPr>
        <w:spacing w:line="480" w:lineRule="auto"/>
        <w:rPr>
          <w:color w:val="000000" w:themeColor="text1"/>
        </w:rPr>
      </w:pPr>
      <w:r w:rsidRPr="003E3540">
        <w:rPr>
          <w:color w:val="000000" w:themeColor="text1"/>
        </w:rPr>
        <w:t>I use death counts and population data from the National Center for Health Statistics obtained through CDC WONDER. Deaths and population are classified by year (2017-2019), sex, five-year age groups (&lt;1,1-4,5-</w:t>
      </w:r>
      <w:proofErr w:type="gramStart"/>
      <w:r w:rsidRPr="003E3540">
        <w:rPr>
          <w:color w:val="000000" w:themeColor="text1"/>
        </w:rPr>
        <w:t>9,…</w:t>
      </w:r>
      <w:proofErr w:type="gramEnd"/>
      <w:r w:rsidRPr="003E3540">
        <w:rPr>
          <w:color w:val="000000" w:themeColor="text1"/>
        </w:rPr>
        <w:t xml:space="preserve">,85+), and one of six urban-rural codes. The six codes schema classifies counties into four metropolitan categories and two non-metropolitan categories. The metropolitan categories are large central metro, large </w:t>
      </w:r>
      <w:r w:rsidRPr="003E3540">
        <w:rPr>
          <w:color w:val="000000" w:themeColor="text1"/>
        </w:rPr>
        <w:lastRenderedPageBreak/>
        <w:t>fringe metro, medium</w:t>
      </w:r>
      <w:r>
        <w:rPr>
          <w:color w:val="000000" w:themeColor="text1"/>
        </w:rPr>
        <w:t xml:space="preserve"> metro, and small metro. The non-metropolitan categories are micropolitan and noncore. Details on the classification criteria are available in the NCHS documentation online </w:t>
      </w:r>
      <w:r>
        <w:rPr>
          <w:color w:val="000000" w:themeColor="text1"/>
        </w:rPr>
        <w:fldChar w:fldCharType="begin"/>
      </w:r>
      <w:r w:rsidR="000166D5">
        <w:rPr>
          <w:color w:val="000000" w:themeColor="text1"/>
        </w:rPr>
        <w:instrText xml:space="preserve"> ADDIN ZOTERO_ITEM CSL_CITATION {"citationID":"EWOocFko","properties":{"formattedCitation":"(NCHS 2023)","plainCitation":"(NCHS 2023)","noteIndex":0},"citationItems":[{"id":1051,"uris":["http://zotero.org/users/8250957/items/8IT8BFI8"],"itemData":{"id":1051,"type":"webpage","language":"en-us","title":"NCHS Urban Rural Classification Scheme for Counties","URL":"https://www.cdc.gov/nchs/data_access/urban_rural.htm","author":[{"family":"NCHS","given":""}],"accessed":{"date-parts":[["2023",9,21]]},"issued":{"date-parts":[["2023",4,6]]}}}],"schema":"https://github.com/citation-style-language/schema/raw/master/csl-citation.json"} </w:instrText>
      </w:r>
      <w:r>
        <w:rPr>
          <w:color w:val="000000" w:themeColor="text1"/>
        </w:rPr>
        <w:fldChar w:fldCharType="separate"/>
      </w:r>
      <w:r>
        <w:rPr>
          <w:noProof/>
          <w:color w:val="000000" w:themeColor="text1"/>
        </w:rPr>
        <w:t>(NCHS 2023)</w:t>
      </w:r>
      <w:r>
        <w:rPr>
          <w:color w:val="000000" w:themeColor="text1"/>
        </w:rPr>
        <w:fldChar w:fldCharType="end"/>
      </w:r>
      <w:r>
        <w:rPr>
          <w:color w:val="000000" w:themeColor="text1"/>
        </w:rPr>
        <w:t xml:space="preserve">. </w:t>
      </w:r>
    </w:p>
    <w:p w14:paraId="653472A0" w14:textId="77777777" w:rsidR="00F449A4" w:rsidRDefault="00F449A4" w:rsidP="003E3540">
      <w:pPr>
        <w:spacing w:line="480" w:lineRule="auto"/>
        <w:rPr>
          <w:color w:val="000000" w:themeColor="text1"/>
        </w:rPr>
      </w:pPr>
    </w:p>
    <w:p w14:paraId="1024D99D" w14:textId="2375B40B" w:rsidR="00D6612B" w:rsidRDefault="006134CE" w:rsidP="003E3540">
      <w:pPr>
        <w:spacing w:line="480" w:lineRule="auto"/>
        <w:rPr>
          <w:color w:val="000000" w:themeColor="text1"/>
        </w:rPr>
      </w:pPr>
      <w:r>
        <w:rPr>
          <w:color w:val="000000" w:themeColor="text1"/>
        </w:rPr>
        <w:t>As can be seen in Figure 1, a</w:t>
      </w:r>
      <w:r w:rsidR="003E3540">
        <w:rPr>
          <w:color w:val="000000" w:themeColor="text1"/>
        </w:rPr>
        <w:t xml:space="preserve">t the national level, </w:t>
      </w:r>
      <w:r w:rsidR="009A1D9D">
        <w:rPr>
          <w:color w:val="000000" w:themeColor="text1"/>
        </w:rPr>
        <w:t>large fringe metro counties have the highest life expectancy</w:t>
      </w:r>
      <w:r w:rsidR="00424E13">
        <w:rPr>
          <w:color w:val="000000" w:themeColor="text1"/>
        </w:rPr>
        <w:t xml:space="preserve"> for males</w:t>
      </w:r>
      <w:r w:rsidR="009A1D9D">
        <w:rPr>
          <w:color w:val="000000" w:themeColor="text1"/>
        </w:rPr>
        <w:t xml:space="preserve">, followed by large central metro counties, medium metro counties, small metro counties, micropolitan counties, and noncore counties. </w:t>
      </w:r>
      <w:r w:rsidR="00424E13">
        <w:rPr>
          <w:color w:val="000000" w:themeColor="text1"/>
        </w:rPr>
        <w:t>The ordering is essentially the same for females, the only difference being that large central metro counties have the highest life expectancy, with large fringe metro counties coming second.</w:t>
      </w:r>
      <w:r>
        <w:rPr>
          <w:color w:val="000000" w:themeColor="text1"/>
        </w:rPr>
        <w:t xml:space="preserve"> </w:t>
      </w:r>
      <w:r w:rsidR="008F3D5E">
        <w:rPr>
          <w:color w:val="000000" w:themeColor="text1"/>
        </w:rPr>
        <w:t xml:space="preserve">Figure 2 shows the group-specific contributions to national life-expectancy using the </w:t>
      </w:r>
      <w:r w:rsidR="00F449A4">
        <w:rPr>
          <w:color w:val="000000" w:themeColor="text1"/>
        </w:rPr>
        <w:t>G-</w:t>
      </w:r>
      <w:r w:rsidR="008F3D5E">
        <w:rPr>
          <w:color w:val="000000" w:themeColor="text1"/>
        </w:rPr>
        <w:t>decomposition.</w:t>
      </w:r>
      <w:r w:rsidR="00662C0C">
        <w:rPr>
          <w:color w:val="000000" w:themeColor="text1"/>
        </w:rPr>
        <w:t xml:space="preserve"> </w:t>
      </w:r>
      <w:r w:rsidR="00B5163D">
        <w:rPr>
          <w:color w:val="000000" w:themeColor="text1"/>
        </w:rPr>
        <w:t xml:space="preserve">As we would have expected, all groups but large fringe metro counties contribute negatively to the national life expectancy. Micropolitan counties have the largest absolute contribution followed by noncore counties, medium metro counties, small metro counties, and large fringe metro counties. </w:t>
      </w:r>
      <w:r w:rsidR="00316183">
        <w:rPr>
          <w:color w:val="000000" w:themeColor="text1"/>
        </w:rPr>
        <w:t>The</w:t>
      </w:r>
      <w:r w:rsidR="00B5163D">
        <w:rPr>
          <w:color w:val="000000" w:themeColor="text1"/>
        </w:rPr>
        <w:t xml:space="preserve"> size of each contribution is </w:t>
      </w:r>
      <w:r w:rsidR="00D6612B">
        <w:rPr>
          <w:color w:val="000000" w:themeColor="text1"/>
        </w:rPr>
        <w:t xml:space="preserve">determined by </w:t>
      </w:r>
      <w:r w:rsidR="00316183">
        <w:rPr>
          <w:color w:val="000000" w:themeColor="text1"/>
        </w:rPr>
        <w:t xml:space="preserve">the interaction of </w:t>
      </w:r>
      <w:r w:rsidR="00D6612B">
        <w:rPr>
          <w:color w:val="000000" w:themeColor="text1"/>
        </w:rPr>
        <w:t>three factors</w:t>
      </w:r>
      <w:r w:rsidR="00316183">
        <w:rPr>
          <w:color w:val="000000" w:themeColor="text1"/>
        </w:rPr>
        <w:t xml:space="preserve">: </w:t>
      </w:r>
      <w:r w:rsidR="00D6612B">
        <w:rPr>
          <w:color w:val="000000" w:themeColor="text1"/>
        </w:rPr>
        <w:t>the population size of counties belonging to the specific group, the population’s age distribution, and its age-specific mortality rates (which life expectancy summarizes).</w:t>
      </w:r>
    </w:p>
    <w:p w14:paraId="222DED90" w14:textId="77777777" w:rsidR="00D6612B" w:rsidRDefault="00D6612B" w:rsidP="003E3540">
      <w:pPr>
        <w:spacing w:line="480" w:lineRule="auto"/>
        <w:rPr>
          <w:color w:val="000000" w:themeColor="text1"/>
        </w:rPr>
      </w:pPr>
    </w:p>
    <w:p w14:paraId="270212FE" w14:textId="7A544A0F" w:rsidR="00662C0C" w:rsidRDefault="00662C0C" w:rsidP="003E3540">
      <w:pPr>
        <w:spacing w:line="480" w:lineRule="auto"/>
        <w:rPr>
          <w:color w:val="000000" w:themeColor="text1"/>
        </w:rPr>
      </w:pPr>
      <w:r>
        <w:rPr>
          <w:color w:val="000000" w:themeColor="text1"/>
        </w:rPr>
        <w:t xml:space="preserve">It turns out that for this example, the </w:t>
      </w:r>
      <w:r w:rsidR="00F449A4">
        <w:rPr>
          <w:color w:val="000000" w:themeColor="text1"/>
        </w:rPr>
        <w:t xml:space="preserve">external-average </w:t>
      </w:r>
      <w:r>
        <w:rPr>
          <w:color w:val="000000" w:themeColor="text1"/>
        </w:rPr>
        <w:t xml:space="preserve">approximation leads us to underestimate </w:t>
      </w:r>
      <w:r w:rsidR="00F449A4">
        <w:rPr>
          <w:color w:val="000000" w:themeColor="text1"/>
        </w:rPr>
        <w:t>each contribution as can be seen in Figure 3</w:t>
      </w:r>
      <w:r>
        <w:rPr>
          <w:color w:val="000000" w:themeColor="text1"/>
        </w:rPr>
        <w:t xml:space="preserve">. The difference is </w:t>
      </w:r>
      <w:proofErr w:type="gramStart"/>
      <w:r w:rsidR="00316183">
        <w:rPr>
          <w:color w:val="000000" w:themeColor="text1"/>
        </w:rPr>
        <w:t xml:space="preserve">fairly </w:t>
      </w:r>
      <w:r>
        <w:rPr>
          <w:color w:val="000000" w:themeColor="text1"/>
        </w:rPr>
        <w:t>small</w:t>
      </w:r>
      <w:proofErr w:type="gramEnd"/>
      <w:r>
        <w:rPr>
          <w:color w:val="000000" w:themeColor="text1"/>
        </w:rPr>
        <w:t xml:space="preserve"> in absolute terms but nontrivial in relative one</w:t>
      </w:r>
      <w:r w:rsidR="00DC3768">
        <w:rPr>
          <w:color w:val="000000" w:themeColor="text1"/>
        </w:rPr>
        <w:t>s</w:t>
      </w:r>
      <w:r>
        <w:rPr>
          <w:color w:val="000000" w:themeColor="text1"/>
        </w:rPr>
        <w:t xml:space="preserve">. </w:t>
      </w:r>
      <w:r w:rsidR="00E95306">
        <w:rPr>
          <w:color w:val="000000" w:themeColor="text1"/>
        </w:rPr>
        <w:t>We</w:t>
      </w:r>
      <w:r>
        <w:rPr>
          <w:color w:val="000000" w:themeColor="text1"/>
        </w:rPr>
        <w:t xml:space="preserve"> can improve on our approximation by introducing an adjustment procedure. We know that the total contribution is:</w:t>
      </w:r>
    </w:p>
    <w:p w14:paraId="1FA9A00E" w14:textId="77777777" w:rsidR="00662C0C" w:rsidRDefault="00662C0C" w:rsidP="003E3540">
      <w:pPr>
        <w:spacing w:line="480" w:lineRule="auto"/>
        <w:rPr>
          <w:color w:val="000000" w:themeColor="text1"/>
        </w:rPr>
      </w:pPr>
    </w:p>
    <w:p w14:paraId="4406F86D" w14:textId="432B823E" w:rsidR="003E3540" w:rsidRPr="00316183" w:rsidRDefault="00000000" w:rsidP="002F1384">
      <w:pPr>
        <w:spacing w:line="480" w:lineRule="auto"/>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B</m:t>
              </m:r>
            </m:sup>
          </m:sSubSup>
        </m:oMath>
      </m:oMathPara>
    </w:p>
    <w:p w14:paraId="3455D294" w14:textId="77777777" w:rsidR="00316183" w:rsidRDefault="00316183" w:rsidP="002F1384">
      <w:pPr>
        <w:spacing w:line="480" w:lineRule="auto"/>
        <w:jc w:val="center"/>
        <w:rPr>
          <w:color w:val="000000" w:themeColor="text1"/>
        </w:rPr>
      </w:pPr>
    </w:p>
    <w:p w14:paraId="231B26C1" w14:textId="3751AD4F" w:rsidR="008F3D5E" w:rsidRDefault="002F1384" w:rsidP="003E3540">
      <w:pPr>
        <w:spacing w:line="480" w:lineRule="auto"/>
        <w:rPr>
          <w:color w:val="000000" w:themeColor="text1"/>
        </w:rPr>
      </w:pPr>
      <w:r>
        <w:rPr>
          <w:color w:val="000000" w:themeColor="text1"/>
        </w:rPr>
        <w:t>And that the bias introduced by our approximation is:</w:t>
      </w:r>
    </w:p>
    <w:p w14:paraId="67EE9486" w14:textId="77777777" w:rsidR="002F1384" w:rsidRDefault="002F1384" w:rsidP="003E3540">
      <w:pPr>
        <w:spacing w:line="480" w:lineRule="auto"/>
        <w:rPr>
          <w:color w:val="000000" w:themeColor="text1"/>
        </w:rPr>
      </w:pPr>
    </w:p>
    <w:p w14:paraId="069C207A" w14:textId="193F7A0C" w:rsidR="002F1384" w:rsidRDefault="002F1384" w:rsidP="002F1384">
      <w:pPr>
        <w:spacing w:line="480" w:lineRule="auto"/>
        <w:jc w:val="center"/>
        <w:rPr>
          <w:color w:val="000000" w:themeColor="text1"/>
        </w:rPr>
      </w:pPr>
      <m:oMathPara>
        <m:oMath>
          <m:r>
            <w:rPr>
              <w:rFonts w:ascii="Cambria Math" w:hAnsi="Cambria Math"/>
              <w:color w:val="000000" w:themeColor="text1"/>
            </w:rPr>
            <w:lastRenderedPageBreak/>
            <m:t xml:space="preserve">Bias= </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B</m:t>
              </m:r>
            </m:sup>
          </m:sSub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e>
          </m:nary>
        </m:oMath>
      </m:oMathPara>
    </w:p>
    <w:p w14:paraId="1AE08D6D" w14:textId="6D601FFC" w:rsidR="002F1384" w:rsidRDefault="002F1384" w:rsidP="003E3540">
      <w:pPr>
        <w:spacing w:line="480" w:lineRule="auto"/>
        <w:rPr>
          <w:color w:val="000000" w:themeColor="text1"/>
        </w:rPr>
      </w:pPr>
      <w:r>
        <w:rPr>
          <w:color w:val="000000" w:themeColor="text1"/>
        </w:rPr>
        <w:t xml:space="preserve">To eliminate the aggregate bias, we can thus add the adjustment factor </w:t>
      </w:r>
      <m:oMath>
        <m:r>
          <w:rPr>
            <w:rFonts w:ascii="Cambria Math" w:hAnsi="Cambria Math"/>
            <w:color w:val="000000" w:themeColor="text1"/>
          </w:rPr>
          <m:t>Bias/N</m:t>
        </m:r>
      </m:oMath>
      <w:r>
        <w:rPr>
          <w:color w:val="000000" w:themeColor="text1"/>
        </w:rPr>
        <w:t xml:space="preserve"> to each </w:t>
      </w:r>
      <w:r w:rsidR="00B5163D">
        <w:rPr>
          <w:color w:val="000000" w:themeColor="text1"/>
        </w:rPr>
        <w:t xml:space="preserve">approximate contribution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w:r w:rsidR="00B5163D">
        <w:rPr>
          <w:color w:val="000000" w:themeColor="text1"/>
        </w:rPr>
        <w:t xml:space="preserve">. </w:t>
      </w:r>
      <w:r w:rsidR="00735EC9">
        <w:rPr>
          <w:color w:val="000000" w:themeColor="text1"/>
        </w:rPr>
        <w:t xml:space="preserve">This correction ensures that the sum of the approximate contributions equals the total difference to be decomposed. </w:t>
      </w:r>
      <w:r w:rsidR="00316183">
        <w:rPr>
          <w:color w:val="000000" w:themeColor="text1"/>
        </w:rPr>
        <w:t xml:space="preserve">Figure 3 compares </w:t>
      </w:r>
      <w:r w:rsidR="00735EC9">
        <w:rPr>
          <w:color w:val="000000" w:themeColor="text1"/>
        </w:rPr>
        <w:t>the</w:t>
      </w:r>
      <w:r w:rsidR="00316183">
        <w:rPr>
          <w:color w:val="000000" w:themeColor="text1"/>
        </w:rPr>
        <w:t xml:space="preserve"> “adjusted” </w:t>
      </w:r>
      <w:r w:rsidR="00735EC9">
        <w:rPr>
          <w:color w:val="000000" w:themeColor="text1"/>
        </w:rPr>
        <w:t xml:space="preserve">approximate </w:t>
      </w:r>
      <w:r w:rsidR="00316183">
        <w:rPr>
          <w:color w:val="000000" w:themeColor="text1"/>
        </w:rPr>
        <w:t>contributions</w:t>
      </w:r>
      <w:r w:rsidR="00735EC9">
        <w:rPr>
          <w:color w:val="000000" w:themeColor="text1"/>
        </w:rPr>
        <w:t xml:space="preserve">, </w:t>
      </w:r>
      <w:r w:rsidR="00316183">
        <w:rPr>
          <w:color w:val="000000" w:themeColor="text1"/>
        </w:rPr>
        <w:t xml:space="preserve">the “unadjusted” </w:t>
      </w:r>
      <w:r w:rsidR="00735EC9">
        <w:rPr>
          <w:color w:val="000000" w:themeColor="text1"/>
        </w:rPr>
        <w:t xml:space="preserve">approximate </w:t>
      </w:r>
      <w:r w:rsidR="00316183">
        <w:rPr>
          <w:color w:val="000000" w:themeColor="text1"/>
        </w:rPr>
        <w:t>ones</w:t>
      </w:r>
      <w:r w:rsidR="00735EC9">
        <w:rPr>
          <w:color w:val="000000" w:themeColor="text1"/>
        </w:rPr>
        <w:t>,</w:t>
      </w:r>
      <w:r w:rsidR="00316183">
        <w:rPr>
          <w:color w:val="000000" w:themeColor="text1"/>
        </w:rPr>
        <w:t xml:space="preserve"> and the exact ones. We can see that the “adjusted” </w:t>
      </w:r>
      <w:r w:rsidR="00735EC9">
        <w:rPr>
          <w:color w:val="000000" w:themeColor="text1"/>
        </w:rPr>
        <w:t xml:space="preserve">approximate </w:t>
      </w:r>
      <w:r w:rsidR="00316183">
        <w:rPr>
          <w:color w:val="000000" w:themeColor="text1"/>
        </w:rPr>
        <w:t xml:space="preserve">contributions are barely distinguishable from the exact ones. I’ve been able to prove that in the case N=3, the adjusted </w:t>
      </w:r>
      <w:r w:rsidR="00735EC9">
        <w:rPr>
          <w:color w:val="000000" w:themeColor="text1"/>
        </w:rPr>
        <w:t xml:space="preserve">approximate </w:t>
      </w:r>
      <w:r w:rsidR="00316183">
        <w:rPr>
          <w:color w:val="000000" w:themeColor="text1"/>
        </w:rPr>
        <w:t xml:space="preserve">contributions are equal to the exact ones, but </w:t>
      </w:r>
      <w:r w:rsidR="006F66B5">
        <w:rPr>
          <w:color w:val="000000" w:themeColor="text1"/>
        </w:rPr>
        <w:t xml:space="preserve">this only holds approximately in </w:t>
      </w:r>
      <w:r w:rsidR="00316183">
        <w:rPr>
          <w:color w:val="000000" w:themeColor="text1"/>
        </w:rPr>
        <w:t xml:space="preserve">the general </w:t>
      </w:r>
      <w:r w:rsidR="006F66B5">
        <w:rPr>
          <w:color w:val="000000" w:themeColor="text1"/>
        </w:rPr>
        <w:t>case.</w:t>
      </w:r>
    </w:p>
    <w:p w14:paraId="7D8EA96D" w14:textId="77777777" w:rsidR="00735EC9" w:rsidRDefault="00735EC9" w:rsidP="003E3540">
      <w:pPr>
        <w:spacing w:line="480" w:lineRule="auto"/>
        <w:rPr>
          <w:color w:val="000000" w:themeColor="text1"/>
        </w:rPr>
      </w:pPr>
    </w:p>
    <w:p w14:paraId="500DA737" w14:textId="244505BF" w:rsidR="00735EC9" w:rsidRDefault="00735EC9" w:rsidP="003E3540">
      <w:pPr>
        <w:spacing w:line="480" w:lineRule="auto"/>
        <w:rPr>
          <w:color w:val="000000" w:themeColor="text1"/>
        </w:rPr>
      </w:pPr>
      <w:r>
        <w:rPr>
          <w:color w:val="000000" w:themeColor="text1"/>
        </w:rPr>
        <w:t xml:space="preserve">As a further test of the validity of the G-decomposition, I </w:t>
      </w:r>
      <w:r w:rsidR="00E95306">
        <w:rPr>
          <w:color w:val="000000" w:themeColor="text1"/>
        </w:rPr>
        <w:t xml:space="preserve">adapted  the three general decomposition methods </w:t>
      </w:r>
      <w:r w:rsidR="00E95306">
        <w:rPr>
          <w:color w:val="000000" w:themeColor="text1"/>
        </w:rPr>
        <w:fldChar w:fldCharType="begin"/>
      </w:r>
      <w:r w:rsidR="00B924C8">
        <w:rPr>
          <w:color w:val="000000" w:themeColor="text1"/>
        </w:rPr>
        <w:instrText xml:space="preserve"> ADDIN ZOTERO_ITEM CSL_CITATION {"citationID":"OQpVihKz","properties":{"formattedCitation":"(Andreev et al. 2002; Caswell 1989; Horiuchi et al. 2008)","plainCitation":"(Andreev et al. 2002; Caswell 1989; Horiuchi et al. 2008)","noteIndex":0},"citationItems":[{"id":"S9LI65xL/mKOMXE6Y","uris":["http://zotero.org/users/8250957/items/DSEQELWC"],"itemData":{"id":"S9LI65xL/mKOMXE6Y","type":"article-journal","abstract":"A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E95306">
        <w:rPr>
          <w:color w:val="000000" w:themeColor="text1"/>
        </w:rPr>
        <w:fldChar w:fldCharType="separate"/>
      </w:r>
      <w:r w:rsidR="00B924C8">
        <w:rPr>
          <w:noProof/>
          <w:color w:val="000000" w:themeColor="text1"/>
        </w:rPr>
        <w:t>(Andreev et al. 2002; Caswell 1989; Horiuchi et al. 2008)</w:t>
      </w:r>
      <w:r w:rsidR="00E95306">
        <w:rPr>
          <w:color w:val="000000" w:themeColor="text1"/>
        </w:rPr>
        <w:fldChar w:fldCharType="end"/>
      </w:r>
      <w:r w:rsidR="00E95306">
        <w:rPr>
          <w:color w:val="000000" w:themeColor="text1"/>
        </w:rPr>
        <w:t xml:space="preserve">implemented in the </w:t>
      </w:r>
      <w:proofErr w:type="spellStart"/>
      <w:r w:rsidR="00E95306" w:rsidRPr="00E95306">
        <w:rPr>
          <w:rFonts w:ascii="Andale Mono" w:hAnsi="Andale Mono"/>
          <w:color w:val="000000" w:themeColor="text1"/>
        </w:rPr>
        <w:t>DemoDecomp</w:t>
      </w:r>
      <w:proofErr w:type="spellEnd"/>
      <w:r w:rsidR="00E95306">
        <w:rPr>
          <w:color w:val="000000" w:themeColor="text1"/>
        </w:rPr>
        <w:t xml:space="preserve"> package </w:t>
      </w:r>
      <w:r w:rsidR="00E95306">
        <w:rPr>
          <w:color w:val="000000" w:themeColor="text1"/>
        </w:rPr>
        <w:fldChar w:fldCharType="begin"/>
      </w:r>
      <w:r w:rsidR="00E95306">
        <w:rPr>
          <w:color w:val="000000" w:themeColor="text1"/>
        </w:rPr>
        <w:instrText xml:space="preserve"> ADDIN ZOTERO_ITEM CSL_CITATION {"citationID":"c0iiKDMY","properties":{"formattedCitation":"(Riffe 2019)","plainCitation":"(Riffe 2019)","noteIndex":0},"citationItems":[{"id":2722,"uris":["http://zotero.org/users/8250957/items/XUINPGAT"],"itemData":{"id":2722,"type":"software","title":"DemoDecomp: General demographic decomposition methods","URL":"https://github.com/timriffe/DemoDecomp","author":[{"family":"Riffe","given":"Tim"}],"issued":{"date-parts":[["2019"]]}}}],"schema":"https://github.com/citation-style-language/schema/raw/master/csl-citation.json"} </w:instrText>
      </w:r>
      <w:r w:rsidR="00E95306">
        <w:rPr>
          <w:color w:val="000000" w:themeColor="text1"/>
        </w:rPr>
        <w:fldChar w:fldCharType="separate"/>
      </w:r>
      <w:r w:rsidR="00E95306">
        <w:rPr>
          <w:noProof/>
          <w:color w:val="000000" w:themeColor="text1"/>
        </w:rPr>
        <w:t>(Riffe 2019)</w:t>
      </w:r>
      <w:r w:rsidR="00E95306">
        <w:rPr>
          <w:color w:val="000000" w:themeColor="text1"/>
        </w:rPr>
        <w:fldChar w:fldCharType="end"/>
      </w:r>
      <w:r w:rsidR="00E95306">
        <w:rPr>
          <w:color w:val="000000" w:themeColor="text1"/>
        </w:rPr>
        <w:t xml:space="preserve"> to obtain a decomposition by group similar to the one developed in this paper. The results of the comparison between the results obtained with the G-decomposition and those obtained with each of the three methods are presented in Figure 4 and Figure 5 (in which the </w:t>
      </w:r>
      <w:r w:rsidR="00B924C8">
        <w:rPr>
          <w:color w:val="000000" w:themeColor="text1"/>
        </w:rPr>
        <w:t>stepwise</w:t>
      </w:r>
      <w:r w:rsidR="00E95306">
        <w:rPr>
          <w:color w:val="000000" w:themeColor="text1"/>
        </w:rPr>
        <w:t xml:space="preserve"> decomposition is removed). They show that the G-decomposition produces result almost identical with the line-integral method</w:t>
      </w:r>
      <w:r w:rsidR="00B924C8">
        <w:rPr>
          <w:color w:val="000000" w:themeColor="text1"/>
        </w:rPr>
        <w:t xml:space="preserve"> </w:t>
      </w:r>
      <w:r w:rsidR="00E95306">
        <w:rPr>
          <w:color w:val="000000" w:themeColor="text1"/>
        </w:rPr>
        <w:t xml:space="preserve">and </w:t>
      </w:r>
      <w:r w:rsidR="00B924C8">
        <w:rPr>
          <w:color w:val="000000" w:themeColor="text1"/>
        </w:rPr>
        <w:t>close</w:t>
      </w:r>
      <w:r w:rsidR="00E95306">
        <w:rPr>
          <w:color w:val="000000" w:themeColor="text1"/>
        </w:rPr>
        <w:t xml:space="preserve"> to the ones of the life table response experiment. The </w:t>
      </w:r>
      <w:r w:rsidR="00B924C8">
        <w:rPr>
          <w:color w:val="000000" w:themeColor="text1"/>
        </w:rPr>
        <w:t>stepwise</w:t>
      </w:r>
      <w:r w:rsidR="00E95306">
        <w:rPr>
          <w:color w:val="000000" w:themeColor="text1"/>
        </w:rPr>
        <w:t xml:space="preserve"> decomposition fails to produce reasonable results.</w:t>
      </w:r>
    </w:p>
    <w:p w14:paraId="51183ED0" w14:textId="579B1519" w:rsidR="006763C4" w:rsidRDefault="006763C4" w:rsidP="003E3540">
      <w:pPr>
        <w:spacing w:line="480" w:lineRule="auto"/>
        <w:rPr>
          <w:color w:val="000000" w:themeColor="text1"/>
        </w:rPr>
      </w:pPr>
    </w:p>
    <w:p w14:paraId="583A0DD9" w14:textId="382F52C7" w:rsidR="006763C4" w:rsidRPr="006763C4" w:rsidRDefault="006763C4" w:rsidP="003E3540">
      <w:pPr>
        <w:spacing w:line="480" w:lineRule="auto"/>
        <w:rPr>
          <w:b/>
          <w:bCs/>
          <w:color w:val="000000" w:themeColor="text1"/>
        </w:rPr>
      </w:pPr>
      <w:r w:rsidRPr="006763C4">
        <w:rPr>
          <w:b/>
          <w:bCs/>
          <w:color w:val="000000" w:themeColor="text1"/>
        </w:rPr>
        <w:t>Next Steps</w:t>
      </w:r>
    </w:p>
    <w:p w14:paraId="062871EE" w14:textId="54355959" w:rsidR="006763C4" w:rsidRPr="003E3540" w:rsidRDefault="00B924C8" w:rsidP="003E3540">
      <w:pPr>
        <w:spacing w:line="480" w:lineRule="auto"/>
        <w:rPr>
          <w:b/>
          <w:bCs/>
          <w:color w:val="000000" w:themeColor="text1"/>
        </w:rPr>
      </w:pPr>
      <w:r>
        <w:rPr>
          <w:color w:val="000000" w:themeColor="text1"/>
        </w:rPr>
        <w:t xml:space="preserve">I will show that the decomposition can be extended to produce age- and group-specific contributions. </w:t>
      </w:r>
      <w:r w:rsidR="006763C4">
        <w:rPr>
          <w:color w:val="000000" w:themeColor="text1"/>
        </w:rPr>
        <w:t xml:space="preserve">I will </w:t>
      </w:r>
      <w:r w:rsidR="006F66B5">
        <w:rPr>
          <w:color w:val="000000" w:themeColor="text1"/>
        </w:rPr>
        <w:t xml:space="preserve">try to develop a theoretical justification for the adjustment procedure used in the </w:t>
      </w:r>
      <w:r w:rsidR="00993631">
        <w:rPr>
          <w:color w:val="000000" w:themeColor="text1"/>
        </w:rPr>
        <w:t>E</w:t>
      </w:r>
      <w:r w:rsidR="006F66B5">
        <w:rPr>
          <w:color w:val="000000" w:themeColor="text1"/>
        </w:rPr>
        <w:t xml:space="preserve">xample </w:t>
      </w:r>
      <w:r w:rsidR="00993631">
        <w:rPr>
          <w:color w:val="000000" w:themeColor="text1"/>
        </w:rPr>
        <w:t>A</w:t>
      </w:r>
      <w:r w:rsidR="006F66B5">
        <w:rPr>
          <w:color w:val="000000" w:themeColor="text1"/>
        </w:rPr>
        <w:t xml:space="preserve">pplication section. To do so I will first investigate which conditions generate a substantial difference between the approximate and the exact contributions and I will then try obtaining a proof that the bias is approximately the same for all subgroups so that the adjustment factor </w:t>
      </w:r>
      <m:oMath>
        <m:r>
          <w:rPr>
            <w:rFonts w:ascii="Cambria Math" w:hAnsi="Cambria Math"/>
            <w:color w:val="000000" w:themeColor="text1"/>
          </w:rPr>
          <m:t>Bias/N</m:t>
        </m:r>
      </m:oMath>
      <w:r w:rsidR="006F66B5">
        <w:rPr>
          <w:color w:val="000000" w:themeColor="text1"/>
        </w:rPr>
        <w:t xml:space="preserve"> is justified.</w:t>
      </w:r>
      <w:r w:rsidR="00993631">
        <w:rPr>
          <w:color w:val="000000" w:themeColor="text1"/>
        </w:rPr>
        <w:t xml:space="preserve"> I have achieved some preliminary success in both </w:t>
      </w:r>
      <w:r>
        <w:rPr>
          <w:color w:val="000000" w:themeColor="text1"/>
        </w:rPr>
        <w:t>steps,</w:t>
      </w:r>
      <w:r w:rsidR="00993631">
        <w:rPr>
          <w:color w:val="000000" w:themeColor="text1"/>
        </w:rPr>
        <w:t xml:space="preserve"> but I still have not found a general expression for the bias introduced by </w:t>
      </w:r>
      <w:r w:rsidR="00993631">
        <w:rPr>
          <w:color w:val="000000" w:themeColor="text1"/>
        </w:rPr>
        <w:lastRenderedPageBreak/>
        <w:t>the approximation that links it with the adjustment factor I proposed.</w:t>
      </w:r>
      <w:r>
        <w:rPr>
          <w:color w:val="000000" w:themeColor="text1"/>
        </w:rPr>
        <w:t xml:space="preserve"> I will also discuss in more detail how the three general decomposition methods can be adapted to produce a decomposition by group.</w:t>
      </w:r>
    </w:p>
    <w:p w14:paraId="14458BFE" w14:textId="4E5BB06B" w:rsidR="003E6C62" w:rsidRPr="003E3540" w:rsidRDefault="003E6C62" w:rsidP="003E3540">
      <w:pPr>
        <w:spacing w:line="480" w:lineRule="auto"/>
        <w:rPr>
          <w:b/>
          <w:bCs/>
          <w:color w:val="000000" w:themeColor="text1"/>
        </w:rPr>
      </w:pPr>
      <w:r w:rsidRPr="003E3540">
        <w:rPr>
          <w:b/>
          <w:bCs/>
          <w:color w:val="000000" w:themeColor="text1"/>
        </w:rPr>
        <w:br w:type="page"/>
      </w:r>
    </w:p>
    <w:p w14:paraId="65DF1782" w14:textId="77777777" w:rsidR="00B24C92" w:rsidRPr="00B24C92" w:rsidRDefault="00B24C92" w:rsidP="00856A10">
      <w:pPr>
        <w:spacing w:line="480" w:lineRule="auto"/>
        <w:rPr>
          <w:color w:val="000000" w:themeColor="text1"/>
        </w:rPr>
      </w:pPr>
    </w:p>
    <w:p w14:paraId="38BC95DB" w14:textId="42DA374A" w:rsidR="00B24C92" w:rsidRPr="003E6C62" w:rsidRDefault="003E6C62" w:rsidP="00856A10">
      <w:pPr>
        <w:spacing w:line="480" w:lineRule="auto"/>
        <w:rPr>
          <w:b/>
          <w:bCs/>
          <w:color w:val="000000" w:themeColor="text1"/>
        </w:rPr>
      </w:pPr>
      <w:r w:rsidRPr="003E6C62">
        <w:rPr>
          <w:b/>
          <w:bCs/>
          <w:color w:val="000000" w:themeColor="text1"/>
        </w:rPr>
        <w:t>References</w:t>
      </w:r>
    </w:p>
    <w:p w14:paraId="72DD15A4" w14:textId="77777777" w:rsidR="00B924C8" w:rsidRPr="00B924C8" w:rsidRDefault="00076CF9" w:rsidP="00B924C8">
      <w:pPr>
        <w:pStyle w:val="Bibliography"/>
        <w:rPr>
          <w:color w:val="000000"/>
          <w:lang w:val="en-GB"/>
        </w:rPr>
      </w:pPr>
      <w:r w:rsidRPr="00E95306">
        <w:rPr>
          <w:color w:val="000000" w:themeColor="text1"/>
          <w:lang w:val="it-IT"/>
        </w:rPr>
        <w:t xml:space="preserve"> </w:t>
      </w:r>
      <w:r w:rsidR="003E6C62">
        <w:rPr>
          <w:color w:val="000000" w:themeColor="text1"/>
        </w:rPr>
        <w:fldChar w:fldCharType="begin"/>
      </w:r>
      <w:r w:rsidR="0031183F" w:rsidRPr="00E95306">
        <w:rPr>
          <w:color w:val="000000" w:themeColor="text1"/>
          <w:lang w:val="it-IT"/>
        </w:rPr>
        <w:instrText xml:space="preserve"> ADDIN ZOTERO_BIBL {"uncited":[],"omitted":[],"custom":[]} CSL_BIBLIOGRAPHY </w:instrText>
      </w:r>
      <w:r w:rsidR="003E6C62">
        <w:rPr>
          <w:color w:val="000000" w:themeColor="text1"/>
        </w:rPr>
        <w:fldChar w:fldCharType="separate"/>
      </w:r>
      <w:r w:rsidR="00B924C8" w:rsidRPr="00B924C8">
        <w:rPr>
          <w:color w:val="000000"/>
          <w:lang w:val="it-IT"/>
        </w:rPr>
        <w:t xml:space="preserve">Andreev, </w:t>
      </w:r>
      <w:proofErr w:type="spellStart"/>
      <w:r w:rsidR="00B924C8" w:rsidRPr="00B924C8">
        <w:rPr>
          <w:color w:val="000000"/>
          <w:lang w:val="it-IT"/>
        </w:rPr>
        <w:t>Evgueni</w:t>
      </w:r>
      <w:proofErr w:type="spellEnd"/>
      <w:r w:rsidR="00B924C8" w:rsidRPr="00B924C8">
        <w:rPr>
          <w:color w:val="000000"/>
          <w:lang w:val="it-IT"/>
        </w:rPr>
        <w:t xml:space="preserve"> M. 1982. “</w:t>
      </w:r>
      <w:proofErr w:type="spellStart"/>
      <w:r w:rsidR="00B924C8" w:rsidRPr="00B924C8">
        <w:rPr>
          <w:color w:val="000000"/>
          <w:lang w:val="it-IT"/>
        </w:rPr>
        <w:t>Metod</w:t>
      </w:r>
      <w:proofErr w:type="spellEnd"/>
      <w:r w:rsidR="00B924C8" w:rsidRPr="00B924C8">
        <w:rPr>
          <w:color w:val="000000"/>
          <w:lang w:val="it-IT"/>
        </w:rPr>
        <w:t xml:space="preserve"> </w:t>
      </w:r>
      <w:proofErr w:type="spellStart"/>
      <w:r w:rsidR="00B924C8" w:rsidRPr="00B924C8">
        <w:rPr>
          <w:color w:val="000000"/>
          <w:lang w:val="it-IT"/>
        </w:rPr>
        <w:t>Komponent</w:t>
      </w:r>
      <w:proofErr w:type="spellEnd"/>
      <w:r w:rsidR="00B924C8" w:rsidRPr="00B924C8">
        <w:rPr>
          <w:color w:val="000000"/>
          <w:lang w:val="it-IT"/>
        </w:rPr>
        <w:t xml:space="preserve"> v </w:t>
      </w:r>
      <w:proofErr w:type="spellStart"/>
      <w:r w:rsidR="00B924C8" w:rsidRPr="00B924C8">
        <w:rPr>
          <w:color w:val="000000"/>
          <w:lang w:val="it-IT"/>
        </w:rPr>
        <w:t>Analize</w:t>
      </w:r>
      <w:proofErr w:type="spellEnd"/>
      <w:r w:rsidR="00B924C8" w:rsidRPr="00B924C8">
        <w:rPr>
          <w:color w:val="000000"/>
          <w:lang w:val="it-IT"/>
        </w:rPr>
        <w:t xml:space="preserve"> </w:t>
      </w:r>
      <w:proofErr w:type="spellStart"/>
      <w:r w:rsidR="00B924C8" w:rsidRPr="00B924C8">
        <w:rPr>
          <w:color w:val="000000"/>
          <w:lang w:val="it-IT"/>
        </w:rPr>
        <w:t>Prodoljitelnosty</w:t>
      </w:r>
      <w:proofErr w:type="spellEnd"/>
      <w:r w:rsidR="00B924C8" w:rsidRPr="00B924C8">
        <w:rPr>
          <w:color w:val="000000"/>
          <w:lang w:val="it-IT"/>
        </w:rPr>
        <w:t xml:space="preserve"> </w:t>
      </w:r>
      <w:proofErr w:type="spellStart"/>
      <w:r w:rsidR="00B924C8" w:rsidRPr="00B924C8">
        <w:rPr>
          <w:color w:val="000000"/>
          <w:lang w:val="it-IT"/>
        </w:rPr>
        <w:t>Zjizni</w:t>
      </w:r>
      <w:proofErr w:type="spellEnd"/>
      <w:r w:rsidR="00B924C8" w:rsidRPr="00B924C8">
        <w:rPr>
          <w:color w:val="000000"/>
          <w:lang w:val="it-IT"/>
        </w:rPr>
        <w:t xml:space="preserve">. </w:t>
      </w:r>
      <w:r w:rsidR="00B924C8" w:rsidRPr="00B924C8">
        <w:rPr>
          <w:color w:val="000000"/>
          <w:lang w:val="en-GB"/>
        </w:rPr>
        <w:t xml:space="preserve">[The Method of Components in the Analysis of Length of Life].” </w:t>
      </w:r>
      <w:proofErr w:type="spellStart"/>
      <w:r w:rsidR="00B924C8" w:rsidRPr="00B924C8">
        <w:rPr>
          <w:i/>
          <w:iCs/>
          <w:color w:val="000000"/>
          <w:lang w:val="en-GB"/>
        </w:rPr>
        <w:t>Vestnik</w:t>
      </w:r>
      <w:proofErr w:type="spellEnd"/>
      <w:r w:rsidR="00B924C8" w:rsidRPr="00B924C8">
        <w:rPr>
          <w:i/>
          <w:iCs/>
          <w:color w:val="000000"/>
          <w:lang w:val="en-GB"/>
        </w:rPr>
        <w:t xml:space="preserve"> </w:t>
      </w:r>
      <w:proofErr w:type="spellStart"/>
      <w:r w:rsidR="00B924C8" w:rsidRPr="00B924C8">
        <w:rPr>
          <w:i/>
          <w:iCs/>
          <w:color w:val="000000"/>
          <w:lang w:val="en-GB"/>
        </w:rPr>
        <w:t>Statistiki</w:t>
      </w:r>
      <w:proofErr w:type="spellEnd"/>
      <w:r w:rsidR="00B924C8" w:rsidRPr="00B924C8">
        <w:rPr>
          <w:color w:val="000000"/>
          <w:lang w:val="en-GB"/>
        </w:rPr>
        <w:t xml:space="preserve"> 9:42–47.</w:t>
      </w:r>
    </w:p>
    <w:p w14:paraId="26943ADA" w14:textId="77777777" w:rsidR="00B924C8" w:rsidRPr="00B924C8" w:rsidRDefault="00B924C8" w:rsidP="00B924C8">
      <w:pPr>
        <w:pStyle w:val="Bibliography"/>
        <w:rPr>
          <w:color w:val="000000"/>
          <w:lang w:val="en-GB"/>
        </w:rPr>
      </w:pPr>
      <w:r w:rsidRPr="00B924C8">
        <w:rPr>
          <w:color w:val="000000"/>
          <w:lang w:val="en-GB"/>
        </w:rPr>
        <w:t xml:space="preserve">Andreev, </w:t>
      </w:r>
      <w:proofErr w:type="spellStart"/>
      <w:r w:rsidRPr="00B924C8">
        <w:rPr>
          <w:color w:val="000000"/>
          <w:lang w:val="en-GB"/>
        </w:rPr>
        <w:t>Evgueni</w:t>
      </w:r>
      <w:proofErr w:type="spellEnd"/>
      <w:r w:rsidRPr="00B924C8">
        <w:rPr>
          <w:color w:val="000000"/>
          <w:lang w:val="en-GB"/>
        </w:rPr>
        <w:t xml:space="preserve"> M., Vladimir M. </w:t>
      </w:r>
      <w:proofErr w:type="spellStart"/>
      <w:r w:rsidRPr="00B924C8">
        <w:rPr>
          <w:color w:val="000000"/>
          <w:lang w:val="en-GB"/>
        </w:rPr>
        <w:t>Shkolnikov</w:t>
      </w:r>
      <w:proofErr w:type="spellEnd"/>
      <w:r w:rsidRPr="00B924C8">
        <w:rPr>
          <w:color w:val="000000"/>
          <w:lang w:val="en-GB"/>
        </w:rPr>
        <w:t xml:space="preserve">, and Alexander Z. Begun. 2002. “Algorithm for Decomposition of Differences between Aggregate Demographic Measures and Its Application to Life Expectancies, Healthy Life Expectancies, Parity-Progression Ratios and Total Fertility Rates.” </w:t>
      </w:r>
      <w:r w:rsidRPr="00B924C8">
        <w:rPr>
          <w:i/>
          <w:iCs/>
          <w:color w:val="000000"/>
          <w:lang w:val="en-GB"/>
        </w:rPr>
        <w:t>Demographic Research</w:t>
      </w:r>
      <w:r w:rsidRPr="00B924C8">
        <w:rPr>
          <w:color w:val="000000"/>
          <w:lang w:val="en-GB"/>
        </w:rPr>
        <w:t xml:space="preserve"> 7:499–522.</w:t>
      </w:r>
    </w:p>
    <w:p w14:paraId="1FA283DB" w14:textId="77777777" w:rsidR="00B924C8" w:rsidRPr="00B924C8" w:rsidRDefault="00B924C8" w:rsidP="00B924C8">
      <w:pPr>
        <w:pStyle w:val="Bibliography"/>
        <w:rPr>
          <w:color w:val="000000"/>
          <w:lang w:val="en-GB"/>
        </w:rPr>
      </w:pPr>
      <w:r w:rsidRPr="00B924C8">
        <w:rPr>
          <w:color w:val="000000"/>
          <w:lang w:val="en-GB"/>
        </w:rPr>
        <w:t xml:space="preserve">Arriaga, Eduardo E. 1984. “Measuring and Explaining the Change in Life Expectancies.” </w:t>
      </w:r>
      <w:r w:rsidRPr="00B924C8">
        <w:rPr>
          <w:i/>
          <w:iCs/>
          <w:color w:val="000000"/>
          <w:lang w:val="en-GB"/>
        </w:rPr>
        <w:t>Demography</w:t>
      </w:r>
      <w:r w:rsidRPr="00B924C8">
        <w:rPr>
          <w:color w:val="000000"/>
          <w:lang w:val="en-GB"/>
        </w:rPr>
        <w:t xml:space="preserve"> 21(1):83–96. </w:t>
      </w:r>
      <w:proofErr w:type="spellStart"/>
      <w:r w:rsidRPr="00B924C8">
        <w:rPr>
          <w:color w:val="000000"/>
          <w:lang w:val="en-GB"/>
        </w:rPr>
        <w:t>doi</w:t>
      </w:r>
      <w:proofErr w:type="spellEnd"/>
      <w:r w:rsidRPr="00B924C8">
        <w:rPr>
          <w:color w:val="000000"/>
          <w:lang w:val="en-GB"/>
        </w:rPr>
        <w:t>: 10.2307/2061029.</w:t>
      </w:r>
    </w:p>
    <w:p w14:paraId="38A9270D" w14:textId="77777777" w:rsidR="00B924C8" w:rsidRPr="00B924C8" w:rsidRDefault="00B924C8" w:rsidP="00B924C8">
      <w:pPr>
        <w:pStyle w:val="Bibliography"/>
        <w:rPr>
          <w:color w:val="000000"/>
          <w:lang w:val="en-GB"/>
        </w:rPr>
      </w:pPr>
      <w:r w:rsidRPr="00B924C8">
        <w:rPr>
          <w:color w:val="000000"/>
          <w:lang w:val="en-GB"/>
        </w:rPr>
        <w:t xml:space="preserve">Caswell, Hal. 1989. “Analysis of Life Table Response Experiments I. Decomposition of Effects on Population Growth Rate.” </w:t>
      </w:r>
      <w:r w:rsidRPr="00B924C8">
        <w:rPr>
          <w:i/>
          <w:iCs/>
          <w:color w:val="000000"/>
          <w:lang w:val="en-GB"/>
        </w:rPr>
        <w:t>Ecological Modelling</w:t>
      </w:r>
      <w:r w:rsidRPr="00B924C8">
        <w:rPr>
          <w:color w:val="000000"/>
          <w:lang w:val="en-GB"/>
        </w:rPr>
        <w:t xml:space="preserve"> 46(3):221–37. </w:t>
      </w:r>
      <w:proofErr w:type="spellStart"/>
      <w:r w:rsidRPr="00B924C8">
        <w:rPr>
          <w:color w:val="000000"/>
          <w:lang w:val="en-GB"/>
        </w:rPr>
        <w:t>doi</w:t>
      </w:r>
      <w:proofErr w:type="spellEnd"/>
      <w:r w:rsidRPr="00B924C8">
        <w:rPr>
          <w:color w:val="000000"/>
          <w:lang w:val="en-GB"/>
        </w:rPr>
        <w:t>: 10.1016/0304-3800(89)90019-7.</w:t>
      </w:r>
    </w:p>
    <w:p w14:paraId="4C4BE3EE" w14:textId="77777777" w:rsidR="00B924C8" w:rsidRPr="00B924C8" w:rsidRDefault="00B924C8" w:rsidP="00B924C8">
      <w:pPr>
        <w:pStyle w:val="Bibliography"/>
        <w:rPr>
          <w:color w:val="000000"/>
          <w:lang w:val="en-GB"/>
        </w:rPr>
      </w:pPr>
      <w:r w:rsidRPr="00B924C8">
        <w:rPr>
          <w:color w:val="000000"/>
          <w:lang w:val="en-GB"/>
        </w:rPr>
        <w:t xml:space="preserve">Das Gupta, </w:t>
      </w:r>
      <w:proofErr w:type="spellStart"/>
      <w:r w:rsidRPr="00B924C8">
        <w:rPr>
          <w:color w:val="000000"/>
          <w:lang w:val="en-GB"/>
        </w:rPr>
        <w:t>Prithwis</w:t>
      </w:r>
      <w:proofErr w:type="spellEnd"/>
      <w:r w:rsidRPr="00B924C8">
        <w:rPr>
          <w:color w:val="000000"/>
          <w:lang w:val="en-GB"/>
        </w:rPr>
        <w:t xml:space="preserve">. 1978. “A General Method of Decomposing a Difference between Two Rates into Several Components.” </w:t>
      </w:r>
      <w:r w:rsidRPr="00B924C8">
        <w:rPr>
          <w:i/>
          <w:iCs/>
          <w:color w:val="000000"/>
          <w:lang w:val="en-GB"/>
        </w:rPr>
        <w:t>Demography</w:t>
      </w:r>
      <w:r w:rsidRPr="00B924C8">
        <w:rPr>
          <w:color w:val="000000"/>
          <w:lang w:val="en-GB"/>
        </w:rPr>
        <w:t xml:space="preserve"> 15(1):99–112. </w:t>
      </w:r>
      <w:proofErr w:type="spellStart"/>
      <w:r w:rsidRPr="00B924C8">
        <w:rPr>
          <w:color w:val="000000"/>
          <w:lang w:val="en-GB"/>
        </w:rPr>
        <w:t>doi</w:t>
      </w:r>
      <w:proofErr w:type="spellEnd"/>
      <w:r w:rsidRPr="00B924C8">
        <w:rPr>
          <w:color w:val="000000"/>
          <w:lang w:val="en-GB"/>
        </w:rPr>
        <w:t>: 10.2307/2060493.</w:t>
      </w:r>
    </w:p>
    <w:p w14:paraId="167402DF" w14:textId="77777777" w:rsidR="00B924C8" w:rsidRPr="00B924C8" w:rsidRDefault="00B924C8" w:rsidP="00B924C8">
      <w:pPr>
        <w:pStyle w:val="Bibliography"/>
        <w:rPr>
          <w:color w:val="000000"/>
          <w:lang w:val="en-GB"/>
        </w:rPr>
      </w:pPr>
      <w:proofErr w:type="spellStart"/>
      <w:r w:rsidRPr="00B924C8">
        <w:rPr>
          <w:color w:val="000000"/>
          <w:lang w:val="en-GB"/>
        </w:rPr>
        <w:t>Hendi</w:t>
      </w:r>
      <w:proofErr w:type="spellEnd"/>
      <w:r w:rsidRPr="00B924C8">
        <w:rPr>
          <w:color w:val="000000"/>
          <w:lang w:val="en-GB"/>
        </w:rPr>
        <w:t xml:space="preserve">, Arun S., and Jessica Y. Ho. 2021. “Immigration and Improvements in American Life Expectancy.” </w:t>
      </w:r>
      <w:r w:rsidRPr="00B924C8">
        <w:rPr>
          <w:i/>
          <w:iCs/>
          <w:color w:val="000000"/>
          <w:lang w:val="en-GB"/>
        </w:rPr>
        <w:t>SSM - Population Health</w:t>
      </w:r>
      <w:r w:rsidRPr="00B924C8">
        <w:rPr>
          <w:color w:val="000000"/>
          <w:lang w:val="en-GB"/>
        </w:rPr>
        <w:t xml:space="preserve"> 15:100914. </w:t>
      </w:r>
      <w:proofErr w:type="spellStart"/>
      <w:r w:rsidRPr="00B924C8">
        <w:rPr>
          <w:color w:val="000000"/>
          <w:lang w:val="en-GB"/>
        </w:rPr>
        <w:t>doi</w:t>
      </w:r>
      <w:proofErr w:type="spellEnd"/>
      <w:r w:rsidRPr="00B924C8">
        <w:rPr>
          <w:color w:val="000000"/>
          <w:lang w:val="en-GB"/>
        </w:rPr>
        <w:t>: 10.1016/j.ssmph.2021.100914.</w:t>
      </w:r>
    </w:p>
    <w:p w14:paraId="7B9EDD94" w14:textId="77777777" w:rsidR="00B924C8" w:rsidRPr="00B924C8" w:rsidRDefault="00B924C8" w:rsidP="00B924C8">
      <w:pPr>
        <w:pStyle w:val="Bibliography"/>
        <w:rPr>
          <w:color w:val="000000"/>
          <w:lang w:val="en-GB"/>
        </w:rPr>
      </w:pPr>
      <w:r w:rsidRPr="00B924C8">
        <w:rPr>
          <w:color w:val="000000"/>
          <w:lang w:val="en-GB"/>
        </w:rPr>
        <w:t xml:space="preserve">Horiuchi, Shiro, John R. Wilmoth, and Scott D. Pletcher. 2008. “A Decomposition Method Based on a Model of Continuous Change.” </w:t>
      </w:r>
      <w:r w:rsidRPr="00B924C8">
        <w:rPr>
          <w:i/>
          <w:iCs/>
          <w:color w:val="000000"/>
          <w:lang w:val="en-GB"/>
        </w:rPr>
        <w:t>Demography</w:t>
      </w:r>
      <w:r w:rsidRPr="00B924C8">
        <w:rPr>
          <w:color w:val="000000"/>
          <w:lang w:val="en-GB"/>
        </w:rPr>
        <w:t xml:space="preserve"> 45(4):785–801. </w:t>
      </w:r>
      <w:proofErr w:type="spellStart"/>
      <w:r w:rsidRPr="00B924C8">
        <w:rPr>
          <w:color w:val="000000"/>
          <w:lang w:val="en-GB"/>
        </w:rPr>
        <w:t>doi</w:t>
      </w:r>
      <w:proofErr w:type="spellEnd"/>
      <w:r w:rsidRPr="00B924C8">
        <w:rPr>
          <w:color w:val="000000"/>
          <w:lang w:val="en-GB"/>
        </w:rPr>
        <w:t>: 10.1353/dem.0.0033.</w:t>
      </w:r>
    </w:p>
    <w:p w14:paraId="18A77C4A" w14:textId="77777777" w:rsidR="00B924C8" w:rsidRPr="00B924C8" w:rsidRDefault="00B924C8" w:rsidP="00B924C8">
      <w:pPr>
        <w:pStyle w:val="Bibliography"/>
        <w:rPr>
          <w:color w:val="000000"/>
          <w:lang w:val="en-GB"/>
        </w:rPr>
      </w:pPr>
      <w:r w:rsidRPr="00B924C8">
        <w:rPr>
          <w:color w:val="000000"/>
          <w:lang w:val="en-GB"/>
        </w:rPr>
        <w:t xml:space="preserve">Kitagawa, Evelyn M. 1964. “Standardized Comparisons in Population Research.” </w:t>
      </w:r>
      <w:r w:rsidRPr="00B924C8">
        <w:rPr>
          <w:i/>
          <w:iCs/>
          <w:color w:val="000000"/>
          <w:lang w:val="en-GB"/>
        </w:rPr>
        <w:t>Demography</w:t>
      </w:r>
      <w:r w:rsidRPr="00B924C8">
        <w:rPr>
          <w:color w:val="000000"/>
          <w:lang w:val="en-GB"/>
        </w:rPr>
        <w:t xml:space="preserve"> 1(1):296–315. </w:t>
      </w:r>
      <w:proofErr w:type="spellStart"/>
      <w:r w:rsidRPr="00B924C8">
        <w:rPr>
          <w:color w:val="000000"/>
          <w:lang w:val="en-GB"/>
        </w:rPr>
        <w:t>doi</w:t>
      </w:r>
      <w:proofErr w:type="spellEnd"/>
      <w:r w:rsidRPr="00B924C8">
        <w:rPr>
          <w:color w:val="000000"/>
          <w:lang w:val="en-GB"/>
        </w:rPr>
        <w:t>: 10.1007/BF03208469.</w:t>
      </w:r>
    </w:p>
    <w:p w14:paraId="6C57F0BB" w14:textId="77777777" w:rsidR="00B924C8" w:rsidRPr="00B924C8" w:rsidRDefault="00B924C8" w:rsidP="00B924C8">
      <w:pPr>
        <w:pStyle w:val="Bibliography"/>
        <w:rPr>
          <w:color w:val="000000"/>
          <w:lang w:val="en-GB"/>
        </w:rPr>
      </w:pPr>
      <w:r w:rsidRPr="00B924C8">
        <w:rPr>
          <w:color w:val="000000"/>
          <w:lang w:val="en-GB"/>
        </w:rPr>
        <w:t>NCHS. 2023. “NCHS Urban Rural Classification Scheme for Counties.” Retrieved September 21, 2023 (https://www.cdc.gov/nchs/data_access/urban_rural.htm).</w:t>
      </w:r>
    </w:p>
    <w:p w14:paraId="04BB2B93" w14:textId="77777777" w:rsidR="00B924C8" w:rsidRPr="00B924C8" w:rsidRDefault="00B924C8" w:rsidP="00B924C8">
      <w:pPr>
        <w:pStyle w:val="Bibliography"/>
        <w:rPr>
          <w:color w:val="000000"/>
          <w:lang w:val="en-GB"/>
        </w:rPr>
      </w:pPr>
      <w:proofErr w:type="spellStart"/>
      <w:r w:rsidRPr="00B924C8">
        <w:rPr>
          <w:color w:val="000000"/>
          <w:lang w:val="en-GB"/>
        </w:rPr>
        <w:t>Pressat</w:t>
      </w:r>
      <w:proofErr w:type="spellEnd"/>
      <w:r w:rsidRPr="00B924C8">
        <w:rPr>
          <w:color w:val="000000"/>
          <w:lang w:val="en-GB"/>
        </w:rPr>
        <w:t xml:space="preserve">, Roland. 1985. “Contribution Des </w:t>
      </w:r>
      <w:proofErr w:type="spellStart"/>
      <w:r w:rsidRPr="00B924C8">
        <w:rPr>
          <w:color w:val="000000"/>
          <w:lang w:val="en-GB"/>
        </w:rPr>
        <w:t>Écarts</w:t>
      </w:r>
      <w:proofErr w:type="spellEnd"/>
      <w:r w:rsidRPr="00B924C8">
        <w:rPr>
          <w:color w:val="000000"/>
          <w:lang w:val="en-GB"/>
        </w:rPr>
        <w:t xml:space="preserve"> de </w:t>
      </w:r>
      <w:proofErr w:type="spellStart"/>
      <w:r w:rsidRPr="00B924C8">
        <w:rPr>
          <w:color w:val="000000"/>
          <w:lang w:val="en-GB"/>
        </w:rPr>
        <w:t>Mortalité</w:t>
      </w:r>
      <w:proofErr w:type="spellEnd"/>
      <w:r w:rsidRPr="00B924C8">
        <w:rPr>
          <w:color w:val="000000"/>
          <w:lang w:val="en-GB"/>
        </w:rPr>
        <w:t xml:space="preserve"> Par </w:t>
      </w:r>
      <w:proofErr w:type="spellStart"/>
      <w:r w:rsidRPr="00B924C8">
        <w:rPr>
          <w:color w:val="000000"/>
          <w:lang w:val="en-GB"/>
        </w:rPr>
        <w:t>Âge</w:t>
      </w:r>
      <w:proofErr w:type="spellEnd"/>
      <w:r w:rsidRPr="00B924C8">
        <w:rPr>
          <w:color w:val="000000"/>
          <w:lang w:val="en-GB"/>
        </w:rPr>
        <w:t xml:space="preserve"> à La </w:t>
      </w:r>
      <w:proofErr w:type="spellStart"/>
      <w:r w:rsidRPr="00B924C8">
        <w:rPr>
          <w:color w:val="000000"/>
          <w:lang w:val="en-GB"/>
        </w:rPr>
        <w:t>Différence</w:t>
      </w:r>
      <w:proofErr w:type="spellEnd"/>
      <w:r w:rsidRPr="00B924C8">
        <w:rPr>
          <w:color w:val="000000"/>
          <w:lang w:val="en-GB"/>
        </w:rPr>
        <w:t xml:space="preserve"> Des Vies </w:t>
      </w:r>
      <w:proofErr w:type="spellStart"/>
      <w:r w:rsidRPr="00B924C8">
        <w:rPr>
          <w:color w:val="000000"/>
          <w:lang w:val="en-GB"/>
        </w:rPr>
        <w:t>Moyennes</w:t>
      </w:r>
      <w:proofErr w:type="spellEnd"/>
      <w:r w:rsidRPr="00B924C8">
        <w:rPr>
          <w:color w:val="000000"/>
          <w:lang w:val="en-GB"/>
        </w:rPr>
        <w:t xml:space="preserve">.” </w:t>
      </w:r>
      <w:r w:rsidRPr="00B924C8">
        <w:rPr>
          <w:i/>
          <w:iCs/>
          <w:color w:val="000000"/>
          <w:lang w:val="en-GB"/>
        </w:rPr>
        <w:t>Population (French Edition)</w:t>
      </w:r>
      <w:r w:rsidRPr="00B924C8">
        <w:rPr>
          <w:color w:val="000000"/>
          <w:lang w:val="en-GB"/>
        </w:rPr>
        <w:t xml:space="preserve"> 40(4/5):766–70. </w:t>
      </w:r>
      <w:proofErr w:type="spellStart"/>
      <w:r w:rsidRPr="00B924C8">
        <w:rPr>
          <w:color w:val="000000"/>
          <w:lang w:val="en-GB"/>
        </w:rPr>
        <w:t>doi</w:t>
      </w:r>
      <w:proofErr w:type="spellEnd"/>
      <w:r w:rsidRPr="00B924C8">
        <w:rPr>
          <w:color w:val="000000"/>
          <w:lang w:val="en-GB"/>
        </w:rPr>
        <w:t>: 10.2307/1532986.</w:t>
      </w:r>
    </w:p>
    <w:p w14:paraId="1B8360C6" w14:textId="77777777" w:rsidR="00B924C8" w:rsidRPr="00B924C8" w:rsidRDefault="00B924C8" w:rsidP="00B924C8">
      <w:pPr>
        <w:pStyle w:val="Bibliography"/>
        <w:rPr>
          <w:color w:val="000000"/>
          <w:lang w:val="en-GB"/>
        </w:rPr>
      </w:pPr>
      <w:proofErr w:type="spellStart"/>
      <w:r w:rsidRPr="00B924C8">
        <w:rPr>
          <w:color w:val="000000"/>
          <w:lang w:val="en-GB"/>
        </w:rPr>
        <w:t>Riffe</w:t>
      </w:r>
      <w:proofErr w:type="spellEnd"/>
      <w:r w:rsidRPr="00B924C8">
        <w:rPr>
          <w:color w:val="000000"/>
          <w:lang w:val="en-GB"/>
        </w:rPr>
        <w:t>, Tim. 2019. “</w:t>
      </w:r>
      <w:proofErr w:type="spellStart"/>
      <w:r w:rsidRPr="00B924C8">
        <w:rPr>
          <w:color w:val="000000"/>
          <w:lang w:val="en-GB"/>
        </w:rPr>
        <w:t>DemoDecomp</w:t>
      </w:r>
      <w:proofErr w:type="spellEnd"/>
      <w:r w:rsidRPr="00B924C8">
        <w:rPr>
          <w:color w:val="000000"/>
          <w:lang w:val="en-GB"/>
        </w:rPr>
        <w:t>: General Demographic Decomposition Methods.”</w:t>
      </w:r>
    </w:p>
    <w:p w14:paraId="1A245284" w14:textId="77777777" w:rsidR="00B924C8" w:rsidRPr="00B924C8" w:rsidRDefault="00B924C8" w:rsidP="00B924C8">
      <w:pPr>
        <w:pStyle w:val="Bibliography"/>
        <w:rPr>
          <w:color w:val="000000"/>
          <w:lang w:val="en-GB"/>
        </w:rPr>
      </w:pPr>
      <w:proofErr w:type="spellStart"/>
      <w:r w:rsidRPr="00B924C8">
        <w:rPr>
          <w:color w:val="000000"/>
          <w:lang w:val="en-GB"/>
        </w:rPr>
        <w:t>Vaupel</w:t>
      </w:r>
      <w:proofErr w:type="spellEnd"/>
      <w:r w:rsidRPr="00B924C8">
        <w:rPr>
          <w:color w:val="000000"/>
          <w:lang w:val="en-GB"/>
        </w:rPr>
        <w:t xml:space="preserve">, James W., and Vladimir </w:t>
      </w:r>
      <w:proofErr w:type="spellStart"/>
      <w:r w:rsidRPr="00B924C8">
        <w:rPr>
          <w:color w:val="000000"/>
          <w:lang w:val="en-GB"/>
        </w:rPr>
        <w:t>Canudas</w:t>
      </w:r>
      <w:proofErr w:type="spellEnd"/>
      <w:r w:rsidRPr="00B924C8">
        <w:rPr>
          <w:color w:val="000000"/>
          <w:lang w:val="en-GB"/>
        </w:rPr>
        <w:t xml:space="preserve">-Romo. 2002. “Decomposing Demographic Change into Direct vs. Compositional Components.” </w:t>
      </w:r>
      <w:r w:rsidRPr="00B924C8">
        <w:rPr>
          <w:i/>
          <w:iCs/>
          <w:color w:val="000000"/>
          <w:lang w:val="en-GB"/>
        </w:rPr>
        <w:t>Demographic Research</w:t>
      </w:r>
      <w:r w:rsidRPr="00B924C8">
        <w:rPr>
          <w:color w:val="000000"/>
          <w:lang w:val="en-GB"/>
        </w:rPr>
        <w:t xml:space="preserve"> 7:1–14.</w:t>
      </w:r>
    </w:p>
    <w:p w14:paraId="511A98F7" w14:textId="4E07AD6E" w:rsidR="00B5163D" w:rsidRDefault="003E6C62" w:rsidP="00856A10">
      <w:pPr>
        <w:spacing w:line="480" w:lineRule="auto"/>
        <w:rPr>
          <w:color w:val="000000" w:themeColor="text1"/>
        </w:rPr>
      </w:pPr>
      <w:r>
        <w:rPr>
          <w:color w:val="000000" w:themeColor="text1"/>
        </w:rPr>
        <w:fldChar w:fldCharType="end"/>
      </w:r>
    </w:p>
    <w:p w14:paraId="17DBB57E" w14:textId="77777777" w:rsidR="00B5163D" w:rsidRDefault="00B5163D">
      <w:pPr>
        <w:rPr>
          <w:color w:val="000000" w:themeColor="text1"/>
        </w:rPr>
      </w:pPr>
      <w:r>
        <w:rPr>
          <w:color w:val="000000" w:themeColor="text1"/>
        </w:rPr>
        <w:br w:type="page"/>
      </w:r>
    </w:p>
    <w:p w14:paraId="4C0D5C24" w14:textId="21566819" w:rsidR="005D26E2" w:rsidRDefault="00B5163D" w:rsidP="00856A10">
      <w:pPr>
        <w:spacing w:line="480" w:lineRule="auto"/>
        <w:rPr>
          <w:b/>
          <w:bCs/>
          <w:color w:val="000000" w:themeColor="text1"/>
        </w:rPr>
      </w:pPr>
      <w:r w:rsidRPr="00B5163D">
        <w:rPr>
          <w:b/>
          <w:bCs/>
          <w:color w:val="000000" w:themeColor="text1"/>
        </w:rPr>
        <w:lastRenderedPageBreak/>
        <w:t>Figure and Tables</w:t>
      </w:r>
    </w:p>
    <w:p w14:paraId="0749127D" w14:textId="3B237C48" w:rsidR="00735EC9" w:rsidRPr="00735EC9" w:rsidRDefault="00735EC9" w:rsidP="00856A10">
      <w:pPr>
        <w:spacing w:line="480" w:lineRule="auto"/>
        <w:rPr>
          <w:color w:val="000000" w:themeColor="text1"/>
        </w:rPr>
      </w:pPr>
      <w:r w:rsidRPr="00316183">
        <w:rPr>
          <w:b/>
          <w:bCs/>
          <w:color w:val="000000" w:themeColor="text1"/>
        </w:rPr>
        <w:t>Figure 1</w:t>
      </w:r>
      <w:r>
        <w:rPr>
          <w:color w:val="000000" w:themeColor="text1"/>
        </w:rPr>
        <w:t>: Life Expectancy at Birth by Year, Sex, and Urban-Rural Category</w:t>
      </w:r>
    </w:p>
    <w:p w14:paraId="2CAF9686" w14:textId="207EC07F" w:rsidR="00316183" w:rsidRPr="00B5163D" w:rsidRDefault="004D0D29" w:rsidP="00856A10">
      <w:pPr>
        <w:spacing w:line="480" w:lineRule="auto"/>
        <w:rPr>
          <w:b/>
          <w:bCs/>
          <w:color w:val="000000" w:themeColor="text1"/>
        </w:rPr>
      </w:pPr>
      <w:r>
        <w:rPr>
          <w:b/>
          <w:bCs/>
          <w:noProof/>
          <w:color w:val="000000" w:themeColor="text1"/>
        </w:rPr>
        <w:drawing>
          <wp:inline distT="0" distB="0" distL="0" distR="0" wp14:anchorId="39AB83EE" wp14:editId="01D215AD">
            <wp:extent cx="6400800" cy="2743200"/>
            <wp:effectExtent l="0" t="0" r="0" b="0"/>
            <wp:docPr id="18130686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8642" name="Picture 4"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14:paraId="5B60F375" w14:textId="26BA73C3" w:rsidR="00316183" w:rsidRDefault="00316183" w:rsidP="00856A10">
      <w:pPr>
        <w:spacing w:line="480" w:lineRule="auto"/>
        <w:rPr>
          <w:color w:val="000000" w:themeColor="text1"/>
        </w:rPr>
      </w:pPr>
    </w:p>
    <w:p w14:paraId="1F809398" w14:textId="6A32615D" w:rsidR="00CA30BF" w:rsidRDefault="00B5163D" w:rsidP="00856A10">
      <w:pPr>
        <w:spacing w:line="480" w:lineRule="auto"/>
        <w:rPr>
          <w:color w:val="000000" w:themeColor="text1"/>
        </w:rPr>
      </w:pPr>
      <w:r w:rsidRPr="00B5163D">
        <w:rPr>
          <w:b/>
          <w:bCs/>
          <w:color w:val="000000" w:themeColor="text1"/>
        </w:rPr>
        <w:t>Figure 2</w:t>
      </w:r>
      <w:r>
        <w:rPr>
          <w:color w:val="000000" w:themeColor="text1"/>
        </w:rPr>
        <w:t>: Decomposing the Contribution of Non-Large Central Metro Counties to National Life Expectancy by Urban-Rural Categories.</w:t>
      </w:r>
    </w:p>
    <w:p w14:paraId="6B43E137" w14:textId="69E7C6AB" w:rsidR="004D0D29" w:rsidRDefault="00735EC9" w:rsidP="00856A10">
      <w:pPr>
        <w:spacing w:line="480" w:lineRule="auto"/>
        <w:rPr>
          <w:color w:val="000000" w:themeColor="text1"/>
        </w:rPr>
      </w:pPr>
      <w:r>
        <w:rPr>
          <w:noProof/>
          <w:color w:val="000000" w:themeColor="text1"/>
        </w:rPr>
        <w:drawing>
          <wp:inline distT="0" distB="0" distL="0" distR="0" wp14:anchorId="7BBD8567" wp14:editId="3968BAC6">
            <wp:extent cx="3657600" cy="3657600"/>
            <wp:effectExtent l="0" t="0" r="0" b="0"/>
            <wp:docPr id="986629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9031"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a:solidFill>
                      <a:schemeClr val="bg1"/>
                    </a:solidFill>
                  </pic:spPr>
                </pic:pic>
              </a:graphicData>
            </a:graphic>
          </wp:inline>
        </w:drawing>
      </w:r>
    </w:p>
    <w:p w14:paraId="6C6A46FE" w14:textId="77777777" w:rsidR="004D0D29" w:rsidRDefault="004D0D29" w:rsidP="00856A10">
      <w:pPr>
        <w:spacing w:line="480" w:lineRule="auto"/>
        <w:rPr>
          <w:color w:val="000000" w:themeColor="text1"/>
        </w:rPr>
      </w:pPr>
    </w:p>
    <w:p w14:paraId="5CC9A711" w14:textId="5B63AF6F" w:rsidR="004D0D29" w:rsidRDefault="004D0D29" w:rsidP="00856A10">
      <w:pPr>
        <w:spacing w:line="480" w:lineRule="auto"/>
        <w:rPr>
          <w:color w:val="000000" w:themeColor="text1"/>
        </w:rPr>
      </w:pPr>
    </w:p>
    <w:p w14:paraId="78A30C0F" w14:textId="06A0CE34" w:rsidR="00395C89" w:rsidRDefault="004D0D29" w:rsidP="004D0D29">
      <w:pPr>
        <w:spacing w:line="480" w:lineRule="auto"/>
        <w:rPr>
          <w:color w:val="000000" w:themeColor="text1"/>
        </w:rPr>
      </w:pPr>
      <w:r w:rsidRPr="00B5163D">
        <w:rPr>
          <w:b/>
          <w:bCs/>
          <w:color w:val="000000" w:themeColor="text1"/>
        </w:rPr>
        <w:t xml:space="preserve">Figure </w:t>
      </w:r>
      <w:r>
        <w:rPr>
          <w:b/>
          <w:bCs/>
          <w:color w:val="000000" w:themeColor="text1"/>
        </w:rPr>
        <w:t>3</w:t>
      </w:r>
      <w:r>
        <w:rPr>
          <w:color w:val="000000" w:themeColor="text1"/>
        </w:rPr>
        <w:t>: Comparing Decompositions Results Using the Unadjusted Approximated Contributions, the Adjusted Approximated Contributions, and the Exact Contributions</w:t>
      </w:r>
    </w:p>
    <w:p w14:paraId="6ED84FF9" w14:textId="77777777" w:rsidR="00735EC9" w:rsidRDefault="00735EC9" w:rsidP="00735EC9">
      <w:pPr>
        <w:tabs>
          <w:tab w:val="left" w:pos="1193"/>
        </w:tabs>
        <w:spacing w:line="480" w:lineRule="auto"/>
        <w:rPr>
          <w:color w:val="000000" w:themeColor="text1"/>
        </w:rPr>
      </w:pPr>
      <w:r>
        <w:rPr>
          <w:noProof/>
          <w:color w:val="000000" w:themeColor="text1"/>
        </w:rPr>
        <w:drawing>
          <wp:inline distT="0" distB="0" distL="0" distR="0" wp14:anchorId="51AE5BBB" wp14:editId="76F17106">
            <wp:extent cx="6691630" cy="6691630"/>
            <wp:effectExtent l="0" t="0" r="1270" b="1270"/>
            <wp:docPr id="1093429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9108" name="Picture 1093429108"/>
                    <pic:cNvPicPr/>
                  </pic:nvPicPr>
                  <pic:blipFill>
                    <a:blip r:embed="rId9">
                      <a:extLst>
                        <a:ext uri="{28A0092B-C50C-407E-A947-70E740481C1C}">
                          <a14:useLocalDpi xmlns:a14="http://schemas.microsoft.com/office/drawing/2010/main" val="0"/>
                        </a:ext>
                      </a:extLst>
                    </a:blip>
                    <a:stretch>
                      <a:fillRect/>
                    </a:stretch>
                  </pic:blipFill>
                  <pic:spPr>
                    <a:xfrm>
                      <a:off x="0" y="0"/>
                      <a:ext cx="6691630" cy="6691630"/>
                    </a:xfrm>
                    <a:prstGeom prst="rect">
                      <a:avLst/>
                    </a:prstGeom>
                  </pic:spPr>
                </pic:pic>
              </a:graphicData>
            </a:graphic>
          </wp:inline>
        </w:drawing>
      </w:r>
    </w:p>
    <w:p w14:paraId="1F455E6B" w14:textId="77777777" w:rsidR="00735EC9" w:rsidRDefault="00735EC9">
      <w:pPr>
        <w:rPr>
          <w:color w:val="000000" w:themeColor="text1"/>
        </w:rPr>
      </w:pPr>
      <w:r>
        <w:rPr>
          <w:color w:val="000000" w:themeColor="text1"/>
        </w:rPr>
        <w:br w:type="page"/>
      </w:r>
    </w:p>
    <w:p w14:paraId="58FAD878" w14:textId="01CC90D6" w:rsidR="004D0D29" w:rsidRDefault="00395C89" w:rsidP="00735EC9">
      <w:pPr>
        <w:tabs>
          <w:tab w:val="left" w:pos="1193"/>
        </w:tabs>
        <w:spacing w:line="480" w:lineRule="auto"/>
        <w:rPr>
          <w:color w:val="000000" w:themeColor="text1"/>
        </w:rPr>
      </w:pPr>
      <w:r w:rsidRPr="00B5163D">
        <w:rPr>
          <w:b/>
          <w:bCs/>
          <w:color w:val="000000" w:themeColor="text1"/>
        </w:rPr>
        <w:lastRenderedPageBreak/>
        <w:t xml:space="preserve">Figure </w:t>
      </w:r>
      <w:r>
        <w:rPr>
          <w:b/>
          <w:bCs/>
          <w:color w:val="000000" w:themeColor="text1"/>
        </w:rPr>
        <w:t>4</w:t>
      </w:r>
      <w:r>
        <w:rPr>
          <w:color w:val="000000" w:themeColor="text1"/>
        </w:rPr>
        <w:t xml:space="preserve">: </w:t>
      </w:r>
      <w:r w:rsidR="00735EC9">
        <w:rPr>
          <w:color w:val="000000" w:themeColor="text1"/>
        </w:rPr>
        <w:t xml:space="preserve">Comparing Decomposition Results from the G-Decomposition with Those Obtained with Other General Decomposition Methods: Horiuchi, LTRE, and </w:t>
      </w:r>
      <w:proofErr w:type="gramStart"/>
      <w:r w:rsidR="00735EC9">
        <w:rPr>
          <w:color w:val="000000" w:themeColor="text1"/>
        </w:rPr>
        <w:t>Step-Wise</w:t>
      </w:r>
      <w:proofErr w:type="gramEnd"/>
      <w:r w:rsidR="00735EC9">
        <w:rPr>
          <w:color w:val="000000" w:themeColor="text1"/>
        </w:rPr>
        <w:t>.</w:t>
      </w:r>
    </w:p>
    <w:p w14:paraId="1A1E01FF" w14:textId="308EFA0C" w:rsidR="00735EC9" w:rsidRDefault="00735EC9" w:rsidP="00735EC9">
      <w:pPr>
        <w:tabs>
          <w:tab w:val="left" w:pos="1193"/>
        </w:tabs>
        <w:spacing w:line="480" w:lineRule="auto"/>
        <w:rPr>
          <w:color w:val="000000" w:themeColor="text1"/>
        </w:rPr>
      </w:pPr>
      <w:r>
        <w:rPr>
          <w:noProof/>
          <w:color w:val="000000" w:themeColor="text1"/>
        </w:rPr>
        <w:drawing>
          <wp:inline distT="0" distB="0" distL="0" distR="0" wp14:anchorId="781B744D" wp14:editId="31E311C1">
            <wp:extent cx="5486400" cy="5486400"/>
            <wp:effectExtent l="0" t="0" r="0" b="0"/>
            <wp:docPr id="1595696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96002" name="Picture 1595696002"/>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DF09EE" w14:textId="1CE11B80" w:rsidR="00507666" w:rsidRDefault="00507666">
      <w:pPr>
        <w:rPr>
          <w:color w:val="000000" w:themeColor="text1"/>
        </w:rPr>
      </w:pPr>
      <w:r>
        <w:rPr>
          <w:color w:val="000000" w:themeColor="text1"/>
        </w:rPr>
        <w:br w:type="page"/>
      </w:r>
    </w:p>
    <w:p w14:paraId="36CE367B" w14:textId="01967507" w:rsidR="00507666" w:rsidRDefault="00507666" w:rsidP="00507666">
      <w:pPr>
        <w:tabs>
          <w:tab w:val="left" w:pos="1193"/>
        </w:tabs>
        <w:spacing w:line="480" w:lineRule="auto"/>
        <w:rPr>
          <w:color w:val="000000" w:themeColor="text1"/>
        </w:rPr>
      </w:pPr>
      <w:r w:rsidRPr="00B5163D">
        <w:rPr>
          <w:b/>
          <w:bCs/>
          <w:color w:val="000000" w:themeColor="text1"/>
        </w:rPr>
        <w:lastRenderedPageBreak/>
        <w:t xml:space="preserve">Figure </w:t>
      </w:r>
      <w:r>
        <w:rPr>
          <w:b/>
          <w:bCs/>
          <w:color w:val="000000" w:themeColor="text1"/>
        </w:rPr>
        <w:t>5</w:t>
      </w:r>
      <w:r>
        <w:rPr>
          <w:color w:val="000000" w:themeColor="text1"/>
        </w:rPr>
        <w:t>: Comparing Decomposition Results from the G-Decomposition with Those Obtained with the Horiuchi and LTRE General Decomposition Methods.</w:t>
      </w:r>
    </w:p>
    <w:p w14:paraId="18A787A3" w14:textId="1253AF17" w:rsidR="00507666" w:rsidRPr="00FE42C4" w:rsidRDefault="00507666" w:rsidP="00735EC9">
      <w:pPr>
        <w:tabs>
          <w:tab w:val="left" w:pos="1193"/>
        </w:tabs>
        <w:spacing w:line="480" w:lineRule="auto"/>
        <w:rPr>
          <w:color w:val="000000" w:themeColor="text1"/>
        </w:rPr>
      </w:pPr>
      <w:r>
        <w:rPr>
          <w:noProof/>
          <w:color w:val="000000" w:themeColor="text1"/>
        </w:rPr>
        <w:drawing>
          <wp:inline distT="0" distB="0" distL="0" distR="0" wp14:anchorId="2F70B636" wp14:editId="4A1572F0">
            <wp:extent cx="5486400" cy="5486400"/>
            <wp:effectExtent l="0" t="0" r="0" b="0"/>
            <wp:docPr id="298375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5793" name="Picture 298375793"/>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sectPr w:rsidR="00507666" w:rsidRPr="00FE42C4" w:rsidSect="00252E7F">
      <w:footerReference w:type="even" r:id="rId12"/>
      <w:footerReference w:type="default" r:id="rId13"/>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371C" w14:textId="77777777" w:rsidR="00967F60" w:rsidRDefault="00967F60" w:rsidP="004D33B5">
      <w:r>
        <w:separator/>
      </w:r>
    </w:p>
  </w:endnote>
  <w:endnote w:type="continuationSeparator" w:id="0">
    <w:p w14:paraId="42B51459" w14:textId="77777777" w:rsidR="00967F60" w:rsidRDefault="00967F60" w:rsidP="004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haris SIL"/>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444901"/>
      <w:docPartObj>
        <w:docPartGallery w:val="Page Numbers (Bottom of Page)"/>
        <w:docPartUnique/>
      </w:docPartObj>
    </w:sdtPr>
    <w:sdtContent>
      <w:p w14:paraId="0B2C4A42" w14:textId="5C8EC4F9" w:rsidR="007A55DD" w:rsidRDefault="007A55DD" w:rsidP="007A7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026C6" w14:textId="77777777" w:rsidR="007A55DD" w:rsidRDefault="007A55DD" w:rsidP="007A5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DD23" w14:textId="537E8397" w:rsidR="007A55DD" w:rsidRDefault="007A55DD" w:rsidP="007A7E86">
    <w:pPr>
      <w:pStyle w:val="Footer"/>
      <w:framePr w:wrap="none" w:vAnchor="text" w:hAnchor="margin" w:xAlign="right" w:y="1"/>
      <w:rPr>
        <w:rStyle w:val="PageNumber"/>
      </w:rPr>
    </w:pPr>
  </w:p>
  <w:p w14:paraId="51639552" w14:textId="77777777" w:rsidR="004E411C" w:rsidRPr="00E64D3B" w:rsidRDefault="004E411C" w:rsidP="00B213B2">
    <w:pPr>
      <w:pStyle w:val="Footer"/>
      <w:ind w:right="360"/>
      <w:jc w:val="center"/>
      <w:rPr>
        <w:rFonts w:ascii="Times New Roman" w:hAnsi="Times New Roman" w:cs="Times New Roman"/>
        <w:sz w:val="24"/>
        <w:szCs w:val="24"/>
      </w:rPr>
    </w:pPr>
  </w:p>
  <w:p w14:paraId="7464485F" w14:textId="77777777" w:rsidR="004E411C" w:rsidRDefault="004E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62E1" w14:textId="77777777" w:rsidR="00967F60" w:rsidRDefault="00967F60" w:rsidP="004D33B5">
      <w:r>
        <w:separator/>
      </w:r>
    </w:p>
  </w:footnote>
  <w:footnote w:type="continuationSeparator" w:id="0">
    <w:p w14:paraId="1A319D68" w14:textId="77777777" w:rsidR="00967F60" w:rsidRDefault="00967F60" w:rsidP="004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5C3"/>
    <w:multiLevelType w:val="hybridMultilevel"/>
    <w:tmpl w:val="3816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494"/>
    <w:multiLevelType w:val="hybridMultilevel"/>
    <w:tmpl w:val="414E9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5129B"/>
    <w:multiLevelType w:val="hybridMultilevel"/>
    <w:tmpl w:val="90881AD4"/>
    <w:lvl w:ilvl="0" w:tplc="E4927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51F44"/>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4B0FD4"/>
    <w:multiLevelType w:val="multilevel"/>
    <w:tmpl w:val="E1BC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50478"/>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EC4BAE"/>
    <w:multiLevelType w:val="hybridMultilevel"/>
    <w:tmpl w:val="0FFEFD02"/>
    <w:lvl w:ilvl="0" w:tplc="ACE4535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25C28"/>
    <w:multiLevelType w:val="hybridMultilevel"/>
    <w:tmpl w:val="E6FE506A"/>
    <w:lvl w:ilvl="0" w:tplc="C84225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04059"/>
    <w:multiLevelType w:val="hybridMultilevel"/>
    <w:tmpl w:val="92F09BC6"/>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9" w15:restartNumberingAfterBreak="0">
    <w:nsid w:val="50E23A87"/>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DB7DA4"/>
    <w:multiLevelType w:val="hybridMultilevel"/>
    <w:tmpl w:val="81C867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939301">
    <w:abstractNumId w:val="4"/>
  </w:num>
  <w:num w:numId="2" w16cid:durableId="1920943310">
    <w:abstractNumId w:val="7"/>
  </w:num>
  <w:num w:numId="3" w16cid:durableId="681933288">
    <w:abstractNumId w:val="0"/>
  </w:num>
  <w:num w:numId="4" w16cid:durableId="1811362005">
    <w:abstractNumId w:val="1"/>
  </w:num>
  <w:num w:numId="5" w16cid:durableId="973145618">
    <w:abstractNumId w:val="3"/>
  </w:num>
  <w:num w:numId="6" w16cid:durableId="493762628">
    <w:abstractNumId w:val="9"/>
  </w:num>
  <w:num w:numId="7" w16cid:durableId="765346245">
    <w:abstractNumId w:val="5"/>
  </w:num>
  <w:num w:numId="8" w16cid:durableId="398091289">
    <w:abstractNumId w:val="10"/>
  </w:num>
  <w:num w:numId="9" w16cid:durableId="328556586">
    <w:abstractNumId w:val="2"/>
  </w:num>
  <w:num w:numId="10" w16cid:durableId="1386031645">
    <w:abstractNumId w:val="8"/>
  </w:num>
  <w:num w:numId="11" w16cid:durableId="1236084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32"/>
    <w:rsid w:val="00000654"/>
    <w:rsid w:val="0000186E"/>
    <w:rsid w:val="00002420"/>
    <w:rsid w:val="000025CF"/>
    <w:rsid w:val="00005380"/>
    <w:rsid w:val="00007EF3"/>
    <w:rsid w:val="00013FD4"/>
    <w:rsid w:val="00014EF1"/>
    <w:rsid w:val="0001627B"/>
    <w:rsid w:val="000166D5"/>
    <w:rsid w:val="000175A1"/>
    <w:rsid w:val="00023F7D"/>
    <w:rsid w:val="00025708"/>
    <w:rsid w:val="00026F19"/>
    <w:rsid w:val="000304A6"/>
    <w:rsid w:val="00032E43"/>
    <w:rsid w:val="00032F22"/>
    <w:rsid w:val="00036834"/>
    <w:rsid w:val="00045F8C"/>
    <w:rsid w:val="00047F5F"/>
    <w:rsid w:val="0005165C"/>
    <w:rsid w:val="000644CF"/>
    <w:rsid w:val="0006711D"/>
    <w:rsid w:val="00070BC7"/>
    <w:rsid w:val="0007137F"/>
    <w:rsid w:val="00072BB8"/>
    <w:rsid w:val="00073A01"/>
    <w:rsid w:val="000743ED"/>
    <w:rsid w:val="00076CF9"/>
    <w:rsid w:val="00081AB6"/>
    <w:rsid w:val="00081BF3"/>
    <w:rsid w:val="000848D6"/>
    <w:rsid w:val="00086630"/>
    <w:rsid w:val="000926F8"/>
    <w:rsid w:val="0009595D"/>
    <w:rsid w:val="00097766"/>
    <w:rsid w:val="00097CB0"/>
    <w:rsid w:val="000A298E"/>
    <w:rsid w:val="000A468F"/>
    <w:rsid w:val="000A4BE1"/>
    <w:rsid w:val="000A4D1F"/>
    <w:rsid w:val="000B292E"/>
    <w:rsid w:val="000C01E5"/>
    <w:rsid w:val="000C13D4"/>
    <w:rsid w:val="000C4E93"/>
    <w:rsid w:val="000C6631"/>
    <w:rsid w:val="000D5BC6"/>
    <w:rsid w:val="000D63FB"/>
    <w:rsid w:val="000F0A90"/>
    <w:rsid w:val="000F4B04"/>
    <w:rsid w:val="000F5E0C"/>
    <w:rsid w:val="0010301C"/>
    <w:rsid w:val="001042CC"/>
    <w:rsid w:val="00104E82"/>
    <w:rsid w:val="00106E18"/>
    <w:rsid w:val="001071F4"/>
    <w:rsid w:val="0010791D"/>
    <w:rsid w:val="0011133C"/>
    <w:rsid w:val="0011556B"/>
    <w:rsid w:val="00134B2D"/>
    <w:rsid w:val="00145722"/>
    <w:rsid w:val="001471AF"/>
    <w:rsid w:val="001530F5"/>
    <w:rsid w:val="00154370"/>
    <w:rsid w:val="0016265E"/>
    <w:rsid w:val="001644AF"/>
    <w:rsid w:val="00170C79"/>
    <w:rsid w:val="00171978"/>
    <w:rsid w:val="00173530"/>
    <w:rsid w:val="00175C82"/>
    <w:rsid w:val="0018682C"/>
    <w:rsid w:val="00186FCB"/>
    <w:rsid w:val="00190A57"/>
    <w:rsid w:val="001921AE"/>
    <w:rsid w:val="00192852"/>
    <w:rsid w:val="001A4376"/>
    <w:rsid w:val="001A7A3D"/>
    <w:rsid w:val="001B0759"/>
    <w:rsid w:val="001B1207"/>
    <w:rsid w:val="001B12C9"/>
    <w:rsid w:val="001B13BF"/>
    <w:rsid w:val="001B3D0E"/>
    <w:rsid w:val="001B4D7C"/>
    <w:rsid w:val="001B537A"/>
    <w:rsid w:val="001B5528"/>
    <w:rsid w:val="001B6659"/>
    <w:rsid w:val="001B7ADD"/>
    <w:rsid w:val="001D13D3"/>
    <w:rsid w:val="001D72CA"/>
    <w:rsid w:val="001E2EC3"/>
    <w:rsid w:val="001E2EDC"/>
    <w:rsid w:val="001E2F59"/>
    <w:rsid w:val="001E31ED"/>
    <w:rsid w:val="001F185F"/>
    <w:rsid w:val="001F47C6"/>
    <w:rsid w:val="001F4F62"/>
    <w:rsid w:val="00200F81"/>
    <w:rsid w:val="00201342"/>
    <w:rsid w:val="002016C7"/>
    <w:rsid w:val="00212109"/>
    <w:rsid w:val="00217B5F"/>
    <w:rsid w:val="002224C4"/>
    <w:rsid w:val="00222C46"/>
    <w:rsid w:val="00226AB7"/>
    <w:rsid w:val="00237F1B"/>
    <w:rsid w:val="00245541"/>
    <w:rsid w:val="002464D1"/>
    <w:rsid w:val="00252E7F"/>
    <w:rsid w:val="002538A9"/>
    <w:rsid w:val="00253E90"/>
    <w:rsid w:val="002607E5"/>
    <w:rsid w:val="002633F6"/>
    <w:rsid w:val="00265512"/>
    <w:rsid w:val="002665BF"/>
    <w:rsid w:val="002736AB"/>
    <w:rsid w:val="0027564B"/>
    <w:rsid w:val="002774E9"/>
    <w:rsid w:val="00277FB5"/>
    <w:rsid w:val="0028231C"/>
    <w:rsid w:val="00287243"/>
    <w:rsid w:val="0029046A"/>
    <w:rsid w:val="00290C6C"/>
    <w:rsid w:val="0029590C"/>
    <w:rsid w:val="00296D37"/>
    <w:rsid w:val="002A0615"/>
    <w:rsid w:val="002A6171"/>
    <w:rsid w:val="002B08D2"/>
    <w:rsid w:val="002B26AF"/>
    <w:rsid w:val="002B4D1B"/>
    <w:rsid w:val="002B4F6C"/>
    <w:rsid w:val="002B51D1"/>
    <w:rsid w:val="002C2749"/>
    <w:rsid w:val="002C4229"/>
    <w:rsid w:val="002C4F72"/>
    <w:rsid w:val="002C6E3D"/>
    <w:rsid w:val="002C74C2"/>
    <w:rsid w:val="002D2426"/>
    <w:rsid w:val="002D407B"/>
    <w:rsid w:val="002D41F0"/>
    <w:rsid w:val="002D4472"/>
    <w:rsid w:val="002D6B24"/>
    <w:rsid w:val="002E3CD0"/>
    <w:rsid w:val="002E4EE1"/>
    <w:rsid w:val="002F1384"/>
    <w:rsid w:val="002F2D96"/>
    <w:rsid w:val="002F5407"/>
    <w:rsid w:val="002F6B09"/>
    <w:rsid w:val="002F7AD8"/>
    <w:rsid w:val="003033BF"/>
    <w:rsid w:val="00306198"/>
    <w:rsid w:val="00306423"/>
    <w:rsid w:val="00306ACF"/>
    <w:rsid w:val="00307B50"/>
    <w:rsid w:val="0031183F"/>
    <w:rsid w:val="00313341"/>
    <w:rsid w:val="00316183"/>
    <w:rsid w:val="0032013F"/>
    <w:rsid w:val="00321988"/>
    <w:rsid w:val="00321B2B"/>
    <w:rsid w:val="003220FE"/>
    <w:rsid w:val="00327191"/>
    <w:rsid w:val="00331C02"/>
    <w:rsid w:val="00332109"/>
    <w:rsid w:val="00333F2A"/>
    <w:rsid w:val="003351FA"/>
    <w:rsid w:val="00335624"/>
    <w:rsid w:val="00342B43"/>
    <w:rsid w:val="00342D51"/>
    <w:rsid w:val="00343A0E"/>
    <w:rsid w:val="00347407"/>
    <w:rsid w:val="0034760B"/>
    <w:rsid w:val="003501E0"/>
    <w:rsid w:val="00355F2B"/>
    <w:rsid w:val="003575FF"/>
    <w:rsid w:val="003619C6"/>
    <w:rsid w:val="0036265F"/>
    <w:rsid w:val="00373F41"/>
    <w:rsid w:val="00374D84"/>
    <w:rsid w:val="0037522B"/>
    <w:rsid w:val="00376935"/>
    <w:rsid w:val="00380FFC"/>
    <w:rsid w:val="00383732"/>
    <w:rsid w:val="00384724"/>
    <w:rsid w:val="003869F0"/>
    <w:rsid w:val="00390BDB"/>
    <w:rsid w:val="00393DB3"/>
    <w:rsid w:val="00394739"/>
    <w:rsid w:val="00395C89"/>
    <w:rsid w:val="003A0A7E"/>
    <w:rsid w:val="003A23CA"/>
    <w:rsid w:val="003A2658"/>
    <w:rsid w:val="003A50F6"/>
    <w:rsid w:val="003B2EB8"/>
    <w:rsid w:val="003C673E"/>
    <w:rsid w:val="003D0D4F"/>
    <w:rsid w:val="003D1070"/>
    <w:rsid w:val="003D3739"/>
    <w:rsid w:val="003D4CC8"/>
    <w:rsid w:val="003E34E3"/>
    <w:rsid w:val="003E3540"/>
    <w:rsid w:val="003E65EA"/>
    <w:rsid w:val="003E6C62"/>
    <w:rsid w:val="00401B75"/>
    <w:rsid w:val="00405C4D"/>
    <w:rsid w:val="004103D0"/>
    <w:rsid w:val="00420253"/>
    <w:rsid w:val="00420DF9"/>
    <w:rsid w:val="00424E13"/>
    <w:rsid w:val="0043075E"/>
    <w:rsid w:val="00432316"/>
    <w:rsid w:val="00432A73"/>
    <w:rsid w:val="00433CC1"/>
    <w:rsid w:val="00435809"/>
    <w:rsid w:val="00435D4E"/>
    <w:rsid w:val="00440EE0"/>
    <w:rsid w:val="00443080"/>
    <w:rsid w:val="004444B3"/>
    <w:rsid w:val="00454F81"/>
    <w:rsid w:val="00455F52"/>
    <w:rsid w:val="00460475"/>
    <w:rsid w:val="00461C94"/>
    <w:rsid w:val="0047000D"/>
    <w:rsid w:val="00475651"/>
    <w:rsid w:val="00480C48"/>
    <w:rsid w:val="004818A7"/>
    <w:rsid w:val="00484D0D"/>
    <w:rsid w:val="00486C66"/>
    <w:rsid w:val="00493161"/>
    <w:rsid w:val="004946AD"/>
    <w:rsid w:val="00497EA5"/>
    <w:rsid w:val="004A1C95"/>
    <w:rsid w:val="004B03D8"/>
    <w:rsid w:val="004B4763"/>
    <w:rsid w:val="004C15C2"/>
    <w:rsid w:val="004C3DD3"/>
    <w:rsid w:val="004D048A"/>
    <w:rsid w:val="004D09C7"/>
    <w:rsid w:val="004D0D29"/>
    <w:rsid w:val="004D2C4B"/>
    <w:rsid w:val="004D33B5"/>
    <w:rsid w:val="004D389C"/>
    <w:rsid w:val="004D3DA3"/>
    <w:rsid w:val="004D4E34"/>
    <w:rsid w:val="004D52C4"/>
    <w:rsid w:val="004E0655"/>
    <w:rsid w:val="004E0D0A"/>
    <w:rsid w:val="004E411C"/>
    <w:rsid w:val="004E4E6C"/>
    <w:rsid w:val="004E6B08"/>
    <w:rsid w:val="004F20E4"/>
    <w:rsid w:val="004F2514"/>
    <w:rsid w:val="004F2F6F"/>
    <w:rsid w:val="004F34F8"/>
    <w:rsid w:val="004F3C77"/>
    <w:rsid w:val="004F5648"/>
    <w:rsid w:val="004F5E34"/>
    <w:rsid w:val="0050357C"/>
    <w:rsid w:val="00505ADD"/>
    <w:rsid w:val="00507666"/>
    <w:rsid w:val="00514E1F"/>
    <w:rsid w:val="00515133"/>
    <w:rsid w:val="005176E7"/>
    <w:rsid w:val="00522230"/>
    <w:rsid w:val="00524D50"/>
    <w:rsid w:val="00527F4B"/>
    <w:rsid w:val="00535FE0"/>
    <w:rsid w:val="0053757B"/>
    <w:rsid w:val="00550335"/>
    <w:rsid w:val="00554E21"/>
    <w:rsid w:val="00555BD5"/>
    <w:rsid w:val="00555DE8"/>
    <w:rsid w:val="0055662E"/>
    <w:rsid w:val="00563576"/>
    <w:rsid w:val="005636BE"/>
    <w:rsid w:val="005661A2"/>
    <w:rsid w:val="00572A7D"/>
    <w:rsid w:val="005733DA"/>
    <w:rsid w:val="0057399A"/>
    <w:rsid w:val="00580C29"/>
    <w:rsid w:val="005821BA"/>
    <w:rsid w:val="00582665"/>
    <w:rsid w:val="00583081"/>
    <w:rsid w:val="00585165"/>
    <w:rsid w:val="00594748"/>
    <w:rsid w:val="00597E89"/>
    <w:rsid w:val="005A17D6"/>
    <w:rsid w:val="005A4204"/>
    <w:rsid w:val="005B0129"/>
    <w:rsid w:val="005C0513"/>
    <w:rsid w:val="005C50C5"/>
    <w:rsid w:val="005C5F54"/>
    <w:rsid w:val="005C7D29"/>
    <w:rsid w:val="005D26E2"/>
    <w:rsid w:val="005D325C"/>
    <w:rsid w:val="005E6C5C"/>
    <w:rsid w:val="005F35F0"/>
    <w:rsid w:val="005F5438"/>
    <w:rsid w:val="005F582F"/>
    <w:rsid w:val="005F6D08"/>
    <w:rsid w:val="006037E5"/>
    <w:rsid w:val="0061217D"/>
    <w:rsid w:val="00613019"/>
    <w:rsid w:val="006130EE"/>
    <w:rsid w:val="006134CE"/>
    <w:rsid w:val="00613E67"/>
    <w:rsid w:val="00620B20"/>
    <w:rsid w:val="0062233C"/>
    <w:rsid w:val="00623667"/>
    <w:rsid w:val="0063131B"/>
    <w:rsid w:val="0063254F"/>
    <w:rsid w:val="00632D42"/>
    <w:rsid w:val="00633AE3"/>
    <w:rsid w:val="00636529"/>
    <w:rsid w:val="006366FB"/>
    <w:rsid w:val="00645531"/>
    <w:rsid w:val="00646C59"/>
    <w:rsid w:val="00646ED5"/>
    <w:rsid w:val="00650646"/>
    <w:rsid w:val="00652BEB"/>
    <w:rsid w:val="00656B0A"/>
    <w:rsid w:val="00657228"/>
    <w:rsid w:val="00662C0C"/>
    <w:rsid w:val="00674A0E"/>
    <w:rsid w:val="0067517C"/>
    <w:rsid w:val="006763C4"/>
    <w:rsid w:val="0068048C"/>
    <w:rsid w:val="006909D7"/>
    <w:rsid w:val="00695B0F"/>
    <w:rsid w:val="00696029"/>
    <w:rsid w:val="0069672E"/>
    <w:rsid w:val="006A15C3"/>
    <w:rsid w:val="006A1814"/>
    <w:rsid w:val="006B1E6C"/>
    <w:rsid w:val="006B79FF"/>
    <w:rsid w:val="006C08CD"/>
    <w:rsid w:val="006C30A4"/>
    <w:rsid w:val="006C4870"/>
    <w:rsid w:val="006C5D4B"/>
    <w:rsid w:val="006D0BC0"/>
    <w:rsid w:val="006E0DEE"/>
    <w:rsid w:val="006E2145"/>
    <w:rsid w:val="006E33EF"/>
    <w:rsid w:val="006E3ACC"/>
    <w:rsid w:val="006E3B19"/>
    <w:rsid w:val="006E4DBD"/>
    <w:rsid w:val="006E64B3"/>
    <w:rsid w:val="006F15B6"/>
    <w:rsid w:val="006F45EF"/>
    <w:rsid w:val="006F4A9E"/>
    <w:rsid w:val="006F5A2F"/>
    <w:rsid w:val="006F5C0E"/>
    <w:rsid w:val="006F65F6"/>
    <w:rsid w:val="006F66B5"/>
    <w:rsid w:val="00702419"/>
    <w:rsid w:val="00703646"/>
    <w:rsid w:val="00704E5F"/>
    <w:rsid w:val="00706AD6"/>
    <w:rsid w:val="00707D32"/>
    <w:rsid w:val="00711D23"/>
    <w:rsid w:val="00715FB8"/>
    <w:rsid w:val="00717CFE"/>
    <w:rsid w:val="0072169D"/>
    <w:rsid w:val="00721966"/>
    <w:rsid w:val="00723C08"/>
    <w:rsid w:val="00730745"/>
    <w:rsid w:val="00733A10"/>
    <w:rsid w:val="007355ED"/>
    <w:rsid w:val="00735EC9"/>
    <w:rsid w:val="007370F1"/>
    <w:rsid w:val="007421D0"/>
    <w:rsid w:val="00746CF0"/>
    <w:rsid w:val="00747841"/>
    <w:rsid w:val="00750678"/>
    <w:rsid w:val="00753550"/>
    <w:rsid w:val="007563B3"/>
    <w:rsid w:val="00757870"/>
    <w:rsid w:val="007726D3"/>
    <w:rsid w:val="007816FF"/>
    <w:rsid w:val="00781E94"/>
    <w:rsid w:val="00782237"/>
    <w:rsid w:val="0078308B"/>
    <w:rsid w:val="007830D3"/>
    <w:rsid w:val="00784F30"/>
    <w:rsid w:val="007860A0"/>
    <w:rsid w:val="00786434"/>
    <w:rsid w:val="00790671"/>
    <w:rsid w:val="00792E5C"/>
    <w:rsid w:val="00797935"/>
    <w:rsid w:val="007A51CD"/>
    <w:rsid w:val="007A55DD"/>
    <w:rsid w:val="007A5772"/>
    <w:rsid w:val="007A76D6"/>
    <w:rsid w:val="007A7E86"/>
    <w:rsid w:val="007B342B"/>
    <w:rsid w:val="007B46BE"/>
    <w:rsid w:val="007B53B8"/>
    <w:rsid w:val="007B5688"/>
    <w:rsid w:val="007B59B6"/>
    <w:rsid w:val="007C0792"/>
    <w:rsid w:val="007C64DB"/>
    <w:rsid w:val="007C6623"/>
    <w:rsid w:val="007D2704"/>
    <w:rsid w:val="007D40E9"/>
    <w:rsid w:val="007D4F66"/>
    <w:rsid w:val="007D70ED"/>
    <w:rsid w:val="007D7798"/>
    <w:rsid w:val="007E33BA"/>
    <w:rsid w:val="007E57A7"/>
    <w:rsid w:val="007E73F9"/>
    <w:rsid w:val="008014D3"/>
    <w:rsid w:val="00804832"/>
    <w:rsid w:val="008063A0"/>
    <w:rsid w:val="00807807"/>
    <w:rsid w:val="00811060"/>
    <w:rsid w:val="00815B47"/>
    <w:rsid w:val="008215CA"/>
    <w:rsid w:val="00823E58"/>
    <w:rsid w:val="00827CDE"/>
    <w:rsid w:val="00830F3F"/>
    <w:rsid w:val="00831EFF"/>
    <w:rsid w:val="00834E64"/>
    <w:rsid w:val="008351CE"/>
    <w:rsid w:val="00836D59"/>
    <w:rsid w:val="00836E74"/>
    <w:rsid w:val="00841C20"/>
    <w:rsid w:val="0084209E"/>
    <w:rsid w:val="00845670"/>
    <w:rsid w:val="00847211"/>
    <w:rsid w:val="00850227"/>
    <w:rsid w:val="00856A10"/>
    <w:rsid w:val="00862F1F"/>
    <w:rsid w:val="00863335"/>
    <w:rsid w:val="008646FD"/>
    <w:rsid w:val="00866210"/>
    <w:rsid w:val="0086703B"/>
    <w:rsid w:val="008676A5"/>
    <w:rsid w:val="00875BBF"/>
    <w:rsid w:val="0087789D"/>
    <w:rsid w:val="008778A5"/>
    <w:rsid w:val="00892031"/>
    <w:rsid w:val="008920D8"/>
    <w:rsid w:val="0089318C"/>
    <w:rsid w:val="00894A23"/>
    <w:rsid w:val="008970A4"/>
    <w:rsid w:val="00897CA1"/>
    <w:rsid w:val="008A1765"/>
    <w:rsid w:val="008A1CAD"/>
    <w:rsid w:val="008A482C"/>
    <w:rsid w:val="008B3FD4"/>
    <w:rsid w:val="008B4EEF"/>
    <w:rsid w:val="008B5CC4"/>
    <w:rsid w:val="008C0C85"/>
    <w:rsid w:val="008C0E99"/>
    <w:rsid w:val="008C5EAB"/>
    <w:rsid w:val="008D0321"/>
    <w:rsid w:val="008D1F5A"/>
    <w:rsid w:val="008D379B"/>
    <w:rsid w:val="008D53BC"/>
    <w:rsid w:val="008E1900"/>
    <w:rsid w:val="008E4BD2"/>
    <w:rsid w:val="008E5AEF"/>
    <w:rsid w:val="008E5DCD"/>
    <w:rsid w:val="008E6BBF"/>
    <w:rsid w:val="008F0C9C"/>
    <w:rsid w:val="008F27FA"/>
    <w:rsid w:val="008F3BB2"/>
    <w:rsid w:val="008F3D5E"/>
    <w:rsid w:val="008F52B6"/>
    <w:rsid w:val="008F5538"/>
    <w:rsid w:val="008F5975"/>
    <w:rsid w:val="008F5D37"/>
    <w:rsid w:val="00901748"/>
    <w:rsid w:val="00906AE8"/>
    <w:rsid w:val="00906D41"/>
    <w:rsid w:val="00911481"/>
    <w:rsid w:val="00912CCE"/>
    <w:rsid w:val="00915348"/>
    <w:rsid w:val="00917A5B"/>
    <w:rsid w:val="00921847"/>
    <w:rsid w:val="009234FB"/>
    <w:rsid w:val="00924236"/>
    <w:rsid w:val="00924CE9"/>
    <w:rsid w:val="00926C27"/>
    <w:rsid w:val="00927AA6"/>
    <w:rsid w:val="009316CC"/>
    <w:rsid w:val="00932BD1"/>
    <w:rsid w:val="00933CE9"/>
    <w:rsid w:val="00940593"/>
    <w:rsid w:val="009409AC"/>
    <w:rsid w:val="00941DDD"/>
    <w:rsid w:val="00944A8E"/>
    <w:rsid w:val="00945E17"/>
    <w:rsid w:val="009475EB"/>
    <w:rsid w:val="00962AFF"/>
    <w:rsid w:val="00966D0C"/>
    <w:rsid w:val="00967061"/>
    <w:rsid w:val="00967F60"/>
    <w:rsid w:val="00972646"/>
    <w:rsid w:val="00976D2E"/>
    <w:rsid w:val="00982253"/>
    <w:rsid w:val="00983DF9"/>
    <w:rsid w:val="0098551D"/>
    <w:rsid w:val="0098566F"/>
    <w:rsid w:val="00986A86"/>
    <w:rsid w:val="0099113B"/>
    <w:rsid w:val="009924C4"/>
    <w:rsid w:val="00992D8D"/>
    <w:rsid w:val="00993631"/>
    <w:rsid w:val="0099402E"/>
    <w:rsid w:val="00997414"/>
    <w:rsid w:val="009A01E4"/>
    <w:rsid w:val="009A0270"/>
    <w:rsid w:val="009A1D9D"/>
    <w:rsid w:val="009A2A4C"/>
    <w:rsid w:val="009A3223"/>
    <w:rsid w:val="009A3899"/>
    <w:rsid w:val="009A3BBE"/>
    <w:rsid w:val="009A4C10"/>
    <w:rsid w:val="009A6D7B"/>
    <w:rsid w:val="009B15AF"/>
    <w:rsid w:val="009C12A1"/>
    <w:rsid w:val="009C1F2A"/>
    <w:rsid w:val="009C5EAC"/>
    <w:rsid w:val="009C5FDD"/>
    <w:rsid w:val="009D14B3"/>
    <w:rsid w:val="009D4AA6"/>
    <w:rsid w:val="009E1737"/>
    <w:rsid w:val="009E4DC7"/>
    <w:rsid w:val="009E608D"/>
    <w:rsid w:val="009F1352"/>
    <w:rsid w:val="009F1EF7"/>
    <w:rsid w:val="00A00A9C"/>
    <w:rsid w:val="00A01FB4"/>
    <w:rsid w:val="00A07B32"/>
    <w:rsid w:val="00A11643"/>
    <w:rsid w:val="00A129CB"/>
    <w:rsid w:val="00A21175"/>
    <w:rsid w:val="00A2354F"/>
    <w:rsid w:val="00A30C51"/>
    <w:rsid w:val="00A35C7F"/>
    <w:rsid w:val="00A35CB2"/>
    <w:rsid w:val="00A37E10"/>
    <w:rsid w:val="00A400E4"/>
    <w:rsid w:val="00A43F3A"/>
    <w:rsid w:val="00A446DB"/>
    <w:rsid w:val="00A44C44"/>
    <w:rsid w:val="00A44F96"/>
    <w:rsid w:val="00A46375"/>
    <w:rsid w:val="00A560B9"/>
    <w:rsid w:val="00A627A0"/>
    <w:rsid w:val="00A64B7E"/>
    <w:rsid w:val="00A64FD3"/>
    <w:rsid w:val="00A668E1"/>
    <w:rsid w:val="00A67E0A"/>
    <w:rsid w:val="00A70090"/>
    <w:rsid w:val="00A75ACD"/>
    <w:rsid w:val="00A77664"/>
    <w:rsid w:val="00A80D83"/>
    <w:rsid w:val="00A81C1F"/>
    <w:rsid w:val="00A85C8D"/>
    <w:rsid w:val="00A93865"/>
    <w:rsid w:val="00A95F84"/>
    <w:rsid w:val="00AA107B"/>
    <w:rsid w:val="00AA1349"/>
    <w:rsid w:val="00AA270F"/>
    <w:rsid w:val="00AA51DE"/>
    <w:rsid w:val="00AB1644"/>
    <w:rsid w:val="00AC044A"/>
    <w:rsid w:val="00AC19D1"/>
    <w:rsid w:val="00AC4AC6"/>
    <w:rsid w:val="00AC674D"/>
    <w:rsid w:val="00AC7F97"/>
    <w:rsid w:val="00AD0174"/>
    <w:rsid w:val="00AD4DC7"/>
    <w:rsid w:val="00AD5FF4"/>
    <w:rsid w:val="00AD7360"/>
    <w:rsid w:val="00AE4E8E"/>
    <w:rsid w:val="00AE6CB8"/>
    <w:rsid w:val="00AE7685"/>
    <w:rsid w:val="00AF2D6F"/>
    <w:rsid w:val="00AF3936"/>
    <w:rsid w:val="00AF79E8"/>
    <w:rsid w:val="00B00198"/>
    <w:rsid w:val="00B053D6"/>
    <w:rsid w:val="00B0622D"/>
    <w:rsid w:val="00B21A54"/>
    <w:rsid w:val="00B22D61"/>
    <w:rsid w:val="00B22E93"/>
    <w:rsid w:val="00B24C92"/>
    <w:rsid w:val="00B265D2"/>
    <w:rsid w:val="00B2754B"/>
    <w:rsid w:val="00B277C2"/>
    <w:rsid w:val="00B27E08"/>
    <w:rsid w:val="00B303F9"/>
    <w:rsid w:val="00B3397A"/>
    <w:rsid w:val="00B35CAA"/>
    <w:rsid w:val="00B36CFF"/>
    <w:rsid w:val="00B36DA7"/>
    <w:rsid w:val="00B37E15"/>
    <w:rsid w:val="00B507A3"/>
    <w:rsid w:val="00B5163D"/>
    <w:rsid w:val="00B522A6"/>
    <w:rsid w:val="00B52CB6"/>
    <w:rsid w:val="00B52E3F"/>
    <w:rsid w:val="00B56591"/>
    <w:rsid w:val="00B653BF"/>
    <w:rsid w:val="00B661FC"/>
    <w:rsid w:val="00B71B2F"/>
    <w:rsid w:val="00B72F22"/>
    <w:rsid w:val="00B77289"/>
    <w:rsid w:val="00B821BA"/>
    <w:rsid w:val="00B82E1A"/>
    <w:rsid w:val="00B87266"/>
    <w:rsid w:val="00B876EC"/>
    <w:rsid w:val="00B924C8"/>
    <w:rsid w:val="00B93EAE"/>
    <w:rsid w:val="00B95476"/>
    <w:rsid w:val="00B95F4F"/>
    <w:rsid w:val="00BA149E"/>
    <w:rsid w:val="00BA2337"/>
    <w:rsid w:val="00BA3672"/>
    <w:rsid w:val="00BA5734"/>
    <w:rsid w:val="00BA64FE"/>
    <w:rsid w:val="00BA7246"/>
    <w:rsid w:val="00BB282F"/>
    <w:rsid w:val="00BB7753"/>
    <w:rsid w:val="00BB7E1D"/>
    <w:rsid w:val="00BC075F"/>
    <w:rsid w:val="00BC3860"/>
    <w:rsid w:val="00BC7459"/>
    <w:rsid w:val="00BD050C"/>
    <w:rsid w:val="00BD4D07"/>
    <w:rsid w:val="00BE49A4"/>
    <w:rsid w:val="00BE567E"/>
    <w:rsid w:val="00C01A99"/>
    <w:rsid w:val="00C02DD0"/>
    <w:rsid w:val="00C03D20"/>
    <w:rsid w:val="00C04DF6"/>
    <w:rsid w:val="00C104EA"/>
    <w:rsid w:val="00C13992"/>
    <w:rsid w:val="00C1444A"/>
    <w:rsid w:val="00C144D1"/>
    <w:rsid w:val="00C1747E"/>
    <w:rsid w:val="00C21557"/>
    <w:rsid w:val="00C2230B"/>
    <w:rsid w:val="00C2286E"/>
    <w:rsid w:val="00C2562D"/>
    <w:rsid w:val="00C25A28"/>
    <w:rsid w:val="00C31B5C"/>
    <w:rsid w:val="00C37D3A"/>
    <w:rsid w:val="00C416B7"/>
    <w:rsid w:val="00C41B41"/>
    <w:rsid w:val="00C4244D"/>
    <w:rsid w:val="00C42836"/>
    <w:rsid w:val="00C449D5"/>
    <w:rsid w:val="00C50626"/>
    <w:rsid w:val="00C614CD"/>
    <w:rsid w:val="00C61E60"/>
    <w:rsid w:val="00C61FE4"/>
    <w:rsid w:val="00C64B8F"/>
    <w:rsid w:val="00C65238"/>
    <w:rsid w:val="00C717BB"/>
    <w:rsid w:val="00C73532"/>
    <w:rsid w:val="00C76C5C"/>
    <w:rsid w:val="00C76CC8"/>
    <w:rsid w:val="00C80C39"/>
    <w:rsid w:val="00C815AC"/>
    <w:rsid w:val="00C83317"/>
    <w:rsid w:val="00C83B2D"/>
    <w:rsid w:val="00C83F94"/>
    <w:rsid w:val="00C84425"/>
    <w:rsid w:val="00C8757D"/>
    <w:rsid w:val="00C87718"/>
    <w:rsid w:val="00C907B4"/>
    <w:rsid w:val="00CA240F"/>
    <w:rsid w:val="00CA30BF"/>
    <w:rsid w:val="00CA3DAD"/>
    <w:rsid w:val="00CA42C1"/>
    <w:rsid w:val="00CA6AB0"/>
    <w:rsid w:val="00CA71A1"/>
    <w:rsid w:val="00CB147A"/>
    <w:rsid w:val="00CC16C9"/>
    <w:rsid w:val="00CC5C35"/>
    <w:rsid w:val="00CD18D2"/>
    <w:rsid w:val="00CD630C"/>
    <w:rsid w:val="00CD6A6E"/>
    <w:rsid w:val="00CD71CC"/>
    <w:rsid w:val="00CE15DE"/>
    <w:rsid w:val="00CE1830"/>
    <w:rsid w:val="00CE599F"/>
    <w:rsid w:val="00CE61E0"/>
    <w:rsid w:val="00CE68C0"/>
    <w:rsid w:val="00CE6E64"/>
    <w:rsid w:val="00CE7EB7"/>
    <w:rsid w:val="00CF0461"/>
    <w:rsid w:val="00CF11D5"/>
    <w:rsid w:val="00CF28E9"/>
    <w:rsid w:val="00CF7D97"/>
    <w:rsid w:val="00D00F7B"/>
    <w:rsid w:val="00D01A48"/>
    <w:rsid w:val="00D050FB"/>
    <w:rsid w:val="00D05E8F"/>
    <w:rsid w:val="00D11C80"/>
    <w:rsid w:val="00D122A5"/>
    <w:rsid w:val="00D126EB"/>
    <w:rsid w:val="00D15F1C"/>
    <w:rsid w:val="00D21BD6"/>
    <w:rsid w:val="00D225FC"/>
    <w:rsid w:val="00D228E3"/>
    <w:rsid w:val="00D22A53"/>
    <w:rsid w:val="00D25E8E"/>
    <w:rsid w:val="00D32539"/>
    <w:rsid w:val="00D34B52"/>
    <w:rsid w:val="00D3559D"/>
    <w:rsid w:val="00D4075E"/>
    <w:rsid w:val="00D42541"/>
    <w:rsid w:val="00D43E15"/>
    <w:rsid w:val="00D4405E"/>
    <w:rsid w:val="00D4462C"/>
    <w:rsid w:val="00D45765"/>
    <w:rsid w:val="00D5009A"/>
    <w:rsid w:val="00D52F63"/>
    <w:rsid w:val="00D573FE"/>
    <w:rsid w:val="00D57E0C"/>
    <w:rsid w:val="00D62A92"/>
    <w:rsid w:val="00D6612B"/>
    <w:rsid w:val="00D66608"/>
    <w:rsid w:val="00D66A82"/>
    <w:rsid w:val="00D71BB9"/>
    <w:rsid w:val="00D74044"/>
    <w:rsid w:val="00D80DA7"/>
    <w:rsid w:val="00D843E4"/>
    <w:rsid w:val="00D86E62"/>
    <w:rsid w:val="00D90FFC"/>
    <w:rsid w:val="00D914A6"/>
    <w:rsid w:val="00D91C56"/>
    <w:rsid w:val="00D928B7"/>
    <w:rsid w:val="00D94235"/>
    <w:rsid w:val="00DA4B2E"/>
    <w:rsid w:val="00DA6C17"/>
    <w:rsid w:val="00DA6F30"/>
    <w:rsid w:val="00DB0CF8"/>
    <w:rsid w:val="00DC0A8E"/>
    <w:rsid w:val="00DC112E"/>
    <w:rsid w:val="00DC2C48"/>
    <w:rsid w:val="00DC2D49"/>
    <w:rsid w:val="00DC3768"/>
    <w:rsid w:val="00DC6E11"/>
    <w:rsid w:val="00DC7216"/>
    <w:rsid w:val="00DD1241"/>
    <w:rsid w:val="00DD4275"/>
    <w:rsid w:val="00DD6641"/>
    <w:rsid w:val="00DD6B89"/>
    <w:rsid w:val="00DF093C"/>
    <w:rsid w:val="00DF24E2"/>
    <w:rsid w:val="00DF69D5"/>
    <w:rsid w:val="00DF7259"/>
    <w:rsid w:val="00DF7BBD"/>
    <w:rsid w:val="00E027C0"/>
    <w:rsid w:val="00E02C4E"/>
    <w:rsid w:val="00E0430D"/>
    <w:rsid w:val="00E04ADA"/>
    <w:rsid w:val="00E06D7D"/>
    <w:rsid w:val="00E10E54"/>
    <w:rsid w:val="00E11591"/>
    <w:rsid w:val="00E14BBB"/>
    <w:rsid w:val="00E21BB3"/>
    <w:rsid w:val="00E230B9"/>
    <w:rsid w:val="00E27ADB"/>
    <w:rsid w:val="00E3001B"/>
    <w:rsid w:val="00E303CA"/>
    <w:rsid w:val="00E30F62"/>
    <w:rsid w:val="00E34A05"/>
    <w:rsid w:val="00E35B2F"/>
    <w:rsid w:val="00E35B5E"/>
    <w:rsid w:val="00E446DC"/>
    <w:rsid w:val="00E4729F"/>
    <w:rsid w:val="00E52C42"/>
    <w:rsid w:val="00E536F2"/>
    <w:rsid w:val="00E5525E"/>
    <w:rsid w:val="00E57B81"/>
    <w:rsid w:val="00E60F57"/>
    <w:rsid w:val="00E635BD"/>
    <w:rsid w:val="00E71937"/>
    <w:rsid w:val="00E73B78"/>
    <w:rsid w:val="00E83F67"/>
    <w:rsid w:val="00E8690B"/>
    <w:rsid w:val="00E86D5B"/>
    <w:rsid w:val="00E9117E"/>
    <w:rsid w:val="00E93CF2"/>
    <w:rsid w:val="00E93DFB"/>
    <w:rsid w:val="00E95123"/>
    <w:rsid w:val="00E95306"/>
    <w:rsid w:val="00EA03D6"/>
    <w:rsid w:val="00EB0774"/>
    <w:rsid w:val="00EB2497"/>
    <w:rsid w:val="00EB6401"/>
    <w:rsid w:val="00EC2B81"/>
    <w:rsid w:val="00EC41E2"/>
    <w:rsid w:val="00EC4743"/>
    <w:rsid w:val="00EC7C3D"/>
    <w:rsid w:val="00EE1C92"/>
    <w:rsid w:val="00EE2DC2"/>
    <w:rsid w:val="00EF21AC"/>
    <w:rsid w:val="00EF3E34"/>
    <w:rsid w:val="00EF6556"/>
    <w:rsid w:val="00F00149"/>
    <w:rsid w:val="00F019B9"/>
    <w:rsid w:val="00F03FE0"/>
    <w:rsid w:val="00F048C0"/>
    <w:rsid w:val="00F10BE8"/>
    <w:rsid w:val="00F11778"/>
    <w:rsid w:val="00F1390A"/>
    <w:rsid w:val="00F173E2"/>
    <w:rsid w:val="00F2050B"/>
    <w:rsid w:val="00F231A2"/>
    <w:rsid w:val="00F23B44"/>
    <w:rsid w:val="00F23F0D"/>
    <w:rsid w:val="00F302DC"/>
    <w:rsid w:val="00F33CF3"/>
    <w:rsid w:val="00F342F4"/>
    <w:rsid w:val="00F346C4"/>
    <w:rsid w:val="00F34AF4"/>
    <w:rsid w:val="00F40CB8"/>
    <w:rsid w:val="00F427F0"/>
    <w:rsid w:val="00F43737"/>
    <w:rsid w:val="00F449A4"/>
    <w:rsid w:val="00F477E1"/>
    <w:rsid w:val="00F51063"/>
    <w:rsid w:val="00F52F4B"/>
    <w:rsid w:val="00F63588"/>
    <w:rsid w:val="00F6414B"/>
    <w:rsid w:val="00F65002"/>
    <w:rsid w:val="00F67849"/>
    <w:rsid w:val="00F67F2C"/>
    <w:rsid w:val="00F71A04"/>
    <w:rsid w:val="00F71A1E"/>
    <w:rsid w:val="00F7212F"/>
    <w:rsid w:val="00F721F6"/>
    <w:rsid w:val="00F737F1"/>
    <w:rsid w:val="00F74C52"/>
    <w:rsid w:val="00F77E2C"/>
    <w:rsid w:val="00F77FF9"/>
    <w:rsid w:val="00F80230"/>
    <w:rsid w:val="00F80AEF"/>
    <w:rsid w:val="00F830E1"/>
    <w:rsid w:val="00F84B98"/>
    <w:rsid w:val="00F84E4D"/>
    <w:rsid w:val="00F85486"/>
    <w:rsid w:val="00F86B51"/>
    <w:rsid w:val="00F9131F"/>
    <w:rsid w:val="00F93039"/>
    <w:rsid w:val="00F932E6"/>
    <w:rsid w:val="00F9584C"/>
    <w:rsid w:val="00F96FB0"/>
    <w:rsid w:val="00FA141C"/>
    <w:rsid w:val="00FA3564"/>
    <w:rsid w:val="00FB017A"/>
    <w:rsid w:val="00FB02B8"/>
    <w:rsid w:val="00FC0776"/>
    <w:rsid w:val="00FC4ABC"/>
    <w:rsid w:val="00FD0AA5"/>
    <w:rsid w:val="00FD1A3C"/>
    <w:rsid w:val="00FD3747"/>
    <w:rsid w:val="00FD54B6"/>
    <w:rsid w:val="00FD5E61"/>
    <w:rsid w:val="00FE0240"/>
    <w:rsid w:val="00FE42C4"/>
    <w:rsid w:val="00FE48F9"/>
    <w:rsid w:val="00FF07F7"/>
    <w:rsid w:val="00FF16C0"/>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35C"/>
  <w15:chartTrackingRefBased/>
  <w15:docId w15:val="{1805FB73-7EE4-3E47-ADDB-E451B2B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32"/>
    <w:rPr>
      <w:rFonts w:ascii="Times New Roman" w:eastAsia="Times New Roman" w:hAnsi="Times New Roman" w:cs="Times New Roman"/>
    </w:rPr>
  </w:style>
  <w:style w:type="paragraph" w:styleId="Heading1">
    <w:name w:val="heading 1"/>
    <w:basedOn w:val="Normal"/>
    <w:link w:val="Heading1Char"/>
    <w:uiPriority w:val="9"/>
    <w:qFormat/>
    <w:rsid w:val="0024554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6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33B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D33B5"/>
    <w:rPr>
      <w:sz w:val="20"/>
      <w:szCs w:val="20"/>
    </w:rPr>
  </w:style>
  <w:style w:type="character" w:styleId="FootnoteReference">
    <w:name w:val="footnote reference"/>
    <w:basedOn w:val="DefaultParagraphFont"/>
    <w:uiPriority w:val="99"/>
    <w:semiHidden/>
    <w:unhideWhenUsed/>
    <w:rsid w:val="004D33B5"/>
    <w:rPr>
      <w:vertAlign w:val="superscript"/>
    </w:rPr>
  </w:style>
  <w:style w:type="paragraph" w:styleId="Revision">
    <w:name w:val="Revision"/>
    <w:hidden/>
    <w:uiPriority w:val="99"/>
    <w:semiHidden/>
    <w:rsid w:val="00DF093C"/>
  </w:style>
  <w:style w:type="character" w:styleId="CommentReference">
    <w:name w:val="annotation reference"/>
    <w:basedOn w:val="DefaultParagraphFont"/>
    <w:uiPriority w:val="99"/>
    <w:semiHidden/>
    <w:unhideWhenUsed/>
    <w:rsid w:val="00D52F63"/>
    <w:rPr>
      <w:sz w:val="16"/>
      <w:szCs w:val="16"/>
    </w:rPr>
  </w:style>
  <w:style w:type="paragraph" w:styleId="CommentText">
    <w:name w:val="annotation text"/>
    <w:basedOn w:val="Normal"/>
    <w:link w:val="CommentTextChar"/>
    <w:uiPriority w:val="99"/>
    <w:unhideWhenUsed/>
    <w:rsid w:val="00D52F6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52F63"/>
    <w:rPr>
      <w:sz w:val="20"/>
      <w:szCs w:val="20"/>
    </w:rPr>
  </w:style>
  <w:style w:type="paragraph" w:styleId="CommentSubject">
    <w:name w:val="annotation subject"/>
    <w:basedOn w:val="CommentText"/>
    <w:next w:val="CommentText"/>
    <w:link w:val="CommentSubjectChar"/>
    <w:uiPriority w:val="99"/>
    <w:semiHidden/>
    <w:unhideWhenUsed/>
    <w:rsid w:val="00D52F63"/>
    <w:rPr>
      <w:b/>
      <w:bCs/>
    </w:rPr>
  </w:style>
  <w:style w:type="character" w:customStyle="1" w:styleId="CommentSubjectChar">
    <w:name w:val="Comment Subject Char"/>
    <w:basedOn w:val="CommentTextChar"/>
    <w:link w:val="CommentSubject"/>
    <w:uiPriority w:val="99"/>
    <w:semiHidden/>
    <w:rsid w:val="00D52F63"/>
    <w:rPr>
      <w:b/>
      <w:bCs/>
      <w:sz w:val="20"/>
      <w:szCs w:val="20"/>
    </w:rPr>
  </w:style>
  <w:style w:type="character" w:styleId="EndnoteReference">
    <w:name w:val="endnote reference"/>
    <w:basedOn w:val="DefaultParagraphFont"/>
    <w:uiPriority w:val="99"/>
    <w:semiHidden/>
    <w:unhideWhenUsed/>
    <w:rsid w:val="007B46BE"/>
    <w:rPr>
      <w:vertAlign w:val="superscript"/>
    </w:rPr>
  </w:style>
  <w:style w:type="paragraph" w:styleId="Footer">
    <w:name w:val="footer"/>
    <w:basedOn w:val="Normal"/>
    <w:link w:val="Foot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411C"/>
    <w:rPr>
      <w:sz w:val="22"/>
      <w:szCs w:val="22"/>
      <w:lang w:val="en-US"/>
    </w:rPr>
  </w:style>
  <w:style w:type="character" w:styleId="PageNumber">
    <w:name w:val="page number"/>
    <w:basedOn w:val="DefaultParagraphFont"/>
    <w:uiPriority w:val="99"/>
    <w:semiHidden/>
    <w:unhideWhenUsed/>
    <w:rsid w:val="004E411C"/>
  </w:style>
  <w:style w:type="paragraph" w:styleId="Header">
    <w:name w:val="header"/>
    <w:basedOn w:val="Normal"/>
    <w:link w:val="Head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411C"/>
    <w:rPr>
      <w:sz w:val="22"/>
      <w:szCs w:val="22"/>
      <w:lang w:val="en-US"/>
    </w:rPr>
  </w:style>
  <w:style w:type="character" w:styleId="Hyperlink">
    <w:name w:val="Hyperlink"/>
    <w:basedOn w:val="DefaultParagraphFont"/>
    <w:uiPriority w:val="99"/>
    <w:unhideWhenUsed/>
    <w:rsid w:val="0006711D"/>
    <w:rPr>
      <w:color w:val="0563C1" w:themeColor="hyperlink"/>
      <w:u w:val="single"/>
    </w:rPr>
  </w:style>
  <w:style w:type="character" w:customStyle="1" w:styleId="UnresolvedMention1">
    <w:name w:val="Unresolved Mention1"/>
    <w:basedOn w:val="DefaultParagraphFont"/>
    <w:uiPriority w:val="99"/>
    <w:semiHidden/>
    <w:unhideWhenUsed/>
    <w:rsid w:val="0006711D"/>
    <w:rPr>
      <w:color w:val="605E5C"/>
      <w:shd w:val="clear" w:color="auto" w:fill="E1DFDD"/>
    </w:rPr>
  </w:style>
  <w:style w:type="character" w:customStyle="1" w:styleId="markedcontent">
    <w:name w:val="markedcontent"/>
    <w:basedOn w:val="DefaultParagraphFont"/>
    <w:rsid w:val="0072169D"/>
  </w:style>
  <w:style w:type="paragraph" w:styleId="NormalWeb">
    <w:name w:val="Normal (Web)"/>
    <w:basedOn w:val="Normal"/>
    <w:uiPriority w:val="99"/>
    <w:unhideWhenUsed/>
    <w:rsid w:val="00A93865"/>
    <w:pPr>
      <w:spacing w:before="100" w:beforeAutospacing="1" w:after="100" w:afterAutospacing="1"/>
    </w:pPr>
  </w:style>
  <w:style w:type="character" w:styleId="FollowedHyperlink">
    <w:name w:val="FollowedHyperlink"/>
    <w:basedOn w:val="DefaultParagraphFont"/>
    <w:uiPriority w:val="99"/>
    <w:semiHidden/>
    <w:unhideWhenUsed/>
    <w:rsid w:val="00D126EB"/>
    <w:rPr>
      <w:color w:val="954F72" w:themeColor="followedHyperlink"/>
      <w:u w:val="single"/>
    </w:rPr>
  </w:style>
  <w:style w:type="character" w:styleId="Strong">
    <w:name w:val="Strong"/>
    <w:basedOn w:val="DefaultParagraphFont"/>
    <w:uiPriority w:val="22"/>
    <w:qFormat/>
    <w:rsid w:val="00715FB8"/>
    <w:rPr>
      <w:b/>
      <w:bCs/>
    </w:rPr>
  </w:style>
  <w:style w:type="character" w:styleId="HTMLCite">
    <w:name w:val="HTML Cite"/>
    <w:basedOn w:val="DefaultParagraphFont"/>
    <w:uiPriority w:val="99"/>
    <w:semiHidden/>
    <w:unhideWhenUsed/>
    <w:rsid w:val="00A44F96"/>
    <w:rPr>
      <w:i/>
      <w:iCs/>
    </w:rPr>
  </w:style>
  <w:style w:type="character" w:customStyle="1" w:styleId="journalname">
    <w:name w:val="journalname"/>
    <w:basedOn w:val="DefaultParagraphFont"/>
    <w:rsid w:val="00A44F96"/>
  </w:style>
  <w:style w:type="character" w:customStyle="1" w:styleId="volume">
    <w:name w:val="volume"/>
    <w:basedOn w:val="DefaultParagraphFont"/>
    <w:rsid w:val="00A44F96"/>
  </w:style>
  <w:style w:type="character" w:customStyle="1" w:styleId="page">
    <w:name w:val="page"/>
    <w:basedOn w:val="DefaultParagraphFont"/>
    <w:rsid w:val="00A44F96"/>
  </w:style>
  <w:style w:type="paragraph" w:customStyle="1" w:styleId="c-article-referencestext">
    <w:name w:val="c-article-references__text"/>
    <w:basedOn w:val="Normal"/>
    <w:rsid w:val="00440EE0"/>
    <w:pPr>
      <w:spacing w:before="100" w:beforeAutospacing="1" w:after="100" w:afterAutospacing="1"/>
    </w:pPr>
  </w:style>
  <w:style w:type="paragraph" w:customStyle="1" w:styleId="Default">
    <w:name w:val="Default"/>
    <w:rsid w:val="001E31ED"/>
    <w:pPr>
      <w:autoSpaceDE w:val="0"/>
      <w:autoSpaceDN w:val="0"/>
      <w:adjustRightInd w:val="0"/>
    </w:pPr>
    <w:rPr>
      <w:rFonts w:ascii="Charis SIL" w:hAnsi="Charis SIL" w:cs="Charis SIL"/>
      <w:color w:val="000000"/>
    </w:rPr>
  </w:style>
  <w:style w:type="character" w:customStyle="1" w:styleId="apple-converted-space">
    <w:name w:val="apple-converted-space"/>
    <w:basedOn w:val="DefaultParagraphFont"/>
    <w:rsid w:val="008D0321"/>
  </w:style>
  <w:style w:type="paragraph" w:styleId="Bibliography">
    <w:name w:val="Bibliography"/>
    <w:basedOn w:val="Normal"/>
    <w:next w:val="Normal"/>
    <w:uiPriority w:val="37"/>
    <w:unhideWhenUsed/>
    <w:rsid w:val="00D050FB"/>
    <w:pPr>
      <w:spacing w:after="240"/>
      <w:ind w:left="720" w:hanging="720"/>
    </w:pPr>
  </w:style>
  <w:style w:type="character" w:customStyle="1" w:styleId="Heading1Char">
    <w:name w:val="Heading 1 Char"/>
    <w:basedOn w:val="DefaultParagraphFont"/>
    <w:link w:val="Heading1"/>
    <w:uiPriority w:val="9"/>
    <w:rsid w:val="002455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45541"/>
    <w:rPr>
      <w:i/>
      <w:iCs/>
    </w:rPr>
  </w:style>
  <w:style w:type="character" w:customStyle="1" w:styleId="spelle">
    <w:name w:val="spelle"/>
    <w:basedOn w:val="DefaultParagraphFont"/>
    <w:rsid w:val="00245541"/>
  </w:style>
  <w:style w:type="paragraph" w:styleId="BalloonText">
    <w:name w:val="Balloon Text"/>
    <w:basedOn w:val="Normal"/>
    <w:link w:val="BalloonTextChar"/>
    <w:uiPriority w:val="99"/>
    <w:semiHidden/>
    <w:unhideWhenUsed/>
    <w:rsid w:val="00486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C66"/>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F6556"/>
    <w:rPr>
      <w:color w:val="605E5C"/>
      <w:shd w:val="clear" w:color="auto" w:fill="E1DFDD"/>
    </w:rPr>
  </w:style>
  <w:style w:type="character" w:styleId="PlaceholderText">
    <w:name w:val="Placeholder Text"/>
    <w:basedOn w:val="DefaultParagraphFont"/>
    <w:uiPriority w:val="99"/>
    <w:semiHidden/>
    <w:rsid w:val="006F5A2F"/>
    <w:rPr>
      <w:color w:val="808080"/>
    </w:rPr>
  </w:style>
  <w:style w:type="paragraph" w:styleId="ListParagraph">
    <w:name w:val="List Paragraph"/>
    <w:basedOn w:val="Normal"/>
    <w:uiPriority w:val="34"/>
    <w:qFormat/>
    <w:rsid w:val="00F3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94">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515506836">
      <w:bodyDiv w:val="1"/>
      <w:marLeft w:val="0"/>
      <w:marRight w:val="0"/>
      <w:marTop w:val="0"/>
      <w:marBottom w:val="0"/>
      <w:divBdr>
        <w:top w:val="none" w:sz="0" w:space="0" w:color="auto"/>
        <w:left w:val="none" w:sz="0" w:space="0" w:color="auto"/>
        <w:bottom w:val="none" w:sz="0" w:space="0" w:color="auto"/>
        <w:right w:val="none" w:sz="0" w:space="0" w:color="auto"/>
      </w:divBdr>
      <w:divsChild>
        <w:div w:id="57363085">
          <w:marLeft w:val="0"/>
          <w:marRight w:val="0"/>
          <w:marTop w:val="0"/>
          <w:marBottom w:val="0"/>
          <w:divBdr>
            <w:top w:val="none" w:sz="0" w:space="0" w:color="auto"/>
            <w:left w:val="none" w:sz="0" w:space="0" w:color="auto"/>
            <w:bottom w:val="none" w:sz="0" w:space="0" w:color="auto"/>
            <w:right w:val="none" w:sz="0" w:space="0" w:color="auto"/>
          </w:divBdr>
          <w:divsChild>
            <w:div w:id="1654289560">
              <w:marLeft w:val="0"/>
              <w:marRight w:val="0"/>
              <w:marTop w:val="0"/>
              <w:marBottom w:val="0"/>
              <w:divBdr>
                <w:top w:val="none" w:sz="0" w:space="0" w:color="auto"/>
                <w:left w:val="none" w:sz="0" w:space="0" w:color="auto"/>
                <w:bottom w:val="none" w:sz="0" w:space="0" w:color="auto"/>
                <w:right w:val="none" w:sz="0" w:space="0" w:color="auto"/>
              </w:divBdr>
              <w:divsChild>
                <w:div w:id="740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717">
      <w:bodyDiv w:val="1"/>
      <w:marLeft w:val="0"/>
      <w:marRight w:val="0"/>
      <w:marTop w:val="0"/>
      <w:marBottom w:val="0"/>
      <w:divBdr>
        <w:top w:val="none" w:sz="0" w:space="0" w:color="auto"/>
        <w:left w:val="none" w:sz="0" w:space="0" w:color="auto"/>
        <w:bottom w:val="none" w:sz="0" w:space="0" w:color="auto"/>
        <w:right w:val="none" w:sz="0" w:space="0" w:color="auto"/>
      </w:divBdr>
    </w:div>
    <w:div w:id="751439576">
      <w:bodyDiv w:val="1"/>
      <w:marLeft w:val="0"/>
      <w:marRight w:val="0"/>
      <w:marTop w:val="0"/>
      <w:marBottom w:val="0"/>
      <w:divBdr>
        <w:top w:val="none" w:sz="0" w:space="0" w:color="auto"/>
        <w:left w:val="none" w:sz="0" w:space="0" w:color="auto"/>
        <w:bottom w:val="none" w:sz="0" w:space="0" w:color="auto"/>
        <w:right w:val="none" w:sz="0" w:space="0" w:color="auto"/>
      </w:divBdr>
    </w:div>
    <w:div w:id="812605736">
      <w:bodyDiv w:val="1"/>
      <w:marLeft w:val="0"/>
      <w:marRight w:val="0"/>
      <w:marTop w:val="0"/>
      <w:marBottom w:val="0"/>
      <w:divBdr>
        <w:top w:val="none" w:sz="0" w:space="0" w:color="auto"/>
        <w:left w:val="none" w:sz="0" w:space="0" w:color="auto"/>
        <w:bottom w:val="none" w:sz="0" w:space="0" w:color="auto"/>
        <w:right w:val="none" w:sz="0" w:space="0" w:color="auto"/>
      </w:divBdr>
      <w:divsChild>
        <w:div w:id="1153179828">
          <w:marLeft w:val="0"/>
          <w:marRight w:val="0"/>
          <w:marTop w:val="0"/>
          <w:marBottom w:val="0"/>
          <w:divBdr>
            <w:top w:val="none" w:sz="0" w:space="0" w:color="auto"/>
            <w:left w:val="none" w:sz="0" w:space="0" w:color="auto"/>
            <w:bottom w:val="none" w:sz="0" w:space="0" w:color="auto"/>
            <w:right w:val="none" w:sz="0" w:space="0" w:color="auto"/>
          </w:divBdr>
        </w:div>
      </w:divsChild>
    </w:div>
    <w:div w:id="880636029">
      <w:bodyDiv w:val="1"/>
      <w:marLeft w:val="0"/>
      <w:marRight w:val="0"/>
      <w:marTop w:val="0"/>
      <w:marBottom w:val="0"/>
      <w:divBdr>
        <w:top w:val="none" w:sz="0" w:space="0" w:color="auto"/>
        <w:left w:val="none" w:sz="0" w:space="0" w:color="auto"/>
        <w:bottom w:val="none" w:sz="0" w:space="0" w:color="auto"/>
        <w:right w:val="none" w:sz="0" w:space="0" w:color="auto"/>
      </w:divBdr>
    </w:div>
    <w:div w:id="1019235106">
      <w:bodyDiv w:val="1"/>
      <w:marLeft w:val="0"/>
      <w:marRight w:val="0"/>
      <w:marTop w:val="0"/>
      <w:marBottom w:val="0"/>
      <w:divBdr>
        <w:top w:val="none" w:sz="0" w:space="0" w:color="auto"/>
        <w:left w:val="none" w:sz="0" w:space="0" w:color="auto"/>
        <w:bottom w:val="none" w:sz="0" w:space="0" w:color="auto"/>
        <w:right w:val="none" w:sz="0" w:space="0" w:color="auto"/>
      </w:divBdr>
    </w:div>
    <w:div w:id="1168524534">
      <w:bodyDiv w:val="1"/>
      <w:marLeft w:val="0"/>
      <w:marRight w:val="0"/>
      <w:marTop w:val="0"/>
      <w:marBottom w:val="0"/>
      <w:divBdr>
        <w:top w:val="none" w:sz="0" w:space="0" w:color="auto"/>
        <w:left w:val="none" w:sz="0" w:space="0" w:color="auto"/>
        <w:bottom w:val="none" w:sz="0" w:space="0" w:color="auto"/>
        <w:right w:val="none" w:sz="0" w:space="0" w:color="auto"/>
      </w:divBdr>
      <w:divsChild>
        <w:div w:id="1214191843">
          <w:marLeft w:val="0"/>
          <w:marRight w:val="0"/>
          <w:marTop w:val="0"/>
          <w:marBottom w:val="0"/>
          <w:divBdr>
            <w:top w:val="none" w:sz="0" w:space="0" w:color="auto"/>
            <w:left w:val="none" w:sz="0" w:space="0" w:color="auto"/>
            <w:bottom w:val="none" w:sz="0" w:space="0" w:color="auto"/>
            <w:right w:val="none" w:sz="0" w:space="0" w:color="auto"/>
          </w:divBdr>
          <w:divsChild>
            <w:div w:id="29766978">
              <w:marLeft w:val="0"/>
              <w:marRight w:val="0"/>
              <w:marTop w:val="0"/>
              <w:marBottom w:val="0"/>
              <w:divBdr>
                <w:top w:val="none" w:sz="0" w:space="0" w:color="auto"/>
                <w:left w:val="none" w:sz="0" w:space="0" w:color="auto"/>
                <w:bottom w:val="none" w:sz="0" w:space="0" w:color="auto"/>
                <w:right w:val="none" w:sz="0" w:space="0" w:color="auto"/>
              </w:divBdr>
            </w:div>
          </w:divsChild>
        </w:div>
        <w:div w:id="1444032277">
          <w:marLeft w:val="0"/>
          <w:marRight w:val="0"/>
          <w:marTop w:val="0"/>
          <w:marBottom w:val="0"/>
          <w:divBdr>
            <w:top w:val="none" w:sz="0" w:space="0" w:color="auto"/>
            <w:left w:val="none" w:sz="0" w:space="0" w:color="auto"/>
            <w:bottom w:val="none" w:sz="0" w:space="0" w:color="auto"/>
            <w:right w:val="none" w:sz="0" w:space="0" w:color="auto"/>
          </w:divBdr>
        </w:div>
      </w:divsChild>
    </w:div>
    <w:div w:id="1577549392">
      <w:bodyDiv w:val="1"/>
      <w:marLeft w:val="0"/>
      <w:marRight w:val="0"/>
      <w:marTop w:val="0"/>
      <w:marBottom w:val="0"/>
      <w:divBdr>
        <w:top w:val="none" w:sz="0" w:space="0" w:color="auto"/>
        <w:left w:val="none" w:sz="0" w:space="0" w:color="auto"/>
        <w:bottom w:val="none" w:sz="0" w:space="0" w:color="auto"/>
        <w:right w:val="none" w:sz="0" w:space="0" w:color="auto"/>
      </w:divBdr>
      <w:divsChild>
        <w:div w:id="1547523184">
          <w:marLeft w:val="0"/>
          <w:marRight w:val="0"/>
          <w:marTop w:val="0"/>
          <w:marBottom w:val="0"/>
          <w:divBdr>
            <w:top w:val="none" w:sz="0" w:space="0" w:color="auto"/>
            <w:left w:val="none" w:sz="0" w:space="0" w:color="auto"/>
            <w:bottom w:val="none" w:sz="0" w:space="0" w:color="auto"/>
            <w:right w:val="none" w:sz="0" w:space="0" w:color="auto"/>
          </w:divBdr>
          <w:divsChild>
            <w:div w:id="1509565912">
              <w:marLeft w:val="0"/>
              <w:marRight w:val="0"/>
              <w:marTop w:val="0"/>
              <w:marBottom w:val="0"/>
              <w:divBdr>
                <w:top w:val="none" w:sz="0" w:space="0" w:color="auto"/>
                <w:left w:val="none" w:sz="0" w:space="0" w:color="auto"/>
                <w:bottom w:val="none" w:sz="0" w:space="0" w:color="auto"/>
                <w:right w:val="none" w:sz="0" w:space="0" w:color="auto"/>
              </w:divBdr>
              <w:divsChild>
                <w:div w:id="713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8726">
      <w:bodyDiv w:val="1"/>
      <w:marLeft w:val="0"/>
      <w:marRight w:val="0"/>
      <w:marTop w:val="0"/>
      <w:marBottom w:val="0"/>
      <w:divBdr>
        <w:top w:val="none" w:sz="0" w:space="0" w:color="auto"/>
        <w:left w:val="none" w:sz="0" w:space="0" w:color="auto"/>
        <w:bottom w:val="none" w:sz="0" w:space="0" w:color="auto"/>
        <w:right w:val="none" w:sz="0" w:space="0" w:color="auto"/>
      </w:divBdr>
    </w:div>
    <w:div w:id="1605846365">
      <w:bodyDiv w:val="1"/>
      <w:marLeft w:val="0"/>
      <w:marRight w:val="0"/>
      <w:marTop w:val="0"/>
      <w:marBottom w:val="0"/>
      <w:divBdr>
        <w:top w:val="none" w:sz="0" w:space="0" w:color="auto"/>
        <w:left w:val="none" w:sz="0" w:space="0" w:color="auto"/>
        <w:bottom w:val="none" w:sz="0" w:space="0" w:color="auto"/>
        <w:right w:val="none" w:sz="0" w:space="0" w:color="auto"/>
      </w:divBdr>
    </w:div>
    <w:div w:id="1767995451">
      <w:bodyDiv w:val="1"/>
      <w:marLeft w:val="0"/>
      <w:marRight w:val="0"/>
      <w:marTop w:val="0"/>
      <w:marBottom w:val="0"/>
      <w:divBdr>
        <w:top w:val="none" w:sz="0" w:space="0" w:color="auto"/>
        <w:left w:val="none" w:sz="0" w:space="0" w:color="auto"/>
        <w:bottom w:val="none" w:sz="0" w:space="0" w:color="auto"/>
        <w:right w:val="none" w:sz="0" w:space="0" w:color="auto"/>
      </w:divBdr>
    </w:div>
    <w:div w:id="1795635535">
      <w:bodyDiv w:val="1"/>
      <w:marLeft w:val="0"/>
      <w:marRight w:val="0"/>
      <w:marTop w:val="0"/>
      <w:marBottom w:val="0"/>
      <w:divBdr>
        <w:top w:val="none" w:sz="0" w:space="0" w:color="auto"/>
        <w:left w:val="none" w:sz="0" w:space="0" w:color="auto"/>
        <w:bottom w:val="none" w:sz="0" w:space="0" w:color="auto"/>
        <w:right w:val="none" w:sz="0" w:space="0" w:color="auto"/>
      </w:divBdr>
      <w:divsChild>
        <w:div w:id="513956637">
          <w:marLeft w:val="0"/>
          <w:marRight w:val="0"/>
          <w:marTop w:val="0"/>
          <w:marBottom w:val="0"/>
          <w:divBdr>
            <w:top w:val="none" w:sz="0" w:space="0" w:color="auto"/>
            <w:left w:val="none" w:sz="0" w:space="0" w:color="auto"/>
            <w:bottom w:val="none" w:sz="0" w:space="0" w:color="auto"/>
            <w:right w:val="none" w:sz="0" w:space="0" w:color="auto"/>
          </w:divBdr>
        </w:div>
        <w:div w:id="11155082">
          <w:marLeft w:val="0"/>
          <w:marRight w:val="0"/>
          <w:marTop w:val="0"/>
          <w:marBottom w:val="0"/>
          <w:divBdr>
            <w:top w:val="none" w:sz="0" w:space="0" w:color="auto"/>
            <w:left w:val="none" w:sz="0" w:space="0" w:color="auto"/>
            <w:bottom w:val="none" w:sz="0" w:space="0" w:color="auto"/>
            <w:right w:val="none" w:sz="0" w:space="0" w:color="auto"/>
          </w:divBdr>
        </w:div>
        <w:div w:id="1753619579">
          <w:marLeft w:val="0"/>
          <w:marRight w:val="0"/>
          <w:marTop w:val="0"/>
          <w:marBottom w:val="0"/>
          <w:divBdr>
            <w:top w:val="none" w:sz="0" w:space="0" w:color="auto"/>
            <w:left w:val="none" w:sz="0" w:space="0" w:color="auto"/>
            <w:bottom w:val="none" w:sz="0" w:space="0" w:color="auto"/>
            <w:right w:val="none" w:sz="0" w:space="0" w:color="auto"/>
          </w:divBdr>
        </w:div>
        <w:div w:id="571962411">
          <w:marLeft w:val="0"/>
          <w:marRight w:val="0"/>
          <w:marTop w:val="0"/>
          <w:marBottom w:val="0"/>
          <w:divBdr>
            <w:top w:val="none" w:sz="0" w:space="0" w:color="auto"/>
            <w:left w:val="none" w:sz="0" w:space="0" w:color="auto"/>
            <w:bottom w:val="none" w:sz="0" w:space="0" w:color="auto"/>
            <w:right w:val="none" w:sz="0" w:space="0" w:color="auto"/>
          </w:divBdr>
        </w:div>
        <w:div w:id="1263225507">
          <w:marLeft w:val="0"/>
          <w:marRight w:val="0"/>
          <w:marTop w:val="0"/>
          <w:marBottom w:val="0"/>
          <w:divBdr>
            <w:top w:val="none" w:sz="0" w:space="0" w:color="auto"/>
            <w:left w:val="none" w:sz="0" w:space="0" w:color="auto"/>
            <w:bottom w:val="none" w:sz="0" w:space="0" w:color="auto"/>
            <w:right w:val="none" w:sz="0" w:space="0" w:color="auto"/>
          </w:divBdr>
        </w:div>
      </w:divsChild>
    </w:div>
    <w:div w:id="1855194185">
      <w:bodyDiv w:val="1"/>
      <w:marLeft w:val="0"/>
      <w:marRight w:val="0"/>
      <w:marTop w:val="0"/>
      <w:marBottom w:val="0"/>
      <w:divBdr>
        <w:top w:val="none" w:sz="0" w:space="0" w:color="auto"/>
        <w:left w:val="none" w:sz="0" w:space="0" w:color="auto"/>
        <w:bottom w:val="none" w:sz="0" w:space="0" w:color="auto"/>
        <w:right w:val="none" w:sz="0" w:space="0" w:color="auto"/>
      </w:divBdr>
    </w:div>
    <w:div w:id="1907297497">
      <w:bodyDiv w:val="1"/>
      <w:marLeft w:val="0"/>
      <w:marRight w:val="0"/>
      <w:marTop w:val="0"/>
      <w:marBottom w:val="0"/>
      <w:divBdr>
        <w:top w:val="none" w:sz="0" w:space="0" w:color="auto"/>
        <w:left w:val="none" w:sz="0" w:space="0" w:color="auto"/>
        <w:bottom w:val="none" w:sz="0" w:space="0" w:color="auto"/>
        <w:right w:val="none" w:sz="0" w:space="0" w:color="auto"/>
      </w:divBdr>
    </w:div>
    <w:div w:id="20535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9421</Words>
  <Characters>53700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Paglino</dc:creator>
  <cp:keywords/>
  <dc:description/>
  <cp:lastModifiedBy>Eugenio Paglino</cp:lastModifiedBy>
  <cp:revision>13</cp:revision>
  <cp:lastPrinted>2023-08-14T15:09:00Z</cp:lastPrinted>
  <dcterms:created xsi:type="dcterms:W3CDTF">2023-09-21T16:42:00Z</dcterms:created>
  <dcterms:modified xsi:type="dcterms:W3CDTF">2023-12-12T13:49:00Z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id="S9LI65xL"/&gt;&lt;style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