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89B2" w14:textId="53B2A1D8" w:rsidR="000F405B" w:rsidRPr="000F405B" w:rsidRDefault="00FF5719" w:rsidP="000F405B">
      <w:pPr>
        <w:spacing w:line="480" w:lineRule="auto"/>
        <w:rPr>
          <w:b/>
          <w:bCs/>
          <w:sz w:val="28"/>
          <w:szCs w:val="28"/>
        </w:rPr>
      </w:pPr>
      <w:r>
        <w:rPr>
          <w:b/>
          <w:bCs/>
          <w:sz w:val="28"/>
          <w:szCs w:val="28"/>
        </w:rPr>
        <w:t>Supplementary</w:t>
      </w:r>
      <w:r w:rsidR="00252E7F">
        <w:rPr>
          <w:b/>
          <w:bCs/>
          <w:sz w:val="28"/>
          <w:szCs w:val="28"/>
        </w:rPr>
        <w:t xml:space="preserve"> </w:t>
      </w:r>
      <w:r w:rsidR="000F405B">
        <w:rPr>
          <w:b/>
          <w:bCs/>
          <w:sz w:val="28"/>
          <w:szCs w:val="28"/>
        </w:rPr>
        <w:t xml:space="preserve">Materials for: </w:t>
      </w:r>
      <w:r w:rsidR="000F405B" w:rsidRPr="000F405B">
        <w:rPr>
          <w:b/>
          <w:bCs/>
          <w:sz w:val="28"/>
          <w:szCs w:val="28"/>
        </w:rPr>
        <w:t xml:space="preserve">Immigrant Mortality Advantage in the United States </w:t>
      </w:r>
    </w:p>
    <w:p w14:paraId="5CA182AE" w14:textId="080F72C5" w:rsidR="00252E7F" w:rsidRPr="008D36E0" w:rsidRDefault="000F405B" w:rsidP="000F405B">
      <w:pPr>
        <w:spacing w:line="480" w:lineRule="auto"/>
        <w:rPr>
          <w:b/>
          <w:bCs/>
          <w:sz w:val="28"/>
          <w:szCs w:val="28"/>
        </w:rPr>
      </w:pPr>
      <w:r w:rsidRPr="000F405B">
        <w:rPr>
          <w:b/>
          <w:bCs/>
          <w:sz w:val="28"/>
          <w:szCs w:val="28"/>
        </w:rPr>
        <w:t>during the First Year of the COVID 19 Pandemic</w:t>
      </w:r>
    </w:p>
    <w:p w14:paraId="3B1F4300" w14:textId="77777777" w:rsidR="00252E7F" w:rsidRDefault="00252E7F" w:rsidP="00894A23">
      <w:pPr>
        <w:spacing w:line="480" w:lineRule="auto"/>
        <w:rPr>
          <w:color w:val="000000" w:themeColor="text1"/>
        </w:rPr>
      </w:pPr>
    </w:p>
    <w:p w14:paraId="395A1F28" w14:textId="34CC65D0" w:rsidR="00252E7F" w:rsidRPr="004763A0" w:rsidRDefault="00FF5719" w:rsidP="00894A23">
      <w:pPr>
        <w:spacing w:line="480" w:lineRule="auto"/>
      </w:pPr>
      <w:r>
        <w:rPr>
          <w:color w:val="000000" w:themeColor="text1"/>
        </w:rPr>
        <w:t>Supplementary</w:t>
      </w:r>
      <w:r w:rsidR="00252E7F" w:rsidRPr="004763A0">
        <w:rPr>
          <w:color w:val="000000" w:themeColor="text1"/>
        </w:rPr>
        <w:t xml:space="preserve"> </w:t>
      </w:r>
      <w:r w:rsidR="00252E7F" w:rsidRPr="004763A0">
        <w:t>Table 1a: Death Counts and Person-Years by Period, Nativity, Race, and Ethnicity (Males 25+)</w:t>
      </w:r>
    </w:p>
    <w:p w14:paraId="6E33027C" w14:textId="24771C51" w:rsidR="00252E7F" w:rsidRPr="004763A0" w:rsidRDefault="0047211E" w:rsidP="00894A23">
      <w:pPr>
        <w:spacing w:line="480" w:lineRule="auto"/>
      </w:pPr>
      <w:r>
        <w:rPr>
          <w:noProof/>
        </w:rPr>
        <w:drawing>
          <wp:inline distT="0" distB="0" distL="0" distR="0" wp14:anchorId="210C3727" wp14:editId="56F58834">
            <wp:extent cx="6682740" cy="3268980"/>
            <wp:effectExtent l="0" t="0" r="3810" b="7620"/>
            <wp:docPr id="161370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2740" cy="3268980"/>
                    </a:xfrm>
                    <a:prstGeom prst="rect">
                      <a:avLst/>
                    </a:prstGeom>
                    <a:noFill/>
                    <a:ln>
                      <a:noFill/>
                    </a:ln>
                  </pic:spPr>
                </pic:pic>
              </a:graphicData>
            </a:graphic>
          </wp:inline>
        </w:drawing>
      </w:r>
    </w:p>
    <w:p w14:paraId="4DEFE038" w14:textId="77777777" w:rsidR="00DA487A" w:rsidRDefault="00DA487A">
      <w:pPr>
        <w:rPr>
          <w:color w:val="000000" w:themeColor="text1"/>
        </w:rPr>
      </w:pPr>
      <w:r>
        <w:rPr>
          <w:color w:val="000000" w:themeColor="text1"/>
        </w:rPr>
        <w:br w:type="page"/>
      </w:r>
    </w:p>
    <w:p w14:paraId="35F337F3" w14:textId="71EA8B53" w:rsidR="00252E7F" w:rsidRPr="004763A0" w:rsidRDefault="00FF5719" w:rsidP="00894A23">
      <w:pPr>
        <w:spacing w:line="480" w:lineRule="auto"/>
      </w:pPr>
      <w:r>
        <w:rPr>
          <w:color w:val="000000" w:themeColor="text1"/>
        </w:rPr>
        <w:lastRenderedPageBreak/>
        <w:t>Supplementary</w:t>
      </w:r>
      <w:r w:rsidR="00252E7F" w:rsidRPr="004763A0">
        <w:rPr>
          <w:color w:val="000000" w:themeColor="text1"/>
        </w:rPr>
        <w:t xml:space="preserve"> </w:t>
      </w:r>
      <w:r w:rsidR="00252E7F" w:rsidRPr="004763A0">
        <w:t>Table 1b: Death Counts and Person-Years by Period, Nativity, Race, and Ethnicity (Females 25+)</w:t>
      </w:r>
    </w:p>
    <w:p w14:paraId="4EB62424" w14:textId="294E1645" w:rsidR="00252E7F" w:rsidRPr="004763A0" w:rsidRDefault="0047211E" w:rsidP="00894A23">
      <w:pPr>
        <w:spacing w:line="480" w:lineRule="auto"/>
      </w:pPr>
      <w:r>
        <w:rPr>
          <w:noProof/>
        </w:rPr>
        <w:drawing>
          <wp:inline distT="0" distB="0" distL="0" distR="0" wp14:anchorId="021C6EBF" wp14:editId="697ADBC5">
            <wp:extent cx="6682740" cy="3268980"/>
            <wp:effectExtent l="0" t="0" r="3810" b="7620"/>
            <wp:docPr id="1935061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82740" cy="3268980"/>
                    </a:xfrm>
                    <a:prstGeom prst="rect">
                      <a:avLst/>
                    </a:prstGeom>
                    <a:noFill/>
                    <a:ln>
                      <a:noFill/>
                    </a:ln>
                  </pic:spPr>
                </pic:pic>
              </a:graphicData>
            </a:graphic>
          </wp:inline>
        </w:drawing>
      </w:r>
    </w:p>
    <w:p w14:paraId="3C956221" w14:textId="77777777" w:rsidR="00252E7F" w:rsidRPr="004763A0" w:rsidRDefault="00252E7F" w:rsidP="00894A23">
      <w:pPr>
        <w:spacing w:line="480" w:lineRule="auto"/>
      </w:pPr>
    </w:p>
    <w:p w14:paraId="49E258CA" w14:textId="77777777" w:rsidR="00252E7F" w:rsidRPr="004763A0" w:rsidRDefault="00252E7F" w:rsidP="00894A23">
      <w:pPr>
        <w:spacing w:line="480" w:lineRule="auto"/>
      </w:pPr>
    </w:p>
    <w:p w14:paraId="0B751E32" w14:textId="1EC585B7" w:rsidR="00252E7F" w:rsidRPr="00DD3289" w:rsidRDefault="00252E7F" w:rsidP="00894A23">
      <w:pPr>
        <w:spacing w:line="480" w:lineRule="auto"/>
        <w:rPr>
          <w:b/>
        </w:rPr>
      </w:pPr>
      <w:r w:rsidRPr="004763A0">
        <w:br w:type="page"/>
      </w:r>
      <w:r w:rsidR="00FF5719">
        <w:rPr>
          <w:color w:val="000000" w:themeColor="text1"/>
        </w:rPr>
        <w:lastRenderedPageBreak/>
        <w:t>Supplementary</w:t>
      </w:r>
      <w:r w:rsidRPr="00F62C96">
        <w:rPr>
          <w:color w:val="000000" w:themeColor="text1"/>
        </w:rPr>
        <w:t xml:space="preserve"> Table 2: Cause of Death Classification</w:t>
      </w:r>
    </w:p>
    <w:p w14:paraId="27140B5A" w14:textId="77777777" w:rsidR="00252E7F" w:rsidRDefault="00252E7F" w:rsidP="00894A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b/>
          <w:bCs/>
        </w:rPr>
      </w:pPr>
      <w:r>
        <w:rPr>
          <w:b/>
          <w:bCs/>
          <w:noProof/>
        </w:rPr>
        <w:drawing>
          <wp:inline distT="0" distB="0" distL="0" distR="0" wp14:anchorId="42D33985" wp14:editId="3C526973">
            <wp:extent cx="5393831" cy="2288882"/>
            <wp:effectExtent l="0" t="0" r="3810" b="0"/>
            <wp:docPr id="1" name="Picture 1"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9647" cy="2308324"/>
                    </a:xfrm>
                    <a:prstGeom prst="rect">
                      <a:avLst/>
                    </a:prstGeom>
                  </pic:spPr>
                </pic:pic>
              </a:graphicData>
            </a:graphic>
          </wp:inline>
        </w:drawing>
      </w:r>
    </w:p>
    <w:p w14:paraId="47045576" w14:textId="77777777" w:rsidR="00252E7F" w:rsidRDefault="00252E7F" w:rsidP="00894A23">
      <w:pPr>
        <w:spacing w:line="480" w:lineRule="auto"/>
      </w:pPr>
    </w:p>
    <w:p w14:paraId="0C4F5A93" w14:textId="77777777" w:rsidR="00252E7F" w:rsidRDefault="00252E7F" w:rsidP="00894A23">
      <w:pPr>
        <w:spacing w:line="480" w:lineRule="auto"/>
      </w:pPr>
      <w:r>
        <w:br w:type="page"/>
      </w:r>
    </w:p>
    <w:p w14:paraId="5B52708C" w14:textId="77777777" w:rsidR="00252E7F" w:rsidRPr="004763A0" w:rsidRDefault="00252E7F" w:rsidP="00894A23">
      <w:pPr>
        <w:spacing w:line="480" w:lineRule="auto"/>
      </w:pPr>
    </w:p>
    <w:p w14:paraId="04B49F14" w14:textId="534DF391" w:rsidR="00252E7F" w:rsidRPr="004763A0" w:rsidRDefault="00FF5719" w:rsidP="00894A23">
      <w:pPr>
        <w:spacing w:line="480" w:lineRule="auto"/>
      </w:pPr>
      <w:r>
        <w:rPr>
          <w:color w:val="000000" w:themeColor="text1"/>
        </w:rPr>
        <w:t>Supplementary</w:t>
      </w:r>
      <w:r w:rsidR="00252E7F" w:rsidRPr="004763A0">
        <w:rPr>
          <w:color w:val="000000" w:themeColor="text1"/>
        </w:rPr>
        <w:t xml:space="preserve"> </w:t>
      </w:r>
      <w:r w:rsidR="00252E7F" w:rsidRPr="004763A0">
        <w:t xml:space="preserve">Table </w:t>
      </w:r>
      <w:r w:rsidR="00252E7F">
        <w:t>3</w:t>
      </w:r>
      <w:r w:rsidR="00252E7F" w:rsidRPr="004763A0">
        <w:t>a: Age-Standardized Death Rates per 100,000 for Men by Period, Age Group, Race/Ethnicity and Nativity (all-cause, all-cause excluding Covid-19, and Covid-19 death rates)</w:t>
      </w:r>
    </w:p>
    <w:p w14:paraId="20476B2E" w14:textId="750DBBA6" w:rsidR="00252E7F" w:rsidRPr="004763A0" w:rsidRDefault="0047211E" w:rsidP="00894A23">
      <w:pPr>
        <w:spacing w:line="480" w:lineRule="auto"/>
      </w:pPr>
      <w:r>
        <w:rPr>
          <w:noProof/>
        </w:rPr>
        <w:drawing>
          <wp:inline distT="0" distB="0" distL="0" distR="0" wp14:anchorId="3CC91583" wp14:editId="124B7D2C">
            <wp:extent cx="6682740" cy="4221480"/>
            <wp:effectExtent l="0" t="0" r="3810" b="7620"/>
            <wp:docPr id="1483628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82740" cy="4221480"/>
                    </a:xfrm>
                    <a:prstGeom prst="rect">
                      <a:avLst/>
                    </a:prstGeom>
                    <a:noFill/>
                    <a:ln>
                      <a:noFill/>
                    </a:ln>
                  </pic:spPr>
                </pic:pic>
              </a:graphicData>
            </a:graphic>
          </wp:inline>
        </w:drawing>
      </w:r>
    </w:p>
    <w:p w14:paraId="6EE77DED" w14:textId="58E156B8" w:rsidR="00252E7F" w:rsidRPr="004763A0" w:rsidRDefault="00252E7F" w:rsidP="00894A23">
      <w:pPr>
        <w:spacing w:line="480" w:lineRule="auto"/>
        <w:rPr>
          <w:i/>
          <w:iCs/>
        </w:rPr>
      </w:pPr>
      <w:r w:rsidRPr="004763A0">
        <w:rPr>
          <w:i/>
          <w:iCs/>
          <w:sz w:val="21"/>
          <w:szCs w:val="21"/>
        </w:rPr>
        <w:t xml:space="preserve">Notes: Ratios are US-Born mortality (numerator) over Foreign-Born mortality (denominator). A ratio close to one implies equal ASDR between US-born and foreign-born individuals. Values higher than one indicate higher mortality for the US-born, and values smaller than one indicate higher mortality for the foreign-born. </w:t>
      </w:r>
    </w:p>
    <w:p w14:paraId="41D6F278" w14:textId="77777777" w:rsidR="00252E7F" w:rsidRPr="004763A0" w:rsidRDefault="00252E7F" w:rsidP="00894A23">
      <w:pPr>
        <w:spacing w:line="480" w:lineRule="auto"/>
        <w:rPr>
          <w:color w:val="C00000"/>
        </w:rPr>
      </w:pPr>
    </w:p>
    <w:p w14:paraId="6E20CBB8" w14:textId="77777777" w:rsidR="00252E7F" w:rsidRPr="004763A0" w:rsidRDefault="00252E7F" w:rsidP="00894A23">
      <w:pPr>
        <w:spacing w:line="480" w:lineRule="auto"/>
        <w:rPr>
          <w:color w:val="C00000"/>
        </w:rPr>
      </w:pPr>
    </w:p>
    <w:p w14:paraId="7B3441C9" w14:textId="77777777" w:rsidR="00252E7F" w:rsidRPr="004763A0" w:rsidRDefault="00252E7F" w:rsidP="00894A23">
      <w:pPr>
        <w:spacing w:line="480" w:lineRule="auto"/>
        <w:rPr>
          <w:color w:val="C00000"/>
        </w:rPr>
      </w:pPr>
      <w:r w:rsidRPr="004763A0">
        <w:rPr>
          <w:color w:val="C00000"/>
        </w:rPr>
        <w:br w:type="page"/>
      </w:r>
    </w:p>
    <w:p w14:paraId="1ECCA43F" w14:textId="164A21F3" w:rsidR="00252E7F" w:rsidRPr="004763A0" w:rsidRDefault="00FF5719" w:rsidP="00894A23">
      <w:pPr>
        <w:spacing w:line="480" w:lineRule="auto"/>
        <w:rPr>
          <w:color w:val="000000" w:themeColor="text1"/>
        </w:rPr>
      </w:pPr>
      <w:r>
        <w:rPr>
          <w:color w:val="000000" w:themeColor="text1"/>
        </w:rPr>
        <w:lastRenderedPageBreak/>
        <w:t>Supplementary</w:t>
      </w:r>
      <w:r w:rsidR="00252E7F" w:rsidRPr="004763A0">
        <w:rPr>
          <w:color w:val="000000" w:themeColor="text1"/>
        </w:rPr>
        <w:t xml:space="preserve"> Table </w:t>
      </w:r>
      <w:r w:rsidR="00252E7F">
        <w:rPr>
          <w:color w:val="000000" w:themeColor="text1"/>
        </w:rPr>
        <w:t>3</w:t>
      </w:r>
      <w:r w:rsidR="00252E7F" w:rsidRPr="004763A0">
        <w:rPr>
          <w:color w:val="000000" w:themeColor="text1"/>
        </w:rPr>
        <w:t>b: Age-Standardized Death Rates per 100,000 for Women by Period, Age, Race/Ethnicity and Nativity (all-cause, all-cause excluding Covid-19, and Covid-19 death rates)</w:t>
      </w:r>
    </w:p>
    <w:p w14:paraId="2BC5D1D7" w14:textId="7B4E50A2" w:rsidR="00252E7F" w:rsidRPr="004763A0" w:rsidRDefault="0047211E" w:rsidP="00894A23">
      <w:pPr>
        <w:spacing w:line="480" w:lineRule="auto"/>
      </w:pPr>
      <w:r>
        <w:rPr>
          <w:noProof/>
        </w:rPr>
        <w:drawing>
          <wp:inline distT="0" distB="0" distL="0" distR="0" wp14:anchorId="16B865AC" wp14:editId="2C6D61D1">
            <wp:extent cx="6682740" cy="4221480"/>
            <wp:effectExtent l="0" t="0" r="3810" b="7620"/>
            <wp:docPr id="713618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82740" cy="4221480"/>
                    </a:xfrm>
                    <a:prstGeom prst="rect">
                      <a:avLst/>
                    </a:prstGeom>
                    <a:noFill/>
                    <a:ln>
                      <a:noFill/>
                    </a:ln>
                  </pic:spPr>
                </pic:pic>
              </a:graphicData>
            </a:graphic>
          </wp:inline>
        </w:drawing>
      </w:r>
    </w:p>
    <w:p w14:paraId="5F0FED7C" w14:textId="4501747A" w:rsidR="00252E7F" w:rsidRPr="004763A0" w:rsidRDefault="00252E7F" w:rsidP="00894A23">
      <w:pPr>
        <w:spacing w:line="480" w:lineRule="auto"/>
        <w:rPr>
          <w:i/>
          <w:iCs/>
        </w:rPr>
      </w:pPr>
      <w:r w:rsidRPr="004763A0">
        <w:rPr>
          <w:i/>
          <w:iCs/>
          <w:sz w:val="21"/>
          <w:szCs w:val="21"/>
        </w:rPr>
        <w:t xml:space="preserve">Notes: Ratios are US-Born mortality (numerator) over Foreign-Born mortality (denominator). A ratio close to one implies equal ASDR between US-born and foreign-born individuals. Values higher than one indicate higher mortality for the US-born, and values smaller than one indicate higher mortality for the foreign-born. </w:t>
      </w:r>
    </w:p>
    <w:p w14:paraId="011699B9" w14:textId="77777777" w:rsidR="00252E7F" w:rsidRPr="004763A0" w:rsidRDefault="00252E7F" w:rsidP="00894A23">
      <w:pPr>
        <w:spacing w:line="480" w:lineRule="auto"/>
      </w:pPr>
    </w:p>
    <w:p w14:paraId="5B14025B" w14:textId="77777777" w:rsidR="00252E7F" w:rsidRPr="004763A0" w:rsidRDefault="00252E7F" w:rsidP="00894A23">
      <w:pPr>
        <w:spacing w:line="480" w:lineRule="auto"/>
        <w:rPr>
          <w:color w:val="C00000"/>
        </w:rPr>
      </w:pPr>
      <w:r w:rsidRPr="004763A0">
        <w:rPr>
          <w:color w:val="C00000"/>
        </w:rPr>
        <w:br w:type="page"/>
      </w:r>
    </w:p>
    <w:p w14:paraId="29AB4716" w14:textId="04F32E07" w:rsidR="00252E7F" w:rsidRPr="00A60CED" w:rsidRDefault="00FF5719" w:rsidP="00894A23">
      <w:pPr>
        <w:spacing w:line="480" w:lineRule="auto"/>
        <w:rPr>
          <w:color w:val="000000" w:themeColor="text1"/>
        </w:rPr>
      </w:pPr>
      <w:r>
        <w:rPr>
          <w:color w:val="000000" w:themeColor="text1"/>
        </w:rPr>
        <w:lastRenderedPageBreak/>
        <w:t>Supplementary</w:t>
      </w:r>
      <w:r w:rsidR="00252E7F" w:rsidRPr="004763A0">
        <w:rPr>
          <w:color w:val="000000" w:themeColor="text1"/>
        </w:rPr>
        <w:t xml:space="preserve"> Table </w:t>
      </w:r>
      <w:r w:rsidR="00252E7F">
        <w:rPr>
          <w:color w:val="000000" w:themeColor="text1"/>
        </w:rPr>
        <w:t>4</w:t>
      </w:r>
      <w:r w:rsidR="00252E7F" w:rsidRPr="004763A0">
        <w:rPr>
          <w:color w:val="000000" w:themeColor="text1"/>
        </w:rPr>
        <w:t xml:space="preserve">: Ratio of Age-Standardized Death Rates </w:t>
      </w:r>
      <w:r w:rsidR="00252E7F">
        <w:rPr>
          <w:color w:val="000000" w:themeColor="text1"/>
        </w:rPr>
        <w:t>by Race</w:t>
      </w:r>
      <w:r w:rsidR="000A6B79">
        <w:rPr>
          <w:color w:val="000000" w:themeColor="text1"/>
        </w:rPr>
        <w:t>/</w:t>
      </w:r>
      <w:r w:rsidR="00252E7F">
        <w:rPr>
          <w:color w:val="000000" w:themeColor="text1"/>
        </w:rPr>
        <w:t xml:space="preserve">Ethnicity, Period, Nativity, and Sex </w:t>
      </w:r>
      <w:r w:rsidR="00252E7F" w:rsidRPr="004763A0">
        <w:rPr>
          <w:color w:val="000000" w:themeColor="text1"/>
        </w:rPr>
        <w:t>(Ref</w:t>
      </w:r>
      <w:r w:rsidR="00DA487A">
        <w:rPr>
          <w:color w:val="000000" w:themeColor="text1"/>
        </w:rPr>
        <w:t xml:space="preserve">erence Non-Hispanic </w:t>
      </w:r>
      <w:r w:rsidR="00252E7F" w:rsidRPr="004763A0">
        <w:rPr>
          <w:color w:val="000000" w:themeColor="text1"/>
        </w:rPr>
        <w:t>White Population)</w:t>
      </w:r>
    </w:p>
    <w:p w14:paraId="2AD2D6C2" w14:textId="66EEB232" w:rsidR="00252E7F" w:rsidRDefault="0047211E" w:rsidP="00894A23">
      <w:pPr>
        <w:spacing w:line="480" w:lineRule="auto"/>
      </w:pPr>
      <w:r>
        <w:rPr>
          <w:noProof/>
        </w:rPr>
        <w:drawing>
          <wp:inline distT="0" distB="0" distL="0" distR="0" wp14:anchorId="027ABA97" wp14:editId="4D8E174D">
            <wp:extent cx="5617678" cy="5387340"/>
            <wp:effectExtent l="0" t="0" r="2540" b="3810"/>
            <wp:docPr id="768188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3855" cy="5393263"/>
                    </a:xfrm>
                    <a:prstGeom prst="rect">
                      <a:avLst/>
                    </a:prstGeom>
                    <a:noFill/>
                    <a:ln>
                      <a:noFill/>
                    </a:ln>
                  </pic:spPr>
                </pic:pic>
              </a:graphicData>
            </a:graphic>
          </wp:inline>
        </w:drawing>
      </w:r>
    </w:p>
    <w:p w14:paraId="75859A0E" w14:textId="77777777" w:rsidR="00252E7F" w:rsidRDefault="00252E7F" w:rsidP="00894A23">
      <w:pPr>
        <w:spacing w:line="480" w:lineRule="auto"/>
      </w:pPr>
    </w:p>
    <w:p w14:paraId="2173F32A" w14:textId="77777777" w:rsidR="00252E7F" w:rsidRDefault="00252E7F" w:rsidP="00894A23">
      <w:pPr>
        <w:spacing w:line="480" w:lineRule="auto"/>
      </w:pPr>
    </w:p>
    <w:p w14:paraId="78445145" w14:textId="77777777" w:rsidR="00252E7F" w:rsidRDefault="00252E7F" w:rsidP="00894A23">
      <w:pPr>
        <w:spacing w:line="480" w:lineRule="auto"/>
      </w:pPr>
      <w:r>
        <w:br w:type="page"/>
      </w:r>
    </w:p>
    <w:p w14:paraId="6FEEBB0D" w14:textId="3FA580E1" w:rsidR="00252E7F" w:rsidRPr="00A632CB" w:rsidRDefault="00FF5719" w:rsidP="00894A23">
      <w:pPr>
        <w:spacing w:line="480" w:lineRule="auto"/>
        <w:rPr>
          <w:color w:val="000000" w:themeColor="text1"/>
          <w:sz w:val="22"/>
          <w:szCs w:val="22"/>
        </w:rPr>
      </w:pPr>
      <w:r>
        <w:rPr>
          <w:color w:val="000000" w:themeColor="text1"/>
          <w:sz w:val="22"/>
          <w:szCs w:val="22"/>
        </w:rPr>
        <w:lastRenderedPageBreak/>
        <w:t>Supplementary</w:t>
      </w:r>
      <w:r w:rsidR="00252E7F" w:rsidRPr="00A632CB">
        <w:rPr>
          <w:color w:val="000000" w:themeColor="text1"/>
          <w:sz w:val="22"/>
          <w:szCs w:val="22"/>
        </w:rPr>
        <w:t xml:space="preserve"> Table </w:t>
      </w:r>
      <w:r w:rsidR="00252E7F">
        <w:rPr>
          <w:color w:val="000000" w:themeColor="text1"/>
          <w:sz w:val="22"/>
          <w:szCs w:val="22"/>
        </w:rPr>
        <w:t>5</w:t>
      </w:r>
      <w:r w:rsidR="00252E7F" w:rsidRPr="00A632CB">
        <w:rPr>
          <w:color w:val="000000" w:themeColor="text1"/>
          <w:sz w:val="22"/>
          <w:szCs w:val="22"/>
        </w:rPr>
        <w:t>a: Age-standardized Death Rates per 100,000 by Cause of Death, Males 25</w:t>
      </w:r>
      <w:r w:rsidR="00252E7F">
        <w:rPr>
          <w:color w:val="000000" w:themeColor="text1"/>
          <w:sz w:val="22"/>
          <w:szCs w:val="22"/>
        </w:rPr>
        <w:t>+</w:t>
      </w:r>
    </w:p>
    <w:p w14:paraId="348ACCA5" w14:textId="35E9CD8E" w:rsidR="00252E7F" w:rsidRPr="004763A0" w:rsidRDefault="0047211E" w:rsidP="00894A23">
      <w:pPr>
        <w:spacing w:line="480" w:lineRule="auto"/>
        <w:rPr>
          <w:color w:val="C00000"/>
        </w:rPr>
      </w:pPr>
      <w:r>
        <w:rPr>
          <w:noProof/>
          <w:color w:val="C00000"/>
        </w:rPr>
        <w:drawing>
          <wp:inline distT="0" distB="0" distL="0" distR="0" wp14:anchorId="65F5F9A3" wp14:editId="4F12766F">
            <wp:extent cx="5306679" cy="8305800"/>
            <wp:effectExtent l="0" t="0" r="8890" b="0"/>
            <wp:docPr id="8453450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6355" cy="8320945"/>
                    </a:xfrm>
                    <a:prstGeom prst="rect">
                      <a:avLst/>
                    </a:prstGeom>
                    <a:noFill/>
                    <a:ln>
                      <a:noFill/>
                    </a:ln>
                  </pic:spPr>
                </pic:pic>
              </a:graphicData>
            </a:graphic>
          </wp:inline>
        </w:drawing>
      </w:r>
    </w:p>
    <w:p w14:paraId="4BD9B793" w14:textId="4A695561" w:rsidR="00252E7F" w:rsidRPr="0002403F" w:rsidRDefault="00252E7F" w:rsidP="00894A23">
      <w:pPr>
        <w:spacing w:line="480" w:lineRule="auto"/>
        <w:rPr>
          <w:i/>
          <w:iCs/>
          <w:sz w:val="20"/>
          <w:szCs w:val="20"/>
        </w:rPr>
      </w:pPr>
      <w:r w:rsidRPr="00A632CB">
        <w:rPr>
          <w:i/>
          <w:iCs/>
          <w:sz w:val="20"/>
          <w:szCs w:val="20"/>
        </w:rPr>
        <w:lastRenderedPageBreak/>
        <w:t>Notes: The “Difference” column refers to differences in cause-specific ASDR between US-Born and Foreign-Born populations. The “Difference in Differences” column computes the difference between the US-Born to Foreign-Born difference in 2017-2019 and the difference in 2020. A negative value in either of the “Difference” columns indicates that mortality is lower among the Foreign Born. Negative values in the “Difference in Differences” column indicates that the mortality advantage of the Foreign-Born population decreased in 2020 relative to 2017-2019.</w:t>
      </w:r>
      <w:r>
        <w:rPr>
          <w:color w:val="000000" w:themeColor="text1"/>
          <w:sz w:val="22"/>
          <w:szCs w:val="22"/>
        </w:rPr>
        <w:br w:type="page"/>
      </w:r>
    </w:p>
    <w:p w14:paraId="7A644FE0" w14:textId="23334B03" w:rsidR="00252E7F" w:rsidRPr="00A632CB" w:rsidRDefault="00FF5719" w:rsidP="00894A23">
      <w:pPr>
        <w:spacing w:line="480" w:lineRule="auto"/>
        <w:rPr>
          <w:color w:val="000000" w:themeColor="text1"/>
          <w:sz w:val="22"/>
          <w:szCs w:val="22"/>
        </w:rPr>
      </w:pPr>
      <w:r>
        <w:rPr>
          <w:color w:val="000000" w:themeColor="text1"/>
          <w:sz w:val="22"/>
          <w:szCs w:val="22"/>
        </w:rPr>
        <w:lastRenderedPageBreak/>
        <w:t>Supplementary</w:t>
      </w:r>
      <w:r w:rsidR="00252E7F" w:rsidRPr="00A632CB">
        <w:rPr>
          <w:color w:val="000000" w:themeColor="text1"/>
          <w:sz w:val="22"/>
          <w:szCs w:val="22"/>
        </w:rPr>
        <w:t xml:space="preserve"> Table </w:t>
      </w:r>
      <w:r w:rsidR="00252E7F">
        <w:rPr>
          <w:color w:val="000000" w:themeColor="text1"/>
          <w:sz w:val="22"/>
          <w:szCs w:val="22"/>
        </w:rPr>
        <w:t>5</w:t>
      </w:r>
      <w:r w:rsidR="00252E7F" w:rsidRPr="00A632CB">
        <w:rPr>
          <w:color w:val="000000" w:themeColor="text1"/>
          <w:sz w:val="22"/>
          <w:szCs w:val="22"/>
        </w:rPr>
        <w:t>b: Age-standardized Crude Death Rates per 100,000 by Cause of Death, Females 25+</w:t>
      </w:r>
    </w:p>
    <w:p w14:paraId="75593D88" w14:textId="7B3CCF1D" w:rsidR="00252E7F" w:rsidRPr="004763A0" w:rsidRDefault="0047211E" w:rsidP="00894A23">
      <w:pPr>
        <w:spacing w:line="480" w:lineRule="auto"/>
        <w:rPr>
          <w:color w:val="000000" w:themeColor="text1"/>
        </w:rPr>
      </w:pPr>
      <w:r>
        <w:rPr>
          <w:noProof/>
          <w:color w:val="000000" w:themeColor="text1"/>
        </w:rPr>
        <w:drawing>
          <wp:inline distT="0" distB="0" distL="0" distR="0" wp14:anchorId="67766C45" wp14:editId="1B9A36C0">
            <wp:extent cx="5242131" cy="8204772"/>
            <wp:effectExtent l="0" t="0" r="0" b="6350"/>
            <wp:docPr id="16218109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1291" cy="8234761"/>
                    </a:xfrm>
                    <a:prstGeom prst="rect">
                      <a:avLst/>
                    </a:prstGeom>
                    <a:noFill/>
                    <a:ln>
                      <a:noFill/>
                    </a:ln>
                  </pic:spPr>
                </pic:pic>
              </a:graphicData>
            </a:graphic>
          </wp:inline>
        </w:drawing>
      </w:r>
    </w:p>
    <w:p w14:paraId="71DBCEA1" w14:textId="6BE521A2" w:rsidR="00252E7F" w:rsidRPr="00252E7F" w:rsidRDefault="00252E7F" w:rsidP="00894A23">
      <w:pPr>
        <w:spacing w:line="480" w:lineRule="auto"/>
        <w:rPr>
          <w:i/>
          <w:iCs/>
          <w:sz w:val="20"/>
          <w:szCs w:val="20"/>
        </w:rPr>
      </w:pPr>
      <w:r w:rsidRPr="00A632CB">
        <w:rPr>
          <w:i/>
          <w:iCs/>
          <w:sz w:val="20"/>
          <w:szCs w:val="20"/>
        </w:rPr>
        <w:lastRenderedPageBreak/>
        <w:t>Notes: The “Difference” column refers to differences in cause-specific ASCDR between US-Born and Foreign-Born populations. The “Difference in Differences” column computes the difference between the US-Born to Foreign-Born difference in 2017-2019 and the difference in 2020. A negative value in either of the “Difference” columns indicates that mortality is lower among the Foreign Born. Negative values in the “Difference in Differences” column indicates that the mortality advantage of the Foreign-Born population decreased in 2020 relative to 2017-2019.</w:t>
      </w:r>
    </w:p>
    <w:sectPr w:rsidR="00252E7F" w:rsidRPr="00252E7F" w:rsidSect="00252E7F">
      <w:footerReference w:type="even" r:id="rId15"/>
      <w:footerReference w:type="default" r:id="rId16"/>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9C5BD" w14:textId="77777777" w:rsidR="00364A7F" w:rsidRDefault="00364A7F" w:rsidP="004D33B5">
      <w:r>
        <w:separator/>
      </w:r>
    </w:p>
  </w:endnote>
  <w:endnote w:type="continuationSeparator" w:id="0">
    <w:p w14:paraId="0F71E137" w14:textId="77777777" w:rsidR="00364A7F" w:rsidRDefault="00364A7F" w:rsidP="004D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ris SIL">
    <w:altName w:val="Charis SI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6444901"/>
      <w:docPartObj>
        <w:docPartGallery w:val="Page Numbers (Bottom of Page)"/>
        <w:docPartUnique/>
      </w:docPartObj>
    </w:sdtPr>
    <w:sdtContent>
      <w:p w14:paraId="0B2C4A42" w14:textId="5C8EC4F9" w:rsidR="007A55DD" w:rsidRDefault="007A55DD" w:rsidP="007A7E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026C6" w14:textId="77777777" w:rsidR="007A55DD" w:rsidRDefault="007A55DD" w:rsidP="007A55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DD23" w14:textId="537E8397" w:rsidR="007A55DD" w:rsidRDefault="007A55DD" w:rsidP="007A7E86">
    <w:pPr>
      <w:pStyle w:val="Footer"/>
      <w:framePr w:wrap="none" w:vAnchor="text" w:hAnchor="margin" w:xAlign="right" w:y="1"/>
      <w:rPr>
        <w:rStyle w:val="PageNumber"/>
      </w:rPr>
    </w:pPr>
  </w:p>
  <w:p w14:paraId="51639552" w14:textId="77777777" w:rsidR="004E411C" w:rsidRPr="00E64D3B" w:rsidRDefault="004E411C" w:rsidP="00B213B2">
    <w:pPr>
      <w:pStyle w:val="Footer"/>
      <w:ind w:right="360"/>
      <w:jc w:val="center"/>
      <w:rPr>
        <w:rFonts w:ascii="Times New Roman" w:hAnsi="Times New Roman" w:cs="Times New Roman"/>
        <w:sz w:val="24"/>
        <w:szCs w:val="24"/>
      </w:rPr>
    </w:pPr>
  </w:p>
  <w:p w14:paraId="7464485F" w14:textId="77777777" w:rsidR="004E411C" w:rsidRDefault="004E4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2A911" w14:textId="77777777" w:rsidR="00364A7F" w:rsidRDefault="00364A7F" w:rsidP="004D33B5">
      <w:r>
        <w:separator/>
      </w:r>
    </w:p>
  </w:footnote>
  <w:footnote w:type="continuationSeparator" w:id="0">
    <w:p w14:paraId="03535DF9" w14:textId="77777777" w:rsidR="00364A7F" w:rsidRDefault="00364A7F" w:rsidP="004D3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0FD4"/>
    <w:multiLevelType w:val="multilevel"/>
    <w:tmpl w:val="E1BCA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25C28"/>
    <w:multiLevelType w:val="hybridMultilevel"/>
    <w:tmpl w:val="E6FE506A"/>
    <w:lvl w:ilvl="0" w:tplc="C84225C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939301">
    <w:abstractNumId w:val="0"/>
  </w:num>
  <w:num w:numId="2" w16cid:durableId="1920943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532"/>
    <w:rsid w:val="00000654"/>
    <w:rsid w:val="0000186E"/>
    <w:rsid w:val="00002420"/>
    <w:rsid w:val="00005380"/>
    <w:rsid w:val="00007EF3"/>
    <w:rsid w:val="00014EF1"/>
    <w:rsid w:val="0001627B"/>
    <w:rsid w:val="00023F7D"/>
    <w:rsid w:val="00025708"/>
    <w:rsid w:val="00026F19"/>
    <w:rsid w:val="000304A6"/>
    <w:rsid w:val="00032F22"/>
    <w:rsid w:val="00045F8C"/>
    <w:rsid w:val="00047F5F"/>
    <w:rsid w:val="0005165C"/>
    <w:rsid w:val="000644CF"/>
    <w:rsid w:val="0006711D"/>
    <w:rsid w:val="00070BC7"/>
    <w:rsid w:val="0007137F"/>
    <w:rsid w:val="00072BB8"/>
    <w:rsid w:val="00073A01"/>
    <w:rsid w:val="000743ED"/>
    <w:rsid w:val="00081AB6"/>
    <w:rsid w:val="00081BF3"/>
    <w:rsid w:val="00086630"/>
    <w:rsid w:val="0009595D"/>
    <w:rsid w:val="00097CB0"/>
    <w:rsid w:val="000A298E"/>
    <w:rsid w:val="000A4BE1"/>
    <w:rsid w:val="000A6B79"/>
    <w:rsid w:val="000B292E"/>
    <w:rsid w:val="000C01E5"/>
    <w:rsid w:val="000C13D4"/>
    <w:rsid w:val="000C4E93"/>
    <w:rsid w:val="000C6631"/>
    <w:rsid w:val="000D63FB"/>
    <w:rsid w:val="000F405B"/>
    <w:rsid w:val="000F4B04"/>
    <w:rsid w:val="000F5E0C"/>
    <w:rsid w:val="001042CC"/>
    <w:rsid w:val="00104E82"/>
    <w:rsid w:val="001071F4"/>
    <w:rsid w:val="0010791D"/>
    <w:rsid w:val="00134B2D"/>
    <w:rsid w:val="00145722"/>
    <w:rsid w:val="001471AF"/>
    <w:rsid w:val="001530F5"/>
    <w:rsid w:val="0016265E"/>
    <w:rsid w:val="001644AF"/>
    <w:rsid w:val="00170C79"/>
    <w:rsid w:val="00173530"/>
    <w:rsid w:val="00175C82"/>
    <w:rsid w:val="0018682C"/>
    <w:rsid w:val="00190A57"/>
    <w:rsid w:val="001A7A3D"/>
    <w:rsid w:val="001B0759"/>
    <w:rsid w:val="001B13BF"/>
    <w:rsid w:val="001B3D0E"/>
    <w:rsid w:val="001B4D7C"/>
    <w:rsid w:val="001B537A"/>
    <w:rsid w:val="001B5528"/>
    <w:rsid w:val="001B6659"/>
    <w:rsid w:val="001B7ADD"/>
    <w:rsid w:val="001D13D3"/>
    <w:rsid w:val="001D72CA"/>
    <w:rsid w:val="001E2EC3"/>
    <w:rsid w:val="001E2EDC"/>
    <w:rsid w:val="001E31ED"/>
    <w:rsid w:val="001F185F"/>
    <w:rsid w:val="001F47C6"/>
    <w:rsid w:val="001F4F62"/>
    <w:rsid w:val="00201342"/>
    <w:rsid w:val="002016C7"/>
    <w:rsid w:val="00212109"/>
    <w:rsid w:val="00217B5F"/>
    <w:rsid w:val="002224C4"/>
    <w:rsid w:val="00222C46"/>
    <w:rsid w:val="00226AB7"/>
    <w:rsid w:val="002279FF"/>
    <w:rsid w:val="00245541"/>
    <w:rsid w:val="002464D1"/>
    <w:rsid w:val="00252E7F"/>
    <w:rsid w:val="002538A9"/>
    <w:rsid w:val="00253E90"/>
    <w:rsid w:val="002607E5"/>
    <w:rsid w:val="002665BF"/>
    <w:rsid w:val="002736AB"/>
    <w:rsid w:val="00277FB5"/>
    <w:rsid w:val="00287243"/>
    <w:rsid w:val="00290C6C"/>
    <w:rsid w:val="0029590C"/>
    <w:rsid w:val="00296D37"/>
    <w:rsid w:val="002A0615"/>
    <w:rsid w:val="002A6171"/>
    <w:rsid w:val="002B08D2"/>
    <w:rsid w:val="002B26AF"/>
    <w:rsid w:val="002B4D1B"/>
    <w:rsid w:val="002B4F6C"/>
    <w:rsid w:val="002C2749"/>
    <w:rsid w:val="002C4229"/>
    <w:rsid w:val="002C4F72"/>
    <w:rsid w:val="002D2426"/>
    <w:rsid w:val="002D407B"/>
    <w:rsid w:val="002D41F0"/>
    <w:rsid w:val="002D6B24"/>
    <w:rsid w:val="002E3CD0"/>
    <w:rsid w:val="002E4EE1"/>
    <w:rsid w:val="002F2D96"/>
    <w:rsid w:val="002F5407"/>
    <w:rsid w:val="002F6B09"/>
    <w:rsid w:val="002F7AD8"/>
    <w:rsid w:val="003033BF"/>
    <w:rsid w:val="00306198"/>
    <w:rsid w:val="00306ACF"/>
    <w:rsid w:val="00313341"/>
    <w:rsid w:val="0032013F"/>
    <w:rsid w:val="00321988"/>
    <w:rsid w:val="00321B2B"/>
    <w:rsid w:val="003220FE"/>
    <w:rsid w:val="00327191"/>
    <w:rsid w:val="00335624"/>
    <w:rsid w:val="00342B43"/>
    <w:rsid w:val="00342D51"/>
    <w:rsid w:val="00343A0E"/>
    <w:rsid w:val="00347407"/>
    <w:rsid w:val="0034760B"/>
    <w:rsid w:val="003501E0"/>
    <w:rsid w:val="00364A7F"/>
    <w:rsid w:val="0037522B"/>
    <w:rsid w:val="00376935"/>
    <w:rsid w:val="00383732"/>
    <w:rsid w:val="00384724"/>
    <w:rsid w:val="003869F0"/>
    <w:rsid w:val="00394739"/>
    <w:rsid w:val="003A0A7E"/>
    <w:rsid w:val="003A23CA"/>
    <w:rsid w:val="003A50F6"/>
    <w:rsid w:val="003C673E"/>
    <w:rsid w:val="003D0D4F"/>
    <w:rsid w:val="003D3739"/>
    <w:rsid w:val="003D4CC8"/>
    <w:rsid w:val="003E65EA"/>
    <w:rsid w:val="00401B75"/>
    <w:rsid w:val="00405C4D"/>
    <w:rsid w:val="004103D0"/>
    <w:rsid w:val="00420253"/>
    <w:rsid w:val="00420DF9"/>
    <w:rsid w:val="00432316"/>
    <w:rsid w:val="00432A73"/>
    <w:rsid w:val="00433CC1"/>
    <w:rsid w:val="00435809"/>
    <w:rsid w:val="00440EE0"/>
    <w:rsid w:val="00443080"/>
    <w:rsid w:val="004444B3"/>
    <w:rsid w:val="00454F81"/>
    <w:rsid w:val="00461C94"/>
    <w:rsid w:val="0047211E"/>
    <w:rsid w:val="00475651"/>
    <w:rsid w:val="004818A7"/>
    <w:rsid w:val="00486C66"/>
    <w:rsid w:val="00493161"/>
    <w:rsid w:val="004946AD"/>
    <w:rsid w:val="0049687D"/>
    <w:rsid w:val="004C15C2"/>
    <w:rsid w:val="004C3DD3"/>
    <w:rsid w:val="004D013D"/>
    <w:rsid w:val="004D048A"/>
    <w:rsid w:val="004D09C7"/>
    <w:rsid w:val="004D2C4B"/>
    <w:rsid w:val="004D33B5"/>
    <w:rsid w:val="004D389C"/>
    <w:rsid w:val="004D3DA3"/>
    <w:rsid w:val="004D52C4"/>
    <w:rsid w:val="004E0655"/>
    <w:rsid w:val="004E0D0A"/>
    <w:rsid w:val="004E411C"/>
    <w:rsid w:val="004E4E6C"/>
    <w:rsid w:val="004E6B08"/>
    <w:rsid w:val="004F20E4"/>
    <w:rsid w:val="004F34F8"/>
    <w:rsid w:val="004F3C77"/>
    <w:rsid w:val="004F5648"/>
    <w:rsid w:val="00505ADD"/>
    <w:rsid w:val="005176E7"/>
    <w:rsid w:val="00522230"/>
    <w:rsid w:val="00524D50"/>
    <w:rsid w:val="00527F4B"/>
    <w:rsid w:val="00535FE0"/>
    <w:rsid w:val="0053757B"/>
    <w:rsid w:val="00554E21"/>
    <w:rsid w:val="00555BD5"/>
    <w:rsid w:val="00555DE8"/>
    <w:rsid w:val="00563576"/>
    <w:rsid w:val="00572A7D"/>
    <w:rsid w:val="0057399A"/>
    <w:rsid w:val="005821BA"/>
    <w:rsid w:val="00582665"/>
    <w:rsid w:val="00583081"/>
    <w:rsid w:val="00585165"/>
    <w:rsid w:val="00594748"/>
    <w:rsid w:val="00597E89"/>
    <w:rsid w:val="005A17D6"/>
    <w:rsid w:val="005A4204"/>
    <w:rsid w:val="005B0129"/>
    <w:rsid w:val="005C5F54"/>
    <w:rsid w:val="005D325C"/>
    <w:rsid w:val="005F35F0"/>
    <w:rsid w:val="005F5438"/>
    <w:rsid w:val="005F582F"/>
    <w:rsid w:val="005F6D08"/>
    <w:rsid w:val="006037E5"/>
    <w:rsid w:val="0061217D"/>
    <w:rsid w:val="00613019"/>
    <w:rsid w:val="006130EE"/>
    <w:rsid w:val="00613E67"/>
    <w:rsid w:val="00620B20"/>
    <w:rsid w:val="0062233C"/>
    <w:rsid w:val="00623667"/>
    <w:rsid w:val="0063131B"/>
    <w:rsid w:val="0063254F"/>
    <w:rsid w:val="00633AE3"/>
    <w:rsid w:val="006366FB"/>
    <w:rsid w:val="00645531"/>
    <w:rsid w:val="00646C59"/>
    <w:rsid w:val="00646ED5"/>
    <w:rsid w:val="00656B0A"/>
    <w:rsid w:val="00657228"/>
    <w:rsid w:val="00674A0E"/>
    <w:rsid w:val="0068048C"/>
    <w:rsid w:val="006909D7"/>
    <w:rsid w:val="00696029"/>
    <w:rsid w:val="0069672E"/>
    <w:rsid w:val="006A15C3"/>
    <w:rsid w:val="006A1814"/>
    <w:rsid w:val="006B1E6C"/>
    <w:rsid w:val="006B79FF"/>
    <w:rsid w:val="006C4870"/>
    <w:rsid w:val="006C5D4B"/>
    <w:rsid w:val="006D0BC0"/>
    <w:rsid w:val="006E0DEE"/>
    <w:rsid w:val="006E2145"/>
    <w:rsid w:val="006E33EF"/>
    <w:rsid w:val="006E3B19"/>
    <w:rsid w:val="006E4DBD"/>
    <w:rsid w:val="006F15B6"/>
    <w:rsid w:val="006F45EF"/>
    <w:rsid w:val="006F4A9E"/>
    <w:rsid w:val="006F5C0E"/>
    <w:rsid w:val="00702419"/>
    <w:rsid w:val="00703646"/>
    <w:rsid w:val="00706AD6"/>
    <w:rsid w:val="00707D32"/>
    <w:rsid w:val="00711D23"/>
    <w:rsid w:val="00715FB8"/>
    <w:rsid w:val="00717CFE"/>
    <w:rsid w:val="0072169D"/>
    <w:rsid w:val="00721966"/>
    <w:rsid w:val="00723C08"/>
    <w:rsid w:val="00730745"/>
    <w:rsid w:val="007370F1"/>
    <w:rsid w:val="007421D0"/>
    <w:rsid w:val="00746CF0"/>
    <w:rsid w:val="00747841"/>
    <w:rsid w:val="00750678"/>
    <w:rsid w:val="00753550"/>
    <w:rsid w:val="007563B3"/>
    <w:rsid w:val="00757870"/>
    <w:rsid w:val="007726D3"/>
    <w:rsid w:val="007816FF"/>
    <w:rsid w:val="00781E94"/>
    <w:rsid w:val="00782237"/>
    <w:rsid w:val="0078308B"/>
    <w:rsid w:val="00784F30"/>
    <w:rsid w:val="007860A0"/>
    <w:rsid w:val="00786434"/>
    <w:rsid w:val="00792E5C"/>
    <w:rsid w:val="007A55DD"/>
    <w:rsid w:val="007A7E86"/>
    <w:rsid w:val="007B342B"/>
    <w:rsid w:val="007B46BE"/>
    <w:rsid w:val="007B53B8"/>
    <w:rsid w:val="007B5688"/>
    <w:rsid w:val="007B59B6"/>
    <w:rsid w:val="007C0792"/>
    <w:rsid w:val="007C64DB"/>
    <w:rsid w:val="007C6623"/>
    <w:rsid w:val="007D4F66"/>
    <w:rsid w:val="007D70ED"/>
    <w:rsid w:val="007D7798"/>
    <w:rsid w:val="007E15B2"/>
    <w:rsid w:val="007E33BA"/>
    <w:rsid w:val="007E73F9"/>
    <w:rsid w:val="008014D3"/>
    <w:rsid w:val="008063A0"/>
    <w:rsid w:val="00807807"/>
    <w:rsid w:val="00827CDE"/>
    <w:rsid w:val="00830F3F"/>
    <w:rsid w:val="00831EFF"/>
    <w:rsid w:val="008351CE"/>
    <w:rsid w:val="00836D59"/>
    <w:rsid w:val="00841C20"/>
    <w:rsid w:val="0084209E"/>
    <w:rsid w:val="00850227"/>
    <w:rsid w:val="00862F1F"/>
    <w:rsid w:val="00863335"/>
    <w:rsid w:val="00866210"/>
    <w:rsid w:val="0086703B"/>
    <w:rsid w:val="008676A5"/>
    <w:rsid w:val="00875BBF"/>
    <w:rsid w:val="0087789D"/>
    <w:rsid w:val="008778A5"/>
    <w:rsid w:val="00892031"/>
    <w:rsid w:val="008920D8"/>
    <w:rsid w:val="0089318C"/>
    <w:rsid w:val="00894A23"/>
    <w:rsid w:val="008970A4"/>
    <w:rsid w:val="00897CA1"/>
    <w:rsid w:val="008A1CAD"/>
    <w:rsid w:val="008B3FD4"/>
    <w:rsid w:val="008B4EEF"/>
    <w:rsid w:val="008B5CC4"/>
    <w:rsid w:val="008C0E99"/>
    <w:rsid w:val="008D0321"/>
    <w:rsid w:val="008D1F5A"/>
    <w:rsid w:val="008E5AEF"/>
    <w:rsid w:val="008E5DCD"/>
    <w:rsid w:val="008E6BBF"/>
    <w:rsid w:val="008F0C9C"/>
    <w:rsid w:val="008F27FA"/>
    <w:rsid w:val="008F52B6"/>
    <w:rsid w:val="008F5538"/>
    <w:rsid w:val="008F5975"/>
    <w:rsid w:val="008F5D37"/>
    <w:rsid w:val="00901748"/>
    <w:rsid w:val="00906AE8"/>
    <w:rsid w:val="00906D41"/>
    <w:rsid w:val="00911481"/>
    <w:rsid w:val="00915348"/>
    <w:rsid w:val="00917A5B"/>
    <w:rsid w:val="00921847"/>
    <w:rsid w:val="009234FB"/>
    <w:rsid w:val="00924236"/>
    <w:rsid w:val="00924CE9"/>
    <w:rsid w:val="00927AA6"/>
    <w:rsid w:val="00932BD1"/>
    <w:rsid w:val="00940593"/>
    <w:rsid w:val="009409AC"/>
    <w:rsid w:val="00941DDD"/>
    <w:rsid w:val="009475EB"/>
    <w:rsid w:val="00962AFF"/>
    <w:rsid w:val="00966D0C"/>
    <w:rsid w:val="00967061"/>
    <w:rsid w:val="00972646"/>
    <w:rsid w:val="00976D2E"/>
    <w:rsid w:val="00982253"/>
    <w:rsid w:val="0098551D"/>
    <w:rsid w:val="0098566F"/>
    <w:rsid w:val="0099113B"/>
    <w:rsid w:val="009924C4"/>
    <w:rsid w:val="00992D8D"/>
    <w:rsid w:val="0099402E"/>
    <w:rsid w:val="00997414"/>
    <w:rsid w:val="009A01E4"/>
    <w:rsid w:val="009A2A4C"/>
    <w:rsid w:val="009A3899"/>
    <w:rsid w:val="009A3BBE"/>
    <w:rsid w:val="009A4C10"/>
    <w:rsid w:val="009A6D7B"/>
    <w:rsid w:val="009C12A1"/>
    <w:rsid w:val="009C5FDD"/>
    <w:rsid w:val="009D4AA6"/>
    <w:rsid w:val="009E1737"/>
    <w:rsid w:val="009E4DC7"/>
    <w:rsid w:val="009F32BD"/>
    <w:rsid w:val="00A06D3B"/>
    <w:rsid w:val="00A07B32"/>
    <w:rsid w:val="00A11643"/>
    <w:rsid w:val="00A21175"/>
    <w:rsid w:val="00A2354F"/>
    <w:rsid w:val="00A35C7F"/>
    <w:rsid w:val="00A35CB2"/>
    <w:rsid w:val="00A37E10"/>
    <w:rsid w:val="00A400E4"/>
    <w:rsid w:val="00A43F3A"/>
    <w:rsid w:val="00A44C44"/>
    <w:rsid w:val="00A44F96"/>
    <w:rsid w:val="00A46375"/>
    <w:rsid w:val="00A560B9"/>
    <w:rsid w:val="00A627A0"/>
    <w:rsid w:val="00A64B7E"/>
    <w:rsid w:val="00A668E1"/>
    <w:rsid w:val="00A67E0A"/>
    <w:rsid w:val="00A77664"/>
    <w:rsid w:val="00A80D83"/>
    <w:rsid w:val="00A81C1F"/>
    <w:rsid w:val="00A85C8D"/>
    <w:rsid w:val="00A93865"/>
    <w:rsid w:val="00A95F84"/>
    <w:rsid w:val="00AA107B"/>
    <w:rsid w:val="00AA1349"/>
    <w:rsid w:val="00AA270F"/>
    <w:rsid w:val="00AA51DE"/>
    <w:rsid w:val="00AB1644"/>
    <w:rsid w:val="00AC19D1"/>
    <w:rsid w:val="00AC4AC6"/>
    <w:rsid w:val="00AC7F97"/>
    <w:rsid w:val="00AD0174"/>
    <w:rsid w:val="00AD5FF4"/>
    <w:rsid w:val="00AD7360"/>
    <w:rsid w:val="00AE4E8E"/>
    <w:rsid w:val="00AE6CB8"/>
    <w:rsid w:val="00AE7685"/>
    <w:rsid w:val="00AF3936"/>
    <w:rsid w:val="00AF79E8"/>
    <w:rsid w:val="00B00198"/>
    <w:rsid w:val="00B053D6"/>
    <w:rsid w:val="00B21A54"/>
    <w:rsid w:val="00B22D61"/>
    <w:rsid w:val="00B265D2"/>
    <w:rsid w:val="00B2754B"/>
    <w:rsid w:val="00B27E08"/>
    <w:rsid w:val="00B303F9"/>
    <w:rsid w:val="00B3397A"/>
    <w:rsid w:val="00B35CAA"/>
    <w:rsid w:val="00B36CFF"/>
    <w:rsid w:val="00B36DA7"/>
    <w:rsid w:val="00B507A3"/>
    <w:rsid w:val="00B52CB6"/>
    <w:rsid w:val="00B56591"/>
    <w:rsid w:val="00B661FC"/>
    <w:rsid w:val="00B71B2F"/>
    <w:rsid w:val="00B72F22"/>
    <w:rsid w:val="00B77289"/>
    <w:rsid w:val="00B821BA"/>
    <w:rsid w:val="00B82E1A"/>
    <w:rsid w:val="00B87266"/>
    <w:rsid w:val="00B876EC"/>
    <w:rsid w:val="00B95476"/>
    <w:rsid w:val="00B95F4F"/>
    <w:rsid w:val="00BA149E"/>
    <w:rsid w:val="00BA2337"/>
    <w:rsid w:val="00BA3672"/>
    <w:rsid w:val="00BA5734"/>
    <w:rsid w:val="00BA64FE"/>
    <w:rsid w:val="00BB7753"/>
    <w:rsid w:val="00BB7E1D"/>
    <w:rsid w:val="00BC075F"/>
    <w:rsid w:val="00BD4D07"/>
    <w:rsid w:val="00BE567E"/>
    <w:rsid w:val="00C01A99"/>
    <w:rsid w:val="00C02DD0"/>
    <w:rsid w:val="00C03D20"/>
    <w:rsid w:val="00C04DF6"/>
    <w:rsid w:val="00C104EA"/>
    <w:rsid w:val="00C13992"/>
    <w:rsid w:val="00C1444A"/>
    <w:rsid w:val="00C2230B"/>
    <w:rsid w:val="00C2286E"/>
    <w:rsid w:val="00C25A28"/>
    <w:rsid w:val="00C31B5C"/>
    <w:rsid w:val="00C416B7"/>
    <w:rsid w:val="00C41B41"/>
    <w:rsid w:val="00C4244D"/>
    <w:rsid w:val="00C449D5"/>
    <w:rsid w:val="00C61FE4"/>
    <w:rsid w:val="00C64B8F"/>
    <w:rsid w:val="00C65238"/>
    <w:rsid w:val="00C717BB"/>
    <w:rsid w:val="00C73532"/>
    <w:rsid w:val="00C76C5C"/>
    <w:rsid w:val="00C76CC8"/>
    <w:rsid w:val="00C80C39"/>
    <w:rsid w:val="00C815AC"/>
    <w:rsid w:val="00C83317"/>
    <w:rsid w:val="00C83B2D"/>
    <w:rsid w:val="00C84425"/>
    <w:rsid w:val="00C8757D"/>
    <w:rsid w:val="00CA3DAD"/>
    <w:rsid w:val="00CA71A1"/>
    <w:rsid w:val="00CB147A"/>
    <w:rsid w:val="00CC5C35"/>
    <w:rsid w:val="00CD630C"/>
    <w:rsid w:val="00CD6A6E"/>
    <w:rsid w:val="00CE15DE"/>
    <w:rsid w:val="00CE1830"/>
    <w:rsid w:val="00CE68C0"/>
    <w:rsid w:val="00CE6E64"/>
    <w:rsid w:val="00CF0461"/>
    <w:rsid w:val="00CF11D5"/>
    <w:rsid w:val="00CF7D97"/>
    <w:rsid w:val="00D00F7B"/>
    <w:rsid w:val="00D01A48"/>
    <w:rsid w:val="00D050FB"/>
    <w:rsid w:val="00D11C80"/>
    <w:rsid w:val="00D122A5"/>
    <w:rsid w:val="00D126EB"/>
    <w:rsid w:val="00D15F1C"/>
    <w:rsid w:val="00D21BD6"/>
    <w:rsid w:val="00D225FC"/>
    <w:rsid w:val="00D228E3"/>
    <w:rsid w:val="00D25E8E"/>
    <w:rsid w:val="00D34B52"/>
    <w:rsid w:val="00D3559D"/>
    <w:rsid w:val="00D4075E"/>
    <w:rsid w:val="00D42541"/>
    <w:rsid w:val="00D4405E"/>
    <w:rsid w:val="00D4462C"/>
    <w:rsid w:val="00D45765"/>
    <w:rsid w:val="00D5009A"/>
    <w:rsid w:val="00D52F63"/>
    <w:rsid w:val="00D573FE"/>
    <w:rsid w:val="00D57E0C"/>
    <w:rsid w:val="00D62A92"/>
    <w:rsid w:val="00D80DA7"/>
    <w:rsid w:val="00D843E4"/>
    <w:rsid w:val="00D86E62"/>
    <w:rsid w:val="00D90FFC"/>
    <w:rsid w:val="00D914A6"/>
    <w:rsid w:val="00D928B7"/>
    <w:rsid w:val="00DA487A"/>
    <w:rsid w:val="00DA4B2E"/>
    <w:rsid w:val="00DA6C17"/>
    <w:rsid w:val="00DA6F30"/>
    <w:rsid w:val="00DB0CF8"/>
    <w:rsid w:val="00DC0A8E"/>
    <w:rsid w:val="00DC2D49"/>
    <w:rsid w:val="00DC7216"/>
    <w:rsid w:val="00DD1241"/>
    <w:rsid w:val="00DD6641"/>
    <w:rsid w:val="00DD6B89"/>
    <w:rsid w:val="00DF093C"/>
    <w:rsid w:val="00DF69D5"/>
    <w:rsid w:val="00DF7259"/>
    <w:rsid w:val="00DF7BBD"/>
    <w:rsid w:val="00E027C0"/>
    <w:rsid w:val="00E02C4E"/>
    <w:rsid w:val="00E06D7D"/>
    <w:rsid w:val="00E10E54"/>
    <w:rsid w:val="00E11591"/>
    <w:rsid w:val="00E21BB3"/>
    <w:rsid w:val="00E3001B"/>
    <w:rsid w:val="00E30F62"/>
    <w:rsid w:val="00E35B2F"/>
    <w:rsid w:val="00E446DC"/>
    <w:rsid w:val="00E4729F"/>
    <w:rsid w:val="00E52C42"/>
    <w:rsid w:val="00E536F2"/>
    <w:rsid w:val="00E5525E"/>
    <w:rsid w:val="00E57B81"/>
    <w:rsid w:val="00E60F57"/>
    <w:rsid w:val="00E635BD"/>
    <w:rsid w:val="00E71937"/>
    <w:rsid w:val="00E83F67"/>
    <w:rsid w:val="00E8690B"/>
    <w:rsid w:val="00E9117E"/>
    <w:rsid w:val="00E93CF2"/>
    <w:rsid w:val="00E93DFB"/>
    <w:rsid w:val="00EA03D6"/>
    <w:rsid w:val="00EB0774"/>
    <w:rsid w:val="00EB6401"/>
    <w:rsid w:val="00EC2B81"/>
    <w:rsid w:val="00EC41E2"/>
    <w:rsid w:val="00EC4743"/>
    <w:rsid w:val="00EC7C3D"/>
    <w:rsid w:val="00EE1C92"/>
    <w:rsid w:val="00EE2DC2"/>
    <w:rsid w:val="00EF21AC"/>
    <w:rsid w:val="00EF3E34"/>
    <w:rsid w:val="00F00149"/>
    <w:rsid w:val="00F019B9"/>
    <w:rsid w:val="00F03FE0"/>
    <w:rsid w:val="00F048C0"/>
    <w:rsid w:val="00F10BE8"/>
    <w:rsid w:val="00F11778"/>
    <w:rsid w:val="00F1390A"/>
    <w:rsid w:val="00F173E2"/>
    <w:rsid w:val="00F231A2"/>
    <w:rsid w:val="00F23B44"/>
    <w:rsid w:val="00F23F0D"/>
    <w:rsid w:val="00F302DC"/>
    <w:rsid w:val="00F342F4"/>
    <w:rsid w:val="00F40CB8"/>
    <w:rsid w:val="00F43737"/>
    <w:rsid w:val="00F477E1"/>
    <w:rsid w:val="00F51063"/>
    <w:rsid w:val="00F52F4B"/>
    <w:rsid w:val="00F65002"/>
    <w:rsid w:val="00F67849"/>
    <w:rsid w:val="00F71A04"/>
    <w:rsid w:val="00F71A1E"/>
    <w:rsid w:val="00F7212F"/>
    <w:rsid w:val="00F737F1"/>
    <w:rsid w:val="00F74C52"/>
    <w:rsid w:val="00F77E2C"/>
    <w:rsid w:val="00F77FF9"/>
    <w:rsid w:val="00F80230"/>
    <w:rsid w:val="00F830E1"/>
    <w:rsid w:val="00F84B98"/>
    <w:rsid w:val="00F84E4D"/>
    <w:rsid w:val="00F9131F"/>
    <w:rsid w:val="00F93039"/>
    <w:rsid w:val="00F96FB0"/>
    <w:rsid w:val="00FA141C"/>
    <w:rsid w:val="00FA3564"/>
    <w:rsid w:val="00FB017A"/>
    <w:rsid w:val="00FB02B8"/>
    <w:rsid w:val="00FC0776"/>
    <w:rsid w:val="00FD0AA5"/>
    <w:rsid w:val="00FD3747"/>
    <w:rsid w:val="00FD54B6"/>
    <w:rsid w:val="00FE48F9"/>
    <w:rsid w:val="00FF07F7"/>
    <w:rsid w:val="00FF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E35C"/>
  <w15:chartTrackingRefBased/>
  <w15:docId w15:val="{1805FB73-7EE4-3E47-ADDB-E451B2B0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732"/>
    <w:rPr>
      <w:rFonts w:ascii="Times New Roman" w:eastAsia="Times New Roman" w:hAnsi="Times New Roman" w:cs="Times New Roman"/>
    </w:rPr>
  </w:style>
  <w:style w:type="paragraph" w:styleId="Heading1">
    <w:name w:val="heading 1"/>
    <w:basedOn w:val="Normal"/>
    <w:link w:val="Heading1Char"/>
    <w:uiPriority w:val="9"/>
    <w:qFormat/>
    <w:rsid w:val="0024554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6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6A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4D33B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D33B5"/>
    <w:rPr>
      <w:sz w:val="20"/>
      <w:szCs w:val="20"/>
    </w:rPr>
  </w:style>
  <w:style w:type="character" w:styleId="FootnoteReference">
    <w:name w:val="footnote reference"/>
    <w:basedOn w:val="DefaultParagraphFont"/>
    <w:uiPriority w:val="99"/>
    <w:semiHidden/>
    <w:unhideWhenUsed/>
    <w:rsid w:val="004D33B5"/>
    <w:rPr>
      <w:vertAlign w:val="superscript"/>
    </w:rPr>
  </w:style>
  <w:style w:type="paragraph" w:styleId="Revision">
    <w:name w:val="Revision"/>
    <w:hidden/>
    <w:uiPriority w:val="99"/>
    <w:semiHidden/>
    <w:rsid w:val="00DF093C"/>
  </w:style>
  <w:style w:type="character" w:styleId="CommentReference">
    <w:name w:val="annotation reference"/>
    <w:basedOn w:val="DefaultParagraphFont"/>
    <w:uiPriority w:val="99"/>
    <w:semiHidden/>
    <w:unhideWhenUsed/>
    <w:rsid w:val="00D52F63"/>
    <w:rPr>
      <w:sz w:val="16"/>
      <w:szCs w:val="16"/>
    </w:rPr>
  </w:style>
  <w:style w:type="paragraph" w:styleId="CommentText">
    <w:name w:val="annotation text"/>
    <w:basedOn w:val="Normal"/>
    <w:link w:val="CommentTextChar"/>
    <w:uiPriority w:val="99"/>
    <w:unhideWhenUsed/>
    <w:rsid w:val="00D52F63"/>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52F63"/>
    <w:rPr>
      <w:sz w:val="20"/>
      <w:szCs w:val="20"/>
    </w:rPr>
  </w:style>
  <w:style w:type="paragraph" w:styleId="CommentSubject">
    <w:name w:val="annotation subject"/>
    <w:basedOn w:val="CommentText"/>
    <w:next w:val="CommentText"/>
    <w:link w:val="CommentSubjectChar"/>
    <w:uiPriority w:val="99"/>
    <w:semiHidden/>
    <w:unhideWhenUsed/>
    <w:rsid w:val="00D52F63"/>
    <w:rPr>
      <w:b/>
      <w:bCs/>
    </w:rPr>
  </w:style>
  <w:style w:type="character" w:customStyle="1" w:styleId="CommentSubjectChar">
    <w:name w:val="Comment Subject Char"/>
    <w:basedOn w:val="CommentTextChar"/>
    <w:link w:val="CommentSubject"/>
    <w:uiPriority w:val="99"/>
    <w:semiHidden/>
    <w:rsid w:val="00D52F63"/>
    <w:rPr>
      <w:b/>
      <w:bCs/>
      <w:sz w:val="20"/>
      <w:szCs w:val="20"/>
    </w:rPr>
  </w:style>
  <w:style w:type="character" w:styleId="EndnoteReference">
    <w:name w:val="endnote reference"/>
    <w:basedOn w:val="DefaultParagraphFont"/>
    <w:uiPriority w:val="99"/>
    <w:semiHidden/>
    <w:unhideWhenUsed/>
    <w:rsid w:val="007B46BE"/>
    <w:rPr>
      <w:vertAlign w:val="superscript"/>
    </w:rPr>
  </w:style>
  <w:style w:type="paragraph" w:styleId="Footer">
    <w:name w:val="footer"/>
    <w:basedOn w:val="Normal"/>
    <w:link w:val="FooterChar"/>
    <w:uiPriority w:val="99"/>
    <w:unhideWhenUsed/>
    <w:rsid w:val="004E411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E411C"/>
    <w:rPr>
      <w:sz w:val="22"/>
      <w:szCs w:val="22"/>
      <w:lang w:val="en-US"/>
    </w:rPr>
  </w:style>
  <w:style w:type="character" w:styleId="PageNumber">
    <w:name w:val="page number"/>
    <w:basedOn w:val="DefaultParagraphFont"/>
    <w:uiPriority w:val="99"/>
    <w:semiHidden/>
    <w:unhideWhenUsed/>
    <w:rsid w:val="004E411C"/>
  </w:style>
  <w:style w:type="paragraph" w:styleId="Header">
    <w:name w:val="header"/>
    <w:basedOn w:val="Normal"/>
    <w:link w:val="HeaderChar"/>
    <w:uiPriority w:val="99"/>
    <w:unhideWhenUsed/>
    <w:rsid w:val="004E411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E411C"/>
    <w:rPr>
      <w:sz w:val="22"/>
      <w:szCs w:val="22"/>
      <w:lang w:val="en-US"/>
    </w:rPr>
  </w:style>
  <w:style w:type="character" w:styleId="Hyperlink">
    <w:name w:val="Hyperlink"/>
    <w:basedOn w:val="DefaultParagraphFont"/>
    <w:uiPriority w:val="99"/>
    <w:unhideWhenUsed/>
    <w:rsid w:val="0006711D"/>
    <w:rPr>
      <w:color w:val="0563C1" w:themeColor="hyperlink"/>
      <w:u w:val="single"/>
    </w:rPr>
  </w:style>
  <w:style w:type="character" w:customStyle="1" w:styleId="UnresolvedMention1">
    <w:name w:val="Unresolved Mention1"/>
    <w:basedOn w:val="DefaultParagraphFont"/>
    <w:uiPriority w:val="99"/>
    <w:semiHidden/>
    <w:unhideWhenUsed/>
    <w:rsid w:val="0006711D"/>
    <w:rPr>
      <w:color w:val="605E5C"/>
      <w:shd w:val="clear" w:color="auto" w:fill="E1DFDD"/>
    </w:rPr>
  </w:style>
  <w:style w:type="character" w:customStyle="1" w:styleId="markedcontent">
    <w:name w:val="markedcontent"/>
    <w:basedOn w:val="DefaultParagraphFont"/>
    <w:rsid w:val="0072169D"/>
  </w:style>
  <w:style w:type="paragraph" w:styleId="NormalWeb">
    <w:name w:val="Normal (Web)"/>
    <w:basedOn w:val="Normal"/>
    <w:uiPriority w:val="99"/>
    <w:unhideWhenUsed/>
    <w:rsid w:val="00A93865"/>
    <w:pPr>
      <w:spacing w:before="100" w:beforeAutospacing="1" w:after="100" w:afterAutospacing="1"/>
    </w:pPr>
  </w:style>
  <w:style w:type="character" w:styleId="FollowedHyperlink">
    <w:name w:val="FollowedHyperlink"/>
    <w:basedOn w:val="DefaultParagraphFont"/>
    <w:uiPriority w:val="99"/>
    <w:semiHidden/>
    <w:unhideWhenUsed/>
    <w:rsid w:val="00D126EB"/>
    <w:rPr>
      <w:color w:val="954F72" w:themeColor="followedHyperlink"/>
      <w:u w:val="single"/>
    </w:rPr>
  </w:style>
  <w:style w:type="character" w:styleId="Strong">
    <w:name w:val="Strong"/>
    <w:basedOn w:val="DefaultParagraphFont"/>
    <w:uiPriority w:val="22"/>
    <w:qFormat/>
    <w:rsid w:val="00715FB8"/>
    <w:rPr>
      <w:b/>
      <w:bCs/>
    </w:rPr>
  </w:style>
  <w:style w:type="character" w:styleId="HTMLCite">
    <w:name w:val="HTML Cite"/>
    <w:basedOn w:val="DefaultParagraphFont"/>
    <w:uiPriority w:val="99"/>
    <w:semiHidden/>
    <w:unhideWhenUsed/>
    <w:rsid w:val="00A44F96"/>
    <w:rPr>
      <w:i/>
      <w:iCs/>
    </w:rPr>
  </w:style>
  <w:style w:type="character" w:customStyle="1" w:styleId="journalname">
    <w:name w:val="journalname"/>
    <w:basedOn w:val="DefaultParagraphFont"/>
    <w:rsid w:val="00A44F96"/>
  </w:style>
  <w:style w:type="character" w:customStyle="1" w:styleId="volume">
    <w:name w:val="volume"/>
    <w:basedOn w:val="DefaultParagraphFont"/>
    <w:rsid w:val="00A44F96"/>
  </w:style>
  <w:style w:type="character" w:customStyle="1" w:styleId="page">
    <w:name w:val="page"/>
    <w:basedOn w:val="DefaultParagraphFont"/>
    <w:rsid w:val="00A44F96"/>
  </w:style>
  <w:style w:type="paragraph" w:customStyle="1" w:styleId="c-article-referencestext">
    <w:name w:val="c-article-references__text"/>
    <w:basedOn w:val="Normal"/>
    <w:rsid w:val="00440EE0"/>
    <w:pPr>
      <w:spacing w:before="100" w:beforeAutospacing="1" w:after="100" w:afterAutospacing="1"/>
    </w:pPr>
  </w:style>
  <w:style w:type="paragraph" w:customStyle="1" w:styleId="Default">
    <w:name w:val="Default"/>
    <w:rsid w:val="001E31ED"/>
    <w:pPr>
      <w:autoSpaceDE w:val="0"/>
      <w:autoSpaceDN w:val="0"/>
      <w:adjustRightInd w:val="0"/>
    </w:pPr>
    <w:rPr>
      <w:rFonts w:ascii="Charis SIL" w:hAnsi="Charis SIL" w:cs="Charis SIL"/>
      <w:color w:val="000000"/>
    </w:rPr>
  </w:style>
  <w:style w:type="character" w:customStyle="1" w:styleId="apple-converted-space">
    <w:name w:val="apple-converted-space"/>
    <w:basedOn w:val="DefaultParagraphFont"/>
    <w:rsid w:val="008D0321"/>
  </w:style>
  <w:style w:type="paragraph" w:styleId="Bibliography">
    <w:name w:val="Bibliography"/>
    <w:basedOn w:val="Normal"/>
    <w:next w:val="Normal"/>
    <w:uiPriority w:val="37"/>
    <w:unhideWhenUsed/>
    <w:rsid w:val="00D050FB"/>
    <w:pPr>
      <w:tabs>
        <w:tab w:val="left" w:pos="380"/>
      </w:tabs>
      <w:spacing w:line="480" w:lineRule="auto"/>
      <w:ind w:left="720" w:hanging="720"/>
    </w:pPr>
  </w:style>
  <w:style w:type="character" w:customStyle="1" w:styleId="Heading1Char">
    <w:name w:val="Heading 1 Char"/>
    <w:basedOn w:val="DefaultParagraphFont"/>
    <w:link w:val="Heading1"/>
    <w:uiPriority w:val="9"/>
    <w:rsid w:val="0024554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45541"/>
    <w:rPr>
      <w:i/>
      <w:iCs/>
    </w:rPr>
  </w:style>
  <w:style w:type="character" w:customStyle="1" w:styleId="spelle">
    <w:name w:val="spelle"/>
    <w:basedOn w:val="DefaultParagraphFont"/>
    <w:rsid w:val="00245541"/>
  </w:style>
  <w:style w:type="paragraph" w:styleId="BalloonText">
    <w:name w:val="Balloon Text"/>
    <w:basedOn w:val="Normal"/>
    <w:link w:val="BalloonTextChar"/>
    <w:uiPriority w:val="99"/>
    <w:semiHidden/>
    <w:unhideWhenUsed/>
    <w:rsid w:val="00486C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C6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7294">
      <w:bodyDiv w:val="1"/>
      <w:marLeft w:val="0"/>
      <w:marRight w:val="0"/>
      <w:marTop w:val="0"/>
      <w:marBottom w:val="0"/>
      <w:divBdr>
        <w:top w:val="none" w:sz="0" w:space="0" w:color="auto"/>
        <w:left w:val="none" w:sz="0" w:space="0" w:color="auto"/>
        <w:bottom w:val="none" w:sz="0" w:space="0" w:color="auto"/>
        <w:right w:val="none" w:sz="0" w:space="0" w:color="auto"/>
      </w:divBdr>
    </w:div>
    <w:div w:id="361174412">
      <w:bodyDiv w:val="1"/>
      <w:marLeft w:val="0"/>
      <w:marRight w:val="0"/>
      <w:marTop w:val="0"/>
      <w:marBottom w:val="0"/>
      <w:divBdr>
        <w:top w:val="none" w:sz="0" w:space="0" w:color="auto"/>
        <w:left w:val="none" w:sz="0" w:space="0" w:color="auto"/>
        <w:bottom w:val="none" w:sz="0" w:space="0" w:color="auto"/>
        <w:right w:val="none" w:sz="0" w:space="0" w:color="auto"/>
      </w:divBdr>
    </w:div>
    <w:div w:id="520704717">
      <w:bodyDiv w:val="1"/>
      <w:marLeft w:val="0"/>
      <w:marRight w:val="0"/>
      <w:marTop w:val="0"/>
      <w:marBottom w:val="0"/>
      <w:divBdr>
        <w:top w:val="none" w:sz="0" w:space="0" w:color="auto"/>
        <w:left w:val="none" w:sz="0" w:space="0" w:color="auto"/>
        <w:bottom w:val="none" w:sz="0" w:space="0" w:color="auto"/>
        <w:right w:val="none" w:sz="0" w:space="0" w:color="auto"/>
      </w:divBdr>
    </w:div>
    <w:div w:id="751439576">
      <w:bodyDiv w:val="1"/>
      <w:marLeft w:val="0"/>
      <w:marRight w:val="0"/>
      <w:marTop w:val="0"/>
      <w:marBottom w:val="0"/>
      <w:divBdr>
        <w:top w:val="none" w:sz="0" w:space="0" w:color="auto"/>
        <w:left w:val="none" w:sz="0" w:space="0" w:color="auto"/>
        <w:bottom w:val="none" w:sz="0" w:space="0" w:color="auto"/>
        <w:right w:val="none" w:sz="0" w:space="0" w:color="auto"/>
      </w:divBdr>
    </w:div>
    <w:div w:id="812605736">
      <w:bodyDiv w:val="1"/>
      <w:marLeft w:val="0"/>
      <w:marRight w:val="0"/>
      <w:marTop w:val="0"/>
      <w:marBottom w:val="0"/>
      <w:divBdr>
        <w:top w:val="none" w:sz="0" w:space="0" w:color="auto"/>
        <w:left w:val="none" w:sz="0" w:space="0" w:color="auto"/>
        <w:bottom w:val="none" w:sz="0" w:space="0" w:color="auto"/>
        <w:right w:val="none" w:sz="0" w:space="0" w:color="auto"/>
      </w:divBdr>
      <w:divsChild>
        <w:div w:id="1153179828">
          <w:marLeft w:val="0"/>
          <w:marRight w:val="0"/>
          <w:marTop w:val="0"/>
          <w:marBottom w:val="0"/>
          <w:divBdr>
            <w:top w:val="none" w:sz="0" w:space="0" w:color="auto"/>
            <w:left w:val="none" w:sz="0" w:space="0" w:color="auto"/>
            <w:bottom w:val="none" w:sz="0" w:space="0" w:color="auto"/>
            <w:right w:val="none" w:sz="0" w:space="0" w:color="auto"/>
          </w:divBdr>
        </w:div>
      </w:divsChild>
    </w:div>
    <w:div w:id="880636029">
      <w:bodyDiv w:val="1"/>
      <w:marLeft w:val="0"/>
      <w:marRight w:val="0"/>
      <w:marTop w:val="0"/>
      <w:marBottom w:val="0"/>
      <w:divBdr>
        <w:top w:val="none" w:sz="0" w:space="0" w:color="auto"/>
        <w:left w:val="none" w:sz="0" w:space="0" w:color="auto"/>
        <w:bottom w:val="none" w:sz="0" w:space="0" w:color="auto"/>
        <w:right w:val="none" w:sz="0" w:space="0" w:color="auto"/>
      </w:divBdr>
    </w:div>
    <w:div w:id="1019235106">
      <w:bodyDiv w:val="1"/>
      <w:marLeft w:val="0"/>
      <w:marRight w:val="0"/>
      <w:marTop w:val="0"/>
      <w:marBottom w:val="0"/>
      <w:divBdr>
        <w:top w:val="none" w:sz="0" w:space="0" w:color="auto"/>
        <w:left w:val="none" w:sz="0" w:space="0" w:color="auto"/>
        <w:bottom w:val="none" w:sz="0" w:space="0" w:color="auto"/>
        <w:right w:val="none" w:sz="0" w:space="0" w:color="auto"/>
      </w:divBdr>
    </w:div>
    <w:div w:id="1168524534">
      <w:bodyDiv w:val="1"/>
      <w:marLeft w:val="0"/>
      <w:marRight w:val="0"/>
      <w:marTop w:val="0"/>
      <w:marBottom w:val="0"/>
      <w:divBdr>
        <w:top w:val="none" w:sz="0" w:space="0" w:color="auto"/>
        <w:left w:val="none" w:sz="0" w:space="0" w:color="auto"/>
        <w:bottom w:val="none" w:sz="0" w:space="0" w:color="auto"/>
        <w:right w:val="none" w:sz="0" w:space="0" w:color="auto"/>
      </w:divBdr>
      <w:divsChild>
        <w:div w:id="1214191843">
          <w:marLeft w:val="0"/>
          <w:marRight w:val="0"/>
          <w:marTop w:val="0"/>
          <w:marBottom w:val="0"/>
          <w:divBdr>
            <w:top w:val="none" w:sz="0" w:space="0" w:color="auto"/>
            <w:left w:val="none" w:sz="0" w:space="0" w:color="auto"/>
            <w:bottom w:val="none" w:sz="0" w:space="0" w:color="auto"/>
            <w:right w:val="none" w:sz="0" w:space="0" w:color="auto"/>
          </w:divBdr>
          <w:divsChild>
            <w:div w:id="29766978">
              <w:marLeft w:val="0"/>
              <w:marRight w:val="0"/>
              <w:marTop w:val="0"/>
              <w:marBottom w:val="0"/>
              <w:divBdr>
                <w:top w:val="none" w:sz="0" w:space="0" w:color="auto"/>
                <w:left w:val="none" w:sz="0" w:space="0" w:color="auto"/>
                <w:bottom w:val="none" w:sz="0" w:space="0" w:color="auto"/>
                <w:right w:val="none" w:sz="0" w:space="0" w:color="auto"/>
              </w:divBdr>
            </w:div>
          </w:divsChild>
        </w:div>
        <w:div w:id="1444032277">
          <w:marLeft w:val="0"/>
          <w:marRight w:val="0"/>
          <w:marTop w:val="0"/>
          <w:marBottom w:val="0"/>
          <w:divBdr>
            <w:top w:val="none" w:sz="0" w:space="0" w:color="auto"/>
            <w:left w:val="none" w:sz="0" w:space="0" w:color="auto"/>
            <w:bottom w:val="none" w:sz="0" w:space="0" w:color="auto"/>
            <w:right w:val="none" w:sz="0" w:space="0" w:color="auto"/>
          </w:divBdr>
        </w:div>
      </w:divsChild>
    </w:div>
    <w:div w:id="1598488726">
      <w:bodyDiv w:val="1"/>
      <w:marLeft w:val="0"/>
      <w:marRight w:val="0"/>
      <w:marTop w:val="0"/>
      <w:marBottom w:val="0"/>
      <w:divBdr>
        <w:top w:val="none" w:sz="0" w:space="0" w:color="auto"/>
        <w:left w:val="none" w:sz="0" w:space="0" w:color="auto"/>
        <w:bottom w:val="none" w:sz="0" w:space="0" w:color="auto"/>
        <w:right w:val="none" w:sz="0" w:space="0" w:color="auto"/>
      </w:divBdr>
    </w:div>
    <w:div w:id="1605846365">
      <w:bodyDiv w:val="1"/>
      <w:marLeft w:val="0"/>
      <w:marRight w:val="0"/>
      <w:marTop w:val="0"/>
      <w:marBottom w:val="0"/>
      <w:divBdr>
        <w:top w:val="none" w:sz="0" w:space="0" w:color="auto"/>
        <w:left w:val="none" w:sz="0" w:space="0" w:color="auto"/>
        <w:bottom w:val="none" w:sz="0" w:space="0" w:color="auto"/>
        <w:right w:val="none" w:sz="0" w:space="0" w:color="auto"/>
      </w:divBdr>
    </w:div>
    <w:div w:id="1767995451">
      <w:bodyDiv w:val="1"/>
      <w:marLeft w:val="0"/>
      <w:marRight w:val="0"/>
      <w:marTop w:val="0"/>
      <w:marBottom w:val="0"/>
      <w:divBdr>
        <w:top w:val="none" w:sz="0" w:space="0" w:color="auto"/>
        <w:left w:val="none" w:sz="0" w:space="0" w:color="auto"/>
        <w:bottom w:val="none" w:sz="0" w:space="0" w:color="auto"/>
        <w:right w:val="none" w:sz="0" w:space="0" w:color="auto"/>
      </w:divBdr>
    </w:div>
    <w:div w:id="1855194185">
      <w:bodyDiv w:val="1"/>
      <w:marLeft w:val="0"/>
      <w:marRight w:val="0"/>
      <w:marTop w:val="0"/>
      <w:marBottom w:val="0"/>
      <w:divBdr>
        <w:top w:val="none" w:sz="0" w:space="0" w:color="auto"/>
        <w:left w:val="none" w:sz="0" w:space="0" w:color="auto"/>
        <w:bottom w:val="none" w:sz="0" w:space="0" w:color="auto"/>
        <w:right w:val="none" w:sz="0" w:space="0" w:color="auto"/>
      </w:divBdr>
    </w:div>
    <w:div w:id="205357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Paglino</dc:creator>
  <cp:keywords/>
  <dc:description/>
  <cp:lastModifiedBy>Paglino, Eugenio</cp:lastModifiedBy>
  <cp:revision>6</cp:revision>
  <cp:lastPrinted>2023-05-15T13:17:00Z</cp:lastPrinted>
  <dcterms:created xsi:type="dcterms:W3CDTF">2023-05-26T11:08:00Z</dcterms:created>
  <dcterms:modified xsi:type="dcterms:W3CDTF">2023-05-30T06:50:00Z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id="6sM3aM74"/&gt;&lt;style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