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39" w:rsidRDefault="00412739">
      <w:pPr>
        <w:rPr>
          <w:rStyle w:val="Hyperlink"/>
          <w:rFonts w:ascii="Verdana" w:hAnsi="Verdana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More posts: </w:t>
      </w:r>
      <w:hyperlink r:id="rId4" w:history="1">
        <w:r w:rsidRPr="007812D1">
          <w:rPr>
            <w:rStyle w:val="Hyperlink"/>
            <w:rFonts w:ascii="Verdana" w:hAnsi="Verdana"/>
            <w:sz w:val="20"/>
            <w:szCs w:val="20"/>
            <w:shd w:val="clear" w:color="auto" w:fill="FAFAFA"/>
          </w:rPr>
          <w:t>http://survivingantidepressants.org/index.php?/topic/4361-tips-for-tapering-off-stomach-acid-blockers-or-ppis-esomeprazole-lansoprazole-omeprazole/</w:t>
        </w:r>
      </w:hyperlink>
    </w:p>
    <w:p w:rsidR="003C6ABC" w:rsidRDefault="003C6ABC">
      <w:pPr>
        <w:rPr>
          <w:rFonts w:ascii="Arial" w:hAnsi="Arial" w:cs="Arial"/>
          <w:color w:val="000000"/>
          <w:sz w:val="18"/>
          <w:szCs w:val="18"/>
          <w:shd w:val="clear" w:color="auto" w:fill="F8F8FC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PPIs interfere with acid secretion: you all know that. But acid is secreted in response to an enzyme, gastrin, in the blood (it's part of an overall biological feedback system - as I suspected). When the acid secretion is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suppresed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, gastrin levels in the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blod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increase -as the body tries to make more acid.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Hypergastremia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- itself a health risk!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8F8FC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Wikipedia has an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intersting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article on gastrin. One of the effects is that high gastrin relaxes the lower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oesophagal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sphincter. So PPIs may actually cause more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regflux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- albeit non-acidic. Gastrin also induces gall-bladder emptying - which explains why bile reflux is a problem on PPIs.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8F8FC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Oh - there's so much the doctors don't tell you. Probably because they do not know!</w:t>
      </w:r>
    </w:p>
    <w:p w:rsidR="003C6ABC" w:rsidRDefault="003C6AB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hyperlink r:id="rId5" w:history="1">
        <w:r w:rsidRPr="004A0E50">
          <w:rPr>
            <w:rStyle w:val="Hyperlink"/>
            <w:rFonts w:ascii="Verdana" w:hAnsi="Verdana"/>
            <w:sz w:val="20"/>
            <w:szCs w:val="20"/>
            <w:shd w:val="clear" w:color="auto" w:fill="FAFAFA"/>
          </w:rPr>
          <w:t>http://www.barrettscampaign.org.uk/forum/forum_posts.asp?TID=560</w:t>
        </w:r>
      </w:hyperlink>
    </w:p>
    <w:p w:rsidR="003C6ABC" w:rsidRDefault="003C6AB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bookmarkStart w:id="0" w:name="_GoBack"/>
      <w:bookmarkEnd w:id="0"/>
    </w:p>
    <w:p w:rsidR="00412739" w:rsidRDefault="00412739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943ECF" w:rsidRDefault="00FF112A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Hi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noProof/>
          <w:lang w:val="hr-BA" w:eastAsia="hr-BA"/>
        </w:rPr>
        <w:drawing>
          <wp:inline distT="0" distB="0" distL="0" distR="0">
            <wp:extent cx="152400" cy="152400"/>
            <wp:effectExtent l="0" t="0" r="0" b="0"/>
            <wp:docPr id="1" name="Picture 1" descr="http://forums.heartburn-help.com/images/smilies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s.heartburn-help.com/images/smilies/smi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The type of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poylps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that PPIS cause are called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fundic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gland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poylps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These are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beneign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in 99.9999 percent of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cases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Lots of people the board have them and often they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disapear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themselves after a person stops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PPIS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They are no big deal and really nothing to worry about. There is information about them in the PPI insert. They are considered a very harmless type of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poylp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As LSAT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said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noone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here has every had a problem. Anything questionable is biopsied anyway.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PPIS can cause atrophic gastritis which is a pre curser to stomach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cancer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but you would have advance notice of that type of gastritis developing anyway. It usually happens over many years.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As for low B12 caused by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PPIS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thats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mostly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theroretical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.. As of the end of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2005 ,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there was only one documented case in the world , and that man didn't have his B12 levels checked before starting PPIS .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Ratobranco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i guess you posted the second case, with that 78 year old woman.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 they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mention that there was only one previous case in the article you posted ) I don't know if there have been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anymore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cases since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then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Low B12 is common anyway with older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people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PPIS i imagine would exacerbate it. There have been no case reports of PPIS causing low B 12 in younger people in the entire world ...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yet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although anything is possible, especially as people take them longer and longer ... but you're dealing with a needle in a haystack.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You said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Barrets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is not such big problem since it can be eradicated using Halo 360. Just because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Barretts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appears to be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gone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it doesn't mean there isn't a tiny cell floating around somewhere . It won't be known if ablation decreases the risk of cancer for many years. People have developed esophageal cancer 2-3 years later with other types of ablation therapies even though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Barretts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appeared to be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gone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I'd use cautious optimism when it comes to ablation, it is an exciting advance though. Not all esophageal cancer risk factors are known yet either.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AFAFA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Pshemek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Have you had an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endoscopy ?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What did it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show ?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Have you been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tested ?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Why do you assume you need PPIS for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life ?</w:t>
      </w:r>
      <w:proofErr w:type="gramEnd"/>
    </w:p>
    <w:p w:rsidR="00FF112A" w:rsidRDefault="00FF112A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 just asked my gastroenterologist about B12 and he said that there are pancreatic enzymes that help absorb it, and they don't need stomach acid to be effective. I am going to do more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>research about it though, I know many others who do the sublingual supplement so I will likely ask to have my levels checked every so often, just to be sure. My doc did say that calcium absorption can be a big issue though, so he advised me to take a calcium supplement on top of dietary intake. Every appointment just seems to raise more questions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..</w:t>
      </w:r>
      <w:proofErr w:type="gramEnd"/>
    </w:p>
    <w:p w:rsidR="00452870" w:rsidRDefault="00452870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_________________________________________________________________________</w:t>
      </w:r>
    </w:p>
    <w:p w:rsidR="00452870" w:rsidRDefault="00452870" w:rsidP="00452870">
      <w:pPr>
        <w:pStyle w:val="p"/>
        <w:shd w:val="clear" w:color="auto" w:fill="FFFFFF"/>
        <w:spacing w:before="166" w:beforeAutospacing="0" w:after="166" w:afterAutospacing="0" w:line="330" w:lineRule="atLeast"/>
        <w:rPr>
          <w:color w:val="000000"/>
        </w:rPr>
      </w:pPr>
      <w:r>
        <w:rPr>
          <w:color w:val="000000"/>
        </w:rPr>
        <w:t xml:space="preserve">The PPIs are </w:t>
      </w:r>
      <w:proofErr w:type="spellStart"/>
      <w:r>
        <w:rPr>
          <w:color w:val="000000"/>
        </w:rPr>
        <w:t>prodrugs</w:t>
      </w:r>
      <w:proofErr w:type="spellEnd"/>
      <w:r>
        <w:rPr>
          <w:color w:val="000000"/>
        </w:rPr>
        <w:t xml:space="preserve">. These </w:t>
      </w:r>
      <w:proofErr w:type="spellStart"/>
      <w:r>
        <w:rPr>
          <w:color w:val="000000"/>
        </w:rPr>
        <w:t>prodrugs</w:t>
      </w:r>
      <w:proofErr w:type="spellEnd"/>
      <w:r>
        <w:rPr>
          <w:color w:val="000000"/>
        </w:rPr>
        <w:t xml:space="preserve"> require gastric acid secretion to be converted to the active </w:t>
      </w:r>
      <w:proofErr w:type="spellStart"/>
      <w:r>
        <w:rPr>
          <w:color w:val="000000"/>
        </w:rPr>
        <w:t>sulfenamide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sulfenic</w:t>
      </w:r>
      <w:proofErr w:type="spellEnd"/>
      <w:r>
        <w:rPr>
          <w:color w:val="000000"/>
        </w:rPr>
        <w:t xml:space="preserve"> acid that blocks gastric acid secretion. All PPIs except </w:t>
      </w:r>
      <w:proofErr w:type="spellStart"/>
      <w:r>
        <w:rPr>
          <w:color w:val="000000"/>
        </w:rPr>
        <w:t>tenatoprazole</w:t>
      </w:r>
      <w:proofErr w:type="spellEnd"/>
      <w:r>
        <w:rPr>
          <w:color w:val="000000"/>
        </w:rPr>
        <w:t xml:space="preserve"> have short half-lives (about 1 hour) and all have good oral bioavailability. Most PPIs are metabolized by CYP2C19 and 3A4. Hepatic impairment and old age reduce clearance of the PPIs, as do mutations in CYP2C19.</w:t>
      </w:r>
    </w:p>
    <w:p w:rsidR="00452870" w:rsidRDefault="00452870" w:rsidP="00452870">
      <w:pPr>
        <w:pStyle w:val="p"/>
        <w:pBdr>
          <w:bottom w:val="single" w:sz="6" w:space="1" w:color="auto"/>
        </w:pBdr>
        <w:shd w:val="clear" w:color="auto" w:fill="FFFFFF"/>
        <w:spacing w:before="166" w:beforeAutospacing="0" w:after="166" w:afterAutospacing="0" w:line="330" w:lineRule="atLeast"/>
        <w:rPr>
          <w:color w:val="000000"/>
        </w:rPr>
      </w:pPr>
      <w:r>
        <w:rPr>
          <w:color w:val="000000"/>
        </w:rPr>
        <w:t xml:space="preserve">Acid suppression studies comparing omeprazole, </w:t>
      </w:r>
      <w:proofErr w:type="spellStart"/>
      <w:r>
        <w:rPr>
          <w:color w:val="000000"/>
        </w:rPr>
        <w:t>lansoprazole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rabeprazole</w:t>
      </w:r>
      <w:proofErr w:type="spellEnd"/>
      <w:r>
        <w:rPr>
          <w:color w:val="000000"/>
        </w:rPr>
        <w:t xml:space="preserve">, and pantoprazole show equivalent efficacy. Most studies using standard doses have not shown a significant difference between the four PPIs for the healing of reflux esophagitis or duodenal ulcer. Esomeprazole and </w:t>
      </w:r>
      <w:proofErr w:type="spellStart"/>
      <w:r>
        <w:rPr>
          <w:color w:val="000000"/>
        </w:rPr>
        <w:t>tenatoprazole</w:t>
      </w:r>
      <w:proofErr w:type="spellEnd"/>
      <w:r>
        <w:rPr>
          <w:color w:val="000000"/>
        </w:rPr>
        <w:t xml:space="preserve"> have stronger acid suppression, with a longer period of </w:t>
      </w:r>
      <w:proofErr w:type="spellStart"/>
      <w:r>
        <w:rPr>
          <w:color w:val="000000"/>
        </w:rPr>
        <w:t>intragastric</w:t>
      </w:r>
      <w:proofErr w:type="spellEnd"/>
      <w:r>
        <w:rPr>
          <w:color w:val="000000"/>
        </w:rPr>
        <w:t xml:space="preserve"> pH greater than 4.</w:t>
      </w:r>
    </w:p>
    <w:p w:rsidR="002B3DA9" w:rsidRDefault="002B3DA9" w:rsidP="00452870">
      <w:pPr>
        <w:pStyle w:val="p"/>
        <w:shd w:val="clear" w:color="auto" w:fill="FFFFFF"/>
        <w:spacing w:before="166" w:beforeAutospacing="0" w:after="166" w:afterAutospacing="0" w:line="330" w:lineRule="atLeast"/>
        <w:rPr>
          <w:color w:val="000000"/>
        </w:rPr>
      </w:pPr>
    </w:p>
    <w:p w:rsidR="002B3DA9" w:rsidRDefault="003C6ABC" w:rsidP="00452870">
      <w:pPr>
        <w:pStyle w:val="p"/>
        <w:shd w:val="clear" w:color="auto" w:fill="FFFFFF"/>
        <w:spacing w:before="166" w:beforeAutospacing="0" w:after="166" w:afterAutospacing="0" w:line="330" w:lineRule="atLeast"/>
        <w:rPr>
          <w:color w:val="000000"/>
        </w:rPr>
      </w:pPr>
      <w:hyperlink r:id="rId7" w:history="1">
        <w:r w:rsidR="002B3DA9" w:rsidRPr="000E778E">
          <w:rPr>
            <w:rStyle w:val="Hyperlink"/>
          </w:rPr>
          <w:t>http://www.barrettscampaign.org.uk/forum/forum_posts.asp?TID=1319</w:t>
        </w:r>
      </w:hyperlink>
    </w:p>
    <w:p w:rsidR="002B3DA9" w:rsidRDefault="002B3DA9" w:rsidP="00452870">
      <w:pPr>
        <w:pStyle w:val="p"/>
        <w:shd w:val="clear" w:color="auto" w:fill="FFFFFF"/>
        <w:spacing w:before="166" w:beforeAutospacing="0" w:after="166" w:afterAutospacing="0" w:line="330" w:lineRule="atLeast"/>
        <w:rPr>
          <w:color w:val="000000"/>
        </w:rPr>
      </w:pPr>
    </w:p>
    <w:p w:rsidR="00452870" w:rsidRDefault="002B3DA9"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&gt; A few years ago, I argued this point with two of the country's top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&gt; gastroenterologists who would not accept it as minerals are absorbed in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&gt; the duodenum not the stomach. They have since had to admit I was right.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&gt; If the minerals have not been sufficiently dissolved out of the food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&gt; before they reach the duodenum, the majority will pass through it into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&gt; the lower intestine too quickly.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Minerals are converted to the chlorides by the hydrochloric acid in the stomach. For instance calcium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catbonate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is not soluble.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HCl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 xml:space="preserve"> in the stomach converts it to calcium chloride - which is soluble - and carbon dioxide.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Similarly magnesium and iron: the chlorides are soluble and easily assimilated.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Other similarly soluble salts are formed with acetic acid (vinegar) and citric acid (lemon juice).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If the minerals remain in insoluble form they cannot be assimilated.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C"/>
        </w:rPr>
        <w:t>All this is very basic chemistry. It proves doctors are not taught chemistry!</w:t>
      </w:r>
    </w:p>
    <w:sectPr w:rsidR="0045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78"/>
    <w:rsid w:val="002B3DA9"/>
    <w:rsid w:val="003C6ABC"/>
    <w:rsid w:val="00412739"/>
    <w:rsid w:val="00452870"/>
    <w:rsid w:val="00943ECF"/>
    <w:rsid w:val="00C24B98"/>
    <w:rsid w:val="00D94978"/>
    <w:rsid w:val="00F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4371D-BFAF-42EA-AEA0-4D77BD6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12A"/>
  </w:style>
  <w:style w:type="paragraph" w:customStyle="1" w:styleId="p">
    <w:name w:val="p"/>
    <w:basedOn w:val="Normal"/>
    <w:rsid w:val="0045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2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rrettscampaign.org.uk/forum/forum_posts.asp?TID=1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barrettscampaign.org.uk/forum/forum_posts.asp?TID=560" TargetMode="External"/><Relationship Id="rId4" Type="http://schemas.openxmlformats.org/officeDocument/2006/relationships/hyperlink" Target="http://survivingantidepressants.org/index.php?/topic/4361-tips-for-tapering-off-stomach-acid-blockers-or-ppis-esomeprazole-lansoprazole-omeprazo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sunic</dc:creator>
  <cp:keywords/>
  <dc:description/>
  <cp:lastModifiedBy>eugen sunic</cp:lastModifiedBy>
  <cp:revision>6</cp:revision>
  <dcterms:created xsi:type="dcterms:W3CDTF">2016-07-28T21:33:00Z</dcterms:created>
  <dcterms:modified xsi:type="dcterms:W3CDTF">2017-02-01T09:35:00Z</dcterms:modified>
</cp:coreProperties>
</file>