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8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rPr>
          <w:i/>
          <w:iCs/>
        </w:rPr>
        <w:t xml:space="preserve">Дициплина: Опреационные системы</w:t>
      </w:r>
    </w:p>
    <w:p>
      <w:pPr>
        <w:pStyle w:val="Author"/>
      </w:pPr>
      <w:r>
        <w:t xml:space="preserve">Долгаев Евгений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Выполнить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Выполнить основные команды меню левой (или правой) панели. Оценить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выполнить: просмотр содержимого текстового файла; редактирование содержимого текстового файла (без сохранения результатов редактирования); создание каталога; копирование в файлов в созданный каталог.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осуществить: поиск в файловой системе файла с заданными условиями (например, файла с расширением .c или .cpp, содержащего строку main); выбор и повторение одной из предыдущих команд; переход в домашний каталог; анализ файла меню и файла расширений.</w:t>
      </w:r>
    </w:p>
    <w:p>
      <w:pPr>
        <w:pStyle w:val="Compact"/>
        <w:numPr>
          <w:ilvl w:val="0"/>
          <w:numId w:val="1001"/>
        </w:numPr>
      </w:pPr>
      <w:r>
        <w:t xml:space="preserve">Вызвать подменю Настройки . Освоить операции, определяющие структуру экрана mc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2"/>
        </w:numPr>
      </w:pPr>
      <w:r>
        <w:t xml:space="preserve">Создать текстовой файл text.txt.</w:t>
      </w:r>
    </w:p>
    <w:p>
      <w:pPr>
        <w:pStyle w:val="Compact"/>
        <w:numPr>
          <w:ilvl w:val="0"/>
          <w:numId w:val="1002"/>
        </w:numPr>
      </w:pPr>
      <w:r>
        <w:t xml:space="preserve">Открыть этот файл с помощью встроенного в mc редактора.</w:t>
      </w:r>
    </w:p>
    <w:p>
      <w:pPr>
        <w:pStyle w:val="Compact"/>
        <w:numPr>
          <w:ilvl w:val="0"/>
          <w:numId w:val="1002"/>
        </w:numPr>
      </w:pPr>
      <w:r>
        <w:t xml:space="preserve">Вставить в открытый файл небольшой фрагмент текста.</w:t>
      </w:r>
    </w:p>
    <w:p>
      <w:pPr>
        <w:pStyle w:val="Compact"/>
        <w:numPr>
          <w:ilvl w:val="0"/>
          <w:numId w:val="1002"/>
        </w:numPr>
      </w:pPr>
      <w:r>
        <w:t xml:space="preserve">Проделать с текстом следующие манипуляции, используя горячие клавиши:</w:t>
      </w:r>
    </w:p>
    <w:p>
      <w:pPr>
        <w:pStyle w:val="Compact"/>
        <w:numPr>
          <w:ilvl w:val="0"/>
          <w:numId w:val="1002"/>
        </w:numPr>
      </w:pPr>
      <w:r>
        <w:t xml:space="preserve">Удалить строку текста.</w:t>
      </w:r>
    </w:p>
    <w:p>
      <w:pPr>
        <w:pStyle w:val="Compact"/>
        <w:numPr>
          <w:ilvl w:val="0"/>
          <w:numId w:val="1002"/>
        </w:numPr>
      </w:pPr>
      <w:r>
        <w:t xml:space="preserve">Выделить фрагмент текста и скопировать его на новую строку.</w:t>
      </w:r>
    </w:p>
    <w:p>
      <w:pPr>
        <w:pStyle w:val="Compact"/>
        <w:numPr>
          <w:ilvl w:val="0"/>
          <w:numId w:val="1002"/>
        </w:numPr>
      </w:pPr>
      <w:r>
        <w:t xml:space="preserve">Выделить фрагмент текста и перенести его на новую строку.</w:t>
      </w:r>
    </w:p>
    <w:p>
      <w:pPr>
        <w:pStyle w:val="Compact"/>
        <w:numPr>
          <w:ilvl w:val="0"/>
          <w:numId w:val="1002"/>
        </w:numPr>
      </w:pPr>
      <w:r>
        <w:t xml:space="preserve">Сохранить файл.</w:t>
      </w:r>
    </w:p>
    <w:p>
      <w:pPr>
        <w:pStyle w:val="Compact"/>
        <w:numPr>
          <w:ilvl w:val="0"/>
          <w:numId w:val="1002"/>
        </w:numPr>
      </w:pPr>
      <w:r>
        <w:t xml:space="preserve">Отменить последнее действие.</w:t>
      </w:r>
    </w:p>
    <w:p>
      <w:pPr>
        <w:pStyle w:val="Compact"/>
        <w:numPr>
          <w:ilvl w:val="0"/>
          <w:numId w:val="1002"/>
        </w:numPr>
      </w:pPr>
      <w:r>
        <w:t xml:space="preserve">Перейти в конец файла (нажав комбинацию клавиш) и напишите некоторый текст.</w:t>
      </w:r>
    </w:p>
    <w:p>
      <w:pPr>
        <w:pStyle w:val="Compact"/>
        <w:numPr>
          <w:ilvl w:val="0"/>
          <w:numId w:val="1002"/>
        </w:numPr>
      </w:pPr>
      <w:r>
        <w:t xml:space="preserve">Перейти в начало файла (нажав комбинацию клавиш) и напишите некоторый текст.</w:t>
      </w:r>
    </w:p>
    <w:p>
      <w:pPr>
        <w:pStyle w:val="Compact"/>
        <w:numPr>
          <w:ilvl w:val="0"/>
          <w:numId w:val="1002"/>
        </w:numPr>
      </w:pPr>
      <w:r>
        <w:t xml:space="preserve">Сохранить и закрыть файл.</w:t>
      </w:r>
    </w:p>
    <w:bookmarkEnd w:id="22"/>
    <w:bookmarkEnd w:id="23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Выведем информацию о mc с помощбю команды man (рис. 1).</w:t>
      </w:r>
    </w:p>
    <w:bookmarkStart w:id="27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Информация о mc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mc</w:t>
      </w:r>
    </w:p>
    <w:bookmarkEnd w:id="27"/>
    <w:p>
      <w:pPr>
        <w:pStyle w:val="BodyText"/>
      </w:pPr>
      <w:r>
        <w:t xml:space="preserve">На следующих картинках вы можете у видеть результат работы некоторых горячих клавич в mc (рис. 2, 3, 4, 5, 6).</w:t>
      </w:r>
    </w:p>
    <w:bookmarkStart w:id="31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Горячие клавиши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Горячие клавиши</w:t>
      </w:r>
    </w:p>
    <w:bookmarkEnd w:id="31"/>
    <w:bookmarkStart w:id="35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Горячие клавиши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Горячие клавиши</w:t>
      </w:r>
    </w:p>
    <w:bookmarkEnd w:id="35"/>
    <w:bookmarkStart w:id="39" w:name="fig:004"/>
    <w:p>
      <w:pPr>
        <w:pStyle w:val="CaptionedFigure"/>
      </w:pPr>
      <w:r>
        <w:drawing>
          <wp:inline>
            <wp:extent cx="3733800" cy="2310576"/>
            <wp:effectExtent b="0" l="0" r="0" t="0"/>
            <wp:docPr descr="Рис. 4: Горячие клавиши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Горячие клавиши</w:t>
      </w:r>
    </w:p>
    <w:bookmarkEnd w:id="39"/>
    <w:bookmarkStart w:id="43" w:name="fig:005"/>
    <w:p>
      <w:pPr>
        <w:pStyle w:val="CaptionedFigure"/>
      </w:pPr>
      <w:r>
        <w:drawing>
          <wp:inline>
            <wp:extent cx="3733800" cy="2310576"/>
            <wp:effectExtent b="0" l="0" r="0" t="0"/>
            <wp:docPr descr="Рис. 5: Горячие клавиши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Горячие клавиши</w:t>
      </w:r>
    </w:p>
    <w:bookmarkEnd w:id="43"/>
    <w:bookmarkStart w:id="47" w:name="fig:006"/>
    <w:p>
      <w:pPr>
        <w:pStyle w:val="CaptionedFigure"/>
      </w:pPr>
      <w:r>
        <w:drawing>
          <wp:inline>
            <wp:extent cx="3733800" cy="1182037"/>
            <wp:effectExtent b="0" l="0" r="0" t="0"/>
            <wp:docPr descr="Рис. 6: Горячие клавиши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Горячие клавиши</w:t>
      </w:r>
    </w:p>
    <w:bookmarkEnd w:id="47"/>
    <w:p>
      <w:pPr>
        <w:pStyle w:val="BodyText"/>
      </w:pPr>
      <w:r>
        <w:t xml:space="preserve">Ниже показаны режимы работы левой и правой панели в mc (рис. 7, 8, 9, 10).</w:t>
      </w:r>
    </w:p>
    <w:bookmarkStart w:id="51" w:name="fig:007"/>
    <w:p>
      <w:pPr>
        <w:pStyle w:val="CaptionedFigure"/>
      </w:pPr>
      <w:r>
        <w:drawing>
          <wp:inline>
            <wp:extent cx="3733800" cy="2854066"/>
            <wp:effectExtent b="0" l="0" r="0" t="0"/>
            <wp:docPr descr="Рис. 7: Левая и правая панель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Левая и правая панель</w:t>
      </w:r>
    </w:p>
    <w:bookmarkEnd w:id="51"/>
    <w:bookmarkStart w:id="55" w:name="fig:008"/>
    <w:p>
      <w:pPr>
        <w:pStyle w:val="CaptionedFigure"/>
      </w:pPr>
      <w:r>
        <w:drawing>
          <wp:inline>
            <wp:extent cx="3733800" cy="2854066"/>
            <wp:effectExtent b="0" l="0" r="0" t="0"/>
            <wp:docPr descr="Рис. 8: Левая и правая панель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Левая и правая панель</w:t>
      </w:r>
    </w:p>
    <w:bookmarkEnd w:id="55"/>
    <w:bookmarkStart w:id="59" w:name="fig:009"/>
    <w:p>
      <w:pPr>
        <w:pStyle w:val="CaptionedFigure"/>
      </w:pPr>
      <w:r>
        <w:drawing>
          <wp:inline>
            <wp:extent cx="3733800" cy="2854066"/>
            <wp:effectExtent b="0" l="0" r="0" t="0"/>
            <wp:docPr descr="Рис. 9: Левая и правая панель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Левая и правая панель</w:t>
      </w:r>
    </w:p>
    <w:bookmarkEnd w:id="59"/>
    <w:bookmarkStart w:id="63" w:name="fig:010"/>
    <w:p>
      <w:pPr>
        <w:pStyle w:val="CaptionedFigure"/>
      </w:pPr>
      <w:r>
        <w:drawing>
          <wp:inline>
            <wp:extent cx="3733800" cy="2854066"/>
            <wp:effectExtent b="0" l="0" r="0" t="0"/>
            <wp:docPr descr="Рис. 10: Левая и правая панель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Левая и правая панель</w:t>
      </w:r>
    </w:p>
    <w:bookmarkEnd w:id="63"/>
    <w:p>
      <w:pPr>
        <w:pStyle w:val="BodyText"/>
      </w:pPr>
      <w:r>
        <w:t xml:space="preserve">Больше всего информации о файле или каталоге можно узнать в режиме</w:t>
      </w:r>
      <w:r>
        <w:t xml:space="preserve"> </w:t>
      </w:r>
      <w:r>
        <w:t xml:space="preserve">“Информация”</w:t>
      </w:r>
    </w:p>
    <w:p>
      <w:pPr>
        <w:pStyle w:val="BodyText"/>
      </w:pPr>
      <w:r>
        <w:t xml:space="preserve">Далее показаны возможности под меню Файл и подменю Команда (рис. 11, 12, 13, 14, 15)</w:t>
      </w:r>
    </w:p>
    <w:bookmarkStart w:id="67" w:name="fig:011"/>
    <w:p>
      <w:pPr>
        <w:pStyle w:val="CaptionedFigure"/>
      </w:pPr>
      <w:r>
        <w:drawing>
          <wp:inline>
            <wp:extent cx="3733800" cy="2854066"/>
            <wp:effectExtent b="0" l="0" r="0" t="0"/>
            <wp:docPr descr="Рис. 11: Подменю Файл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Подменю Файл</w:t>
      </w:r>
    </w:p>
    <w:bookmarkEnd w:id="67"/>
    <w:bookmarkStart w:id="71" w:name="fig:012"/>
    <w:p>
      <w:pPr>
        <w:pStyle w:val="CaptionedFigure"/>
      </w:pPr>
      <w:r>
        <w:drawing>
          <wp:inline>
            <wp:extent cx="3733800" cy="1514040"/>
            <wp:effectExtent b="0" l="0" r="0" t="0"/>
            <wp:docPr descr="Рис. 12: Подменю Файл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Подменю Файл</w:t>
      </w:r>
    </w:p>
    <w:bookmarkEnd w:id="71"/>
    <w:bookmarkStart w:id="75" w:name="fig:013"/>
    <w:p>
      <w:pPr>
        <w:pStyle w:val="CaptionedFigure"/>
      </w:pPr>
      <w:r>
        <w:drawing>
          <wp:inline>
            <wp:extent cx="3733800" cy="527077"/>
            <wp:effectExtent b="0" l="0" r="0" t="0"/>
            <wp:docPr descr="Рис. 13: Подменю Файл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Подменю Файл</w:t>
      </w:r>
    </w:p>
    <w:bookmarkEnd w:id="75"/>
    <w:bookmarkStart w:id="79" w:name="fig:014"/>
    <w:p>
      <w:pPr>
        <w:pStyle w:val="CaptionedFigure"/>
      </w:pPr>
      <w:r>
        <w:drawing>
          <wp:inline>
            <wp:extent cx="3733800" cy="1838490"/>
            <wp:effectExtent b="0" l="0" r="0" t="0"/>
            <wp:docPr descr="Рис. 14: Подменю Команд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Подменю Команда</w:t>
      </w:r>
    </w:p>
    <w:bookmarkEnd w:id="79"/>
    <w:bookmarkStart w:id="83" w:name="fig:015"/>
    <w:p>
      <w:pPr>
        <w:pStyle w:val="CaptionedFigure"/>
      </w:pPr>
      <w:r>
        <w:drawing>
          <wp:inline>
            <wp:extent cx="3733800" cy="292604"/>
            <wp:effectExtent b="0" l="0" r="0" t="0"/>
            <wp:docPr descr="Рис. 15: Подменю Команд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Подменю Команда</w:t>
      </w:r>
    </w:p>
    <w:bookmarkEnd w:id="83"/>
    <w:p>
      <w:pPr>
        <w:pStyle w:val="BodyText"/>
      </w:pPr>
      <w:r>
        <w:t xml:space="preserve">В mc также можно настроить внешний вид окна в подменю Найстройки (рис. 16, 16).</w:t>
      </w:r>
    </w:p>
    <w:bookmarkStart w:id="87" w:name="fig:016"/>
    <w:p>
      <w:pPr>
        <w:pStyle w:val="CaptionedFigure"/>
      </w:pPr>
      <w:r>
        <w:drawing>
          <wp:inline>
            <wp:extent cx="3733800" cy="2423406"/>
            <wp:effectExtent b="0" l="0" r="0" t="0"/>
            <wp:docPr descr="Рис. 16: Подменю Настройки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Подменю Настройки</w:t>
      </w:r>
    </w:p>
    <w:bookmarkEnd w:id="87"/>
    <w:bookmarkStart w:id="91" w:name="fig:017"/>
    <w:p>
      <w:pPr>
        <w:pStyle w:val="CaptionedFigure"/>
      </w:pPr>
      <w:r>
        <w:drawing>
          <wp:inline>
            <wp:extent cx="3733800" cy="1743116"/>
            <wp:effectExtent b="0" l="0" r="0" t="0"/>
            <wp:docPr descr="Рис. 17: Подменю Настройки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Подменю Настройки</w:t>
      </w:r>
    </w:p>
    <w:bookmarkEnd w:id="91"/>
    <w:p>
      <w:pPr>
        <w:pStyle w:val="BodyText"/>
      </w:pPr>
      <w:r>
        <w:t xml:space="preserve">Перейдем к выполнению заданий в текстовом редакторе mc. Результаты их выполнения представлены ниже (рис. 18, 19, 20, 21, 22, 23, 24,)</w:t>
      </w:r>
    </w:p>
    <w:bookmarkStart w:id="95" w:name="fig:018"/>
    <w:p>
      <w:pPr>
        <w:pStyle w:val="CaptionedFigure"/>
      </w:pPr>
      <w:r>
        <w:drawing>
          <wp:inline>
            <wp:extent cx="3441700" cy="952500"/>
            <wp:effectExtent b="0" l="0" r="0" t="0"/>
            <wp:docPr descr="Рис. 18: Текстовый редактор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Текстовый редактор</w:t>
      </w:r>
    </w:p>
    <w:bookmarkEnd w:id="95"/>
    <w:bookmarkStart w:id="99" w:name="fig:019"/>
    <w:p>
      <w:pPr>
        <w:pStyle w:val="CaptionedFigure"/>
      </w:pPr>
      <w:r>
        <w:drawing>
          <wp:inline>
            <wp:extent cx="3733800" cy="375398"/>
            <wp:effectExtent b="0" l="0" r="0" t="0"/>
            <wp:docPr descr="Рис. 19: Текстовый редактор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Текстовый редактор</w:t>
      </w:r>
    </w:p>
    <w:bookmarkEnd w:id="99"/>
    <w:bookmarkStart w:id="103" w:name="fig:020"/>
    <w:p>
      <w:pPr>
        <w:pStyle w:val="CaptionedFigure"/>
      </w:pPr>
      <w:r>
        <w:drawing>
          <wp:inline>
            <wp:extent cx="3733800" cy="375398"/>
            <wp:effectExtent b="0" l="0" r="0" t="0"/>
            <wp:docPr descr="Рис. 20: Текстовый редактор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Текстовый редактор</w:t>
      </w:r>
    </w:p>
    <w:bookmarkEnd w:id="103"/>
    <w:bookmarkStart w:id="107" w:name="fig:021"/>
    <w:p>
      <w:pPr>
        <w:pStyle w:val="CaptionedFigure"/>
      </w:pPr>
      <w:r>
        <w:drawing>
          <wp:inline>
            <wp:extent cx="3733800" cy="375398"/>
            <wp:effectExtent b="0" l="0" r="0" t="0"/>
            <wp:docPr descr="Рис. 21: Текстовый редактор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Текстовый редактор</w:t>
      </w:r>
    </w:p>
    <w:bookmarkEnd w:id="107"/>
    <w:bookmarkStart w:id="111" w:name="fig:022"/>
    <w:p>
      <w:pPr>
        <w:pStyle w:val="CaptionedFigure"/>
      </w:pPr>
      <w:r>
        <w:drawing>
          <wp:inline>
            <wp:extent cx="3733800" cy="375398"/>
            <wp:effectExtent b="0" l="0" r="0" t="0"/>
            <wp:docPr descr="Рис. 22: Текстовый редактор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Текстовый редактор</w:t>
      </w:r>
    </w:p>
    <w:bookmarkEnd w:id="111"/>
    <w:bookmarkStart w:id="115" w:name="fig:023"/>
    <w:p>
      <w:pPr>
        <w:pStyle w:val="CaptionedFigure"/>
      </w:pPr>
      <w:r>
        <w:drawing>
          <wp:inline>
            <wp:extent cx="3733800" cy="375398"/>
            <wp:effectExtent b="0" l="0" r="0" t="0"/>
            <wp:docPr descr="Рис. 23: Текстовый редактор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Текстовый редактор</w:t>
      </w:r>
    </w:p>
    <w:bookmarkEnd w:id="115"/>
    <w:bookmarkStart w:id="119" w:name="fig:024"/>
    <w:p>
      <w:pPr>
        <w:pStyle w:val="CaptionedFigure"/>
      </w:pPr>
      <w:r>
        <w:drawing>
          <wp:inline>
            <wp:extent cx="3733800" cy="435946"/>
            <wp:effectExtent b="0" l="0" r="0" t="0"/>
            <wp:docPr descr="Рис. 24: Текстовый редактор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Текстовый редактор</w:t>
      </w:r>
    </w:p>
    <w:bookmarkEnd w:id="119"/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лаборатной работы я освоил основные возможности командной оболочки Midnight Commander и приобрел навыки практической работы по просмотру каталогов и файлов; манипуляций с ними.</w:t>
      </w:r>
    </w:p>
    <w:bookmarkEnd w:id="121"/>
    <w:bookmarkStart w:id="123" w:name="список-литературы"/>
    <w:p>
      <w:pPr>
        <w:pStyle w:val="Heading1"/>
      </w:pPr>
      <w:r>
        <w:t xml:space="preserve">Список литературы</w:t>
      </w:r>
    </w:p>
    <w:bookmarkStart w:id="122" w:name="refs"/>
    <w:bookmarkEnd w:id="122"/>
    <w:bookmarkEnd w:id="12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Долгаев Евгений НММбд-01-24</dc:creator>
  <dc:language>ru-RU</dc:language>
  <cp:keywords/>
  <dcterms:created xsi:type="dcterms:W3CDTF">2025-04-12T18:32:21Z</dcterms:created>
  <dcterms:modified xsi:type="dcterms:W3CDTF">2025-04-12T18:32:21Z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Дициплина: Опреационные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