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Личный гайд: как работает рекомендатель и как его защитить</w:t>
      </w:r>
    </w:p>
    <w:p>
      <w:pPr>
        <w:pStyle w:val="Heading1"/>
      </w:pPr>
      <w:r>
        <w:t>Содержание</w:t>
      </w:r>
    </w:p>
    <w:p>
      <w:pPr>
        <w:spacing w:after="40"/>
        <w:ind w:left="0"/>
      </w:pPr>
      <w:hyperlink w:anchor="section_4">
        <w:r>
          <w:rPr>
            <w:color w:val="226655"/>
            <w:u w:val="single"/>
          </w:rPr>
          <w:t xml:space="preserve">1. Что нужно получить и кому это полезно</w:t>
        </w:r>
      </w:hyperlink>
    </w:p>
    <w:p>
      <w:pPr>
        <w:spacing w:after="40"/>
        <w:ind w:left="0"/>
      </w:pPr>
      <w:hyperlink w:anchor="section_10">
        <w:r>
          <w:rPr>
            <w:color w:val="226655"/>
            <w:u w:val="single"/>
          </w:rPr>
          <w:t xml:space="preserve">2. Откуда берётся исходный факт</w:t>
        </w:r>
      </w:hyperlink>
    </w:p>
    <w:p>
      <w:pPr>
        <w:spacing w:after="40"/>
        <w:ind w:left="0"/>
      </w:pPr>
      <w:hyperlink w:anchor="section_17">
        <w:r>
          <w:rPr>
            <w:color w:val="226655"/>
            <w:u w:val="single"/>
          </w:rPr>
          <w:t xml:space="preserve">3. Как фраза становится кластером и историей товара</w:t>
        </w:r>
      </w:hyperlink>
    </w:p>
    <w:p>
      <w:pPr>
        <w:spacing w:after="40"/>
        <w:ind w:left="0"/>
      </w:pPr>
      <w:hyperlink w:anchor="section_24">
        <w:r>
          <w:rPr>
            <w:color w:val="226655"/>
            <w:u w:val="single"/>
          </w:rPr>
          <w:t xml:space="preserve">4. Как из словаря получается пул кандидатов</w:t>
        </w:r>
      </w:hyperlink>
    </w:p>
    <w:p>
      <w:pPr>
        <w:spacing w:after="40"/>
        <w:ind w:left="0"/>
      </w:pPr>
      <w:hyperlink w:anchor="section_36">
        <w:r>
          <w:rPr>
            <w:color w:val="226655"/>
            <w:u w:val="single"/>
          </w:rPr>
          <w:t xml:space="preserve">5. Почему нужны разные модели и что они учат</w:t>
        </w:r>
      </w:hyperlink>
    </w:p>
    <w:p>
      <w:pPr>
        <w:spacing w:after="40"/>
        <w:ind w:left="283"/>
      </w:pPr>
      <w:hyperlink w:anchor="section_39">
        <w:r>
          <w:rPr>
            <w:color w:val="226655"/>
            <w:u w:val="single"/>
          </w:rPr>
          <w:t xml:space="preserve">TF-IDF: контроль по похожим буквам</w:t>
        </w:r>
      </w:hyperlink>
    </w:p>
    <w:p>
      <w:pPr>
        <w:spacing w:after="40"/>
        <w:ind w:left="283"/>
      </w:pPr>
      <w:hyperlink w:anchor="section_42">
        <w:r>
          <w:rPr>
            <w:color w:val="226655"/>
            <w:u w:val="single"/>
          </w:rPr>
          <w:t xml:space="preserve">E5: готовая смысловая карта</w:t>
        </w:r>
      </w:hyperlink>
    </w:p>
    <w:p>
      <w:pPr>
        <w:spacing w:after="40"/>
        <w:ind w:left="283"/>
      </w:pPr>
      <w:hyperlink w:anchor="section_46">
        <w:r>
          <w:rPr>
            <w:color w:val="226655"/>
            <w:u w:val="single"/>
          </w:rPr>
          <w:t xml:space="preserve">Co-sales: перенос наблюдаемого поведения</w:t>
        </w:r>
      </w:hyperlink>
    </w:p>
    <w:p>
      <w:pPr>
        <w:spacing w:after="40"/>
        <w:ind w:left="283"/>
      </w:pPr>
      <w:hyperlink w:anchor="section_49">
        <w:r>
          <w:rPr>
            <w:color w:val="226655"/>
            <w:u w:val="single"/>
          </w:rPr>
          <w:t xml:space="preserve">Адаптер: подстроить смысловую карту, не переписывая E5</w:t>
        </w:r>
      </w:hyperlink>
    </w:p>
    <w:p>
      <w:pPr>
        <w:spacing w:after="40"/>
        <w:ind w:left="283"/>
      </w:pPr>
      <w:hyperlink w:anchor="section_57">
        <w:r>
          <w:rPr>
            <w:color w:val="226655"/>
            <w:u w:val="single"/>
          </w:rPr>
          <w:t xml:space="preserve">LightGCN: учить близость по графу продаж</w:t>
        </w:r>
      </w:hyperlink>
    </w:p>
    <w:p>
      <w:pPr>
        <w:spacing w:after="40"/>
        <w:ind w:left="283"/>
      </w:pPr>
      <w:hyperlink w:anchor="section_63">
        <w:r>
          <w:rPr>
            <w:color w:val="226655"/>
            <w:u w:val="single"/>
          </w:rPr>
          <w:t xml:space="preserve">CatBoost: учить порядок по готовым признакам</w:t>
        </w:r>
      </w:hyperlink>
    </w:p>
    <w:p>
      <w:pPr>
        <w:spacing w:after="40"/>
        <w:ind w:left="0"/>
      </w:pPr>
      <w:hyperlink w:anchor="section_71">
        <w:r>
          <w:rPr>
            <w:color w:val="226655"/>
            <w:u w:val="single"/>
          </w:rPr>
          <w:t xml:space="preserve">6. Как разные оценки становятся одним списком</w:t>
        </w:r>
      </w:hyperlink>
    </w:p>
    <w:p>
      <w:pPr>
        <w:spacing w:after="40"/>
        <w:ind w:left="0"/>
      </w:pPr>
      <w:hyperlink w:anchor="section_80">
        <w:r>
          <w:rPr>
            <w:color w:val="226655"/>
            <w:u w:val="single"/>
          </w:rPr>
          <w:t xml:space="preserve">7. Что измеряет эксперимент</w:t>
        </w:r>
      </w:hyperlink>
    </w:p>
    <w:p>
      <w:pPr>
        <w:spacing w:after="40"/>
        <w:ind w:left="0"/>
      </w:pPr>
      <w:hyperlink w:anchor="section_89">
        <w:r>
          <w:rPr>
            <w:color w:val="226655"/>
            <w:u w:val="single"/>
          </w:rPr>
          <w:t xml:space="preserve">8. Метрики: считаем на нашей учебной бутылке</w:t>
        </w:r>
      </w:hyperlink>
    </w:p>
    <w:p>
      <w:pPr>
        <w:spacing w:after="40"/>
        <w:ind w:left="283"/>
      </w:pPr>
      <w:hyperlink w:anchor="section_100">
        <w:r>
          <w:rPr>
            <w:color w:val="226655"/>
            <w:u w:val="single"/>
          </w:rPr>
          <w:t xml:space="preserve">Macro: каждый товар имеет одинаковый голос</w:t>
        </w:r>
      </w:hyperlink>
    </w:p>
    <w:p>
      <w:pPr>
        <w:spacing w:after="40"/>
        <w:ind w:left="283"/>
      </w:pPr>
      <w:hyperlink w:anchor="section_104">
        <w:r>
          <w:rPr>
            <w:color w:val="226655"/>
            <w:u w:val="single"/>
          </w:rPr>
          <w:t xml:space="preserve">Дополнительные показатели и интервалы</w:t>
        </w:r>
      </w:hyperlink>
    </w:p>
    <w:p>
      <w:pPr>
        <w:spacing w:after="40"/>
        <w:ind w:left="0"/>
      </w:pPr>
      <w:hyperlink w:anchor="section_109">
        <w:r>
          <w:rPr>
            <w:color w:val="226655"/>
            <w:u w:val="single"/>
          </w:rPr>
          <w:t xml:space="preserve">9. От проверки к refit, правилам и CSV</w:t>
        </w:r>
      </w:hyperlink>
    </w:p>
    <w:p>
      <w:pPr>
        <w:spacing w:after="40"/>
        <w:ind w:left="0"/>
      </w:pPr>
      <w:hyperlink w:anchor="section_122">
        <w:r>
          <w:rPr>
            <w:color w:val="226655"/>
            <w:u w:val="single"/>
          </w:rPr>
          <w:t xml:space="preserve">10. Реальные результаты и их практическое чтение</w:t>
        </w:r>
      </w:hyperlink>
    </w:p>
    <w:p>
      <w:pPr>
        <w:spacing w:after="40"/>
        <w:ind w:left="283"/>
      </w:pPr>
      <w:hyperlink w:anchor="section_129">
        <w:r>
          <w:rPr>
            <w:color w:val="226655"/>
            <w:u w:val="single"/>
          </w:rPr>
          <w:t xml:space="preserve">Доказанный вклад обученных каналов на одном пуле</w:t>
        </w:r>
      </w:hyperlink>
    </w:p>
    <w:p>
      <w:pPr>
        <w:spacing w:after="40"/>
        <w:ind w:left="283"/>
      </w:pPr>
      <w:hyperlink w:anchor="section_134">
        <w:r>
          <w:rPr>
            <w:color w:val="226655"/>
            <w:u w:val="single"/>
          </w:rPr>
          <w:t xml:space="preserve">Где теряются будущие продающие связи</w:t>
        </w:r>
      </w:hyperlink>
    </w:p>
    <w:p>
      <w:pPr>
        <w:spacing w:after="40"/>
        <w:ind w:left="283"/>
      </w:pPr>
      <w:hyperlink w:anchor="section_138">
        <w:r>
          <w:rPr>
            <w:color w:val="226655"/>
            <w:u w:val="single"/>
          </w:rPr>
          <w:t xml:space="preserve">Стресс сохранённого ранжирования</w:t>
        </w:r>
      </w:hyperlink>
    </w:p>
    <w:p>
      <w:pPr>
        <w:spacing w:after="40"/>
        <w:ind w:left="283"/>
      </w:pPr>
      <w:hyperlink w:anchor="section_142">
        <w:r>
          <w:rPr>
            <w:color w:val="226655"/>
            <w:u w:val="single"/>
          </w:rPr>
          <w:t xml:space="preserve">Что уже можно использовать в бизнесе</w:t>
        </w:r>
      </w:hyperlink>
    </w:p>
    <w:p>
      <w:pPr>
        <w:spacing w:after="40"/>
        <w:ind w:left="0"/>
      </w:pPr>
      <w:hyperlink w:anchor="section_145">
        <w:r>
          <w:rPr>
            <w:color w:val="226655"/>
            <w:u w:val="single"/>
          </w:rPr>
          <w:t xml:space="preserve">11. Карта папок, модулей и интерфейсов</w:t>
        </w:r>
      </w:hyperlink>
    </w:p>
    <w:p>
      <w:pPr>
        <w:spacing w:after="40"/>
        <w:ind w:left="0"/>
      </w:pPr>
      <w:hyperlink w:anchor="section_152">
        <w:r>
          <w:rPr>
            <w:color w:val="226655"/>
            <w:u w:val="single"/>
          </w:rPr>
          <w:t xml:space="preserve">12. Запуск: от готовых документов до нового опыта</w:t>
        </w:r>
      </w:hyperlink>
    </w:p>
    <w:p>
      <w:pPr>
        <w:spacing w:after="40"/>
        <w:ind w:left="283"/>
      </w:pPr>
      <w:hyperlink w:anchor="section_154">
        <w:r>
          <w:rPr>
            <w:color w:val="226655"/>
            <w:u w:val="single"/>
          </w:rPr>
          <w:t xml:space="preserve">Открыть или пересобрать материалы защиты</w:t>
        </w:r>
      </w:hyperlink>
    </w:p>
    <w:p>
      <w:pPr>
        <w:spacing w:after="40"/>
        <w:ind w:left="283"/>
      </w:pPr>
      <w:hyperlink w:anchor="section_161">
        <w:r>
          <w:rPr>
            <w:color w:val="226655"/>
            <w:u w:val="single"/>
          </w:rPr>
          <w:t xml:space="preserve">Показать сохранённую очередь</w:t>
        </w:r>
      </w:hyperlink>
    </w:p>
    <w:p>
      <w:pPr>
        <w:spacing w:after="40"/>
        <w:ind w:left="283"/>
      </w:pPr>
      <w:hyperlink w:anchor="section_165">
        <w:r>
          <w:rPr>
            <w:color w:val="226655"/>
            <w:u w:val="single"/>
          </w:rPr>
          <w:t xml:space="preserve">Сверить сохранённый эксперимент</w:t>
        </w:r>
      </w:hyperlink>
    </w:p>
    <w:p>
      <w:pPr>
        <w:spacing w:after="40"/>
        <w:ind w:left="283"/>
      </w:pPr>
      <w:hyperlink w:anchor="section_168">
        <w:r>
          <w:rPr>
            <w:color w:val="226655"/>
            <w:u w:val="single"/>
          </w:rPr>
          <w:t xml:space="preserve">Запустить весь обучающий контур</w:t>
        </w:r>
      </w:hyperlink>
    </w:p>
    <w:p>
      <w:pPr>
        <w:spacing w:after="40"/>
        <w:ind w:left="283"/>
      </w:pPr>
      <w:hyperlink w:anchor="section_172">
        <w:r>
          <w:rPr>
            <w:color w:val="226655"/>
            <w:u w:val="single"/>
          </w:rPr>
          <w:t xml:space="preserve">Подготовить свежие входы</w:t>
        </w:r>
      </w:hyperlink>
    </w:p>
    <w:p>
      <w:pPr>
        <w:spacing w:after="40"/>
        <w:ind w:left="283"/>
      </w:pPr>
      <w:hyperlink w:anchor="section_177">
        <w:r>
          <w:rPr>
            <w:color w:val="226655"/>
            <w:u w:val="single"/>
          </w:rPr>
          <w:t xml:space="preserve">Повторить стресс без обучения</w:t>
        </w:r>
      </w:hyperlink>
    </w:p>
    <w:p>
      <w:pPr>
        <w:spacing w:after="40"/>
        <w:ind w:left="0"/>
      </w:pPr>
      <w:hyperlink w:anchor="section_180">
        <w:r>
          <w:rPr>
            <w:color w:val="226655"/>
            <w:u w:val="single"/>
          </w:rPr>
          <w:t xml:space="preserve">13. Параметры, время работы и переобучение</w:t>
        </w:r>
      </w:hyperlink>
    </w:p>
    <w:p>
      <w:pPr>
        <w:spacing w:after="40"/>
        <w:ind w:left="283"/>
      </w:pPr>
      <w:hyperlink w:anchor="section_181">
        <w:r>
          <w:rPr>
            <w:color w:val="226655"/>
            <w:u w:val="single"/>
          </w:rPr>
          <w:t xml:space="preserve">Какие настройки закреплены</w:t>
        </w:r>
      </w:hyperlink>
    </w:p>
    <w:p>
      <w:pPr>
        <w:spacing w:after="40"/>
        <w:ind w:left="283"/>
      </w:pPr>
      <w:hyperlink w:anchor="section_184">
        <w:r>
          <w:rPr>
            <w:color w:val="226655"/>
            <w:u w:val="single"/>
          </w:rPr>
          <w:t xml:space="preserve">Сколько ждать и какие ресурсы нужны</w:t>
        </w:r>
      </w:hyperlink>
    </w:p>
    <w:p>
      <w:pPr>
        <w:spacing w:after="40"/>
        <w:ind w:left="283"/>
      </w:pPr>
      <w:hyperlink w:anchor="section_188">
        <w:r>
          <w:rPr>
            <w:color w:val="226655"/>
            <w:u w:val="single"/>
          </w:rPr>
          <w:t xml:space="preserve">Когда обновлять модели</w:t>
        </w:r>
      </w:hyperlink>
    </w:p>
    <w:p>
      <w:pPr>
        <w:spacing w:after="40"/>
        <w:ind w:left="0"/>
      </w:pPr>
      <w:hyperlink w:anchor="section_200">
        <w:r>
          <w:rPr>
            <w:color w:val="226655"/>
            <w:u w:val="single"/>
          </w:rPr>
          <w:t xml:space="preserve">14. Если что-то не работает</w:t>
        </w:r>
      </w:hyperlink>
    </w:p>
    <w:p>
      <w:pPr>
        <w:spacing w:after="40"/>
        <w:ind w:left="0"/>
      </w:pPr>
      <w:hyperlink w:anchor="section_205">
        <w:r>
          <w:rPr>
            <w:color w:val="226655"/>
            <w:u w:val="single"/>
          </w:rPr>
          <w:t xml:space="preserve">15. Как уверенно рассказать о проекте</w:t>
        </w:r>
      </w:hyperlink>
    </w:p>
    <w:p>
      <w:pPr>
        <w:spacing w:after="40"/>
        <w:ind w:left="283"/>
      </w:pPr>
      <w:hyperlink w:anchor="section_206">
        <w:r>
          <w:rPr>
            <w:color w:val="226655"/>
            <w:u w:val="single"/>
          </w:rPr>
          <w:t xml:space="preserve">Короткий рассказ</w:t>
        </w:r>
      </w:hyperlink>
    </w:p>
    <w:p>
      <w:pPr>
        <w:spacing w:after="40"/>
        <w:ind w:left="283"/>
      </w:pPr>
      <w:hyperlink w:anchor="section_208">
        <w:r>
          <w:rPr>
            <w:color w:val="226655"/>
            <w:u w:val="single"/>
          </w:rPr>
          <w:t xml:space="preserve">Логика выступления от начала до конца</w:t>
        </w:r>
      </w:hyperlink>
    </w:p>
    <w:p>
      <w:pPr>
        <w:spacing w:after="40"/>
        <w:ind w:left="283"/>
      </w:pPr>
      <w:hyperlink w:anchor="section_215">
        <w:r>
          <w:rPr>
            <w:color w:val="226655"/>
            <w:u w:val="single"/>
          </w:rPr>
          <w:t xml:space="preserve">Вопросы преподавателей и точные ответы</w:t>
        </w:r>
      </w:hyperlink>
    </w:p>
    <w:p>
      <w:pPr>
        <w:spacing w:after="40"/>
        <w:ind w:left="0"/>
      </w:pPr>
      <w:hyperlink w:anchor="section_230">
        <w:r>
          <w:rPr>
            <w:color w:val="226655"/>
            <w:u w:val="single"/>
          </w:rPr>
          <w:t xml:space="preserve">16. Источники, комплект и математическое приложение</w:t>
        </w:r>
      </w:hyperlink>
    </w:p>
    <w:p>
      <w:pPr>
        <w:spacing w:after="40"/>
        <w:ind w:left="283"/>
      </w:pPr>
      <w:hyperlink w:anchor="section_231">
        <w:r>
          <w:rPr>
            <w:color w:val="226655"/>
            <w:u w:val="single"/>
          </w:rPr>
          <w:t xml:space="preserve">Откуда проверять утверждения</w:t>
        </w:r>
      </w:hyperlink>
    </w:p>
    <w:p>
      <w:pPr>
        <w:spacing w:after="40"/>
        <w:ind w:left="283"/>
      </w:pPr>
      <w:hyperlink w:anchor="section_243">
        <w:r>
          <w:rPr>
            <w:color w:val="226655"/>
            <w:u w:val="single"/>
          </w:rPr>
          <w:t xml:space="preserve">Необязательная математика функций потерь</w:t>
        </w:r>
      </w:hyperlink>
    </w:p>
    <w:p>
      <w:pPr/>
      <w:r>
        <w:t xml:space="preserve">Состояние проекта: </w:t>
      </w:r>
      <w:r>
        <w:rPr>
          <w:b/>
        </w:rPr>
        <w:t>11 октября 2026 года</w:t>
      </w:r>
      <w:r>
        <w:t>. Этот документ помогает пройти путь от исходной строки до готовой рекомендации. Он рассчитан на человека, который впервые знакомится с машинным обучением. Официальная записка остаётся отдельным десятираздельным документом.</w:t>
      </w:r>
    </w:p>
    <w:p>
      <w:pPr/>
      <w:r/>
      <w:r>
        <w:rPr>
          <w:b/>
        </w:rPr>
        <w:t>Главный результат:</w:t>
      </w:r>
      <w:r>
        <w:t xml:space="preserve"> создана работоспособная, воспроизводимая гибридная система. Она обучает модели на истории и выдаёт короткую очередь для специалиста. На одинаковом пуле кандидатов обученные каналы подняли Recall@10 — полноту первых десяти предложений — с </w:t>
      </w:r>
      <w:r>
        <w:rPr>
          <w:b/>
        </w:rPr>
        <w:t>19,06% до 22,85%</w:t>
      </w:r>
      <w:r>
        <w:t xml:space="preserve">. Выигрыш составил </w:t>
      </w:r>
      <w:r>
        <w:rPr>
          <w:b/>
        </w:rPr>
        <w:t>+3,79 процентного пункта</w:t>
      </w:r>
      <w:r>
        <w:t xml:space="preserve">, или </w:t>
      </w:r>
      <w:r>
        <w:rPr>
          <w:b/>
        </w:rPr>
        <w:t>+19,89% относительно контроля</w:t>
      </w:r>
      <w:r>
        <w:t xml:space="preserve"> по точным агрегатам. Готовый выпуск содержит </w:t>
      </w:r>
      <w:r>
        <w:rPr>
          <w:b/>
        </w:rPr>
        <w:t>3 530 предложений для 353 товаров</w:t>
      </w:r>
      <w:r>
        <w:t>.</w:t>
      </w:r>
    </w:p>
    <w:p>
      <w:pPr/>
      <w:r>
        <w:t xml:space="preserve">Сначала прочитайте разделы 1–11. Затем используйте команды и вопросы для защиты. Все учебные товары, фразы, позиции и оценки в сквозном примере </w:t>
      </w:r>
      <w:r>
        <w:rPr>
          <w:b/>
        </w:rPr>
        <w:t>вымышлены</w:t>
      </w:r>
      <w:r>
        <w:t>. Реальные числа проекта собраны отдельно в разделе 10.</w:t>
      </w:r>
    </w:p>
    <w:p>
      <w:pPr>
        <w:pStyle w:val="Heading1"/>
      </w:pPr>
      <w:bookmarkStart w:id="4" w:name="section_4"/>
      <w:r>
        <w:t>1. Что нужно получить и кому это полезно</w:t>
      </w:r>
      <w:bookmarkEnd w:id="4"/>
    </w:p>
    <w:p>
      <w:pPr/>
      <w:r/>
      <w:r>
        <w:rPr>
          <w:rFonts w:ascii="Courier New" w:hAnsi="Courier New"/>
        </w:rPr>
        <w:t>SKU</w:t>
      </w:r>
      <w:r>
        <w:t xml:space="preserve"> — идентификатор одной товарной позиции. В нашем учебном примере это бутылка для воды из нержавеющей стали, объёмом 500 мл. Назовём её «учебная бутылка А». Это не реальная карточка и не исключение в коде.</w:t>
      </w:r>
    </w:p>
    <w:p>
      <w:pPr/>
      <w:r/>
      <w:r>
        <w:rPr>
          <w:rFonts w:ascii="Courier New" w:hAnsi="Courier New"/>
        </w:rPr>
        <w:t>query</w:t>
      </w:r>
      <w:r>
        <w:t xml:space="preserve"> — исходная фраза покупателя. </w:t>
      </w:r>
      <w:r>
        <w:rPr>
          <w:rFonts w:ascii="Courier New" w:hAnsi="Courier New"/>
        </w:rPr>
        <w:t>normquery</w:t>
      </w:r>
      <w:r>
        <w:t xml:space="preserve"> — самостоятельный поисковый кластер из внешнего словаря WB, Wildberries. Несколько вариантов написания могут получить одно соответствие этому кластеру. Проект использует готовое соответствие, а не объединяет фразы сам.</w:t>
      </w:r>
    </w:p>
    <w:p>
      <w:pPr/>
      <w:r>
        <w:t xml:space="preserve">Бутылку уже заказывали по кластерам «бутылка для воды» и «бутылка спортивная». Они становятся </w:t>
      </w:r>
      <w:r>
        <w:rPr>
          <w:b/>
        </w:rPr>
        <w:t>продающими ориентирами</w:t>
      </w:r>
      <w:r>
        <w:t>: показывают, от каких известных связей начинать поиск. Хотим найти другие кластеры, которые подходят для проверки и пока дают этой бутылке мало просмотров.</w:t>
      </w:r>
    </w:p>
    <w:p>
      <w:pPr/>
      <w:r>
        <w:t>Например, «бутылка для тренировок» попадает в очередь. Специалист видит источник предложения и проверяет свойства товара. Если фраза действительно подходит, он решает, где и как использовать её в карточке.</w:t>
      </w:r>
    </w:p>
    <w:p>
      <w:pPr/>
      <w:r/>
      <w:r>
        <w:rPr>
          <w:rFonts w:ascii="Courier New" w:hAnsi="Courier New"/>
        </w:rPr>
        <w:t>SEO</w:t>
      </w:r>
      <w:r>
        <w:t xml:space="preserve"> — работа с текстом карточки для поиска. Система готовит материал для этой работы, но сама карточку не редактирует. </w:t>
      </w:r>
      <w:r>
        <w:rPr>
          <w:rFonts w:ascii="Courier New" w:hAnsi="Courier New"/>
        </w:rPr>
        <w:t>review</w:t>
      </w:r>
      <w:r>
        <w:t xml:space="preserve"> — статус «рассмотреть человеку». Это конкретный бизнес-результат: вместо просмотра огромного словаря специалист получает приоритетный список с основаниями.</w:t>
      </w:r>
    </w:p>
    <w:p>
      <w:pPr>
        <w:pStyle w:val="Heading1"/>
      </w:pPr>
      <w:bookmarkStart w:id="10" w:name="section_10"/>
      <w:r>
        <w:t>2. Откуда берётся исходный факт</w:t>
      </w:r>
      <w:bookmarkEnd w:id="10"/>
    </w:p>
    <w:p>
      <w:pPr/>
      <w:r/>
      <w:r>
        <w:rPr>
          <w:b/>
        </w:rPr>
        <w:t>Факт</w:t>
      </w:r>
      <w:r>
        <w:t xml:space="preserve"> — наблюдение источника за один день, один товар и одну исходную фразу. Основной источник — таблица ClickHouse </w:t>
      </w:r>
      <w:r>
        <w:rPr>
          <w:rFonts w:ascii="Courier New" w:hAnsi="Courier New"/>
        </w:rPr>
        <w:t>default_staging.stg_ozon_product_queries_details</w:t>
      </w:r>
      <w:r>
        <w:t>. ClickHouse — база данных для больших таблиц; приложение только читает её.</w:t>
      </w:r>
    </w:p>
    <w:p>
      <w:pPr/>
      <w:r>
        <w:t>Учебная строка могла бы выглядеть так: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5"/>
        <w:gridCol w:w="2665"/>
        <w:gridCol w:w="3969"/>
      </w:tblGrid>
      <w:tr>
        <w:trPr>
          <w:cantSplit/>
          <w:tblHeader/>
        </w:trPr>
        <w:tc>
          <w:tcPr>
            <w:tcW w:type="dxa" w:w="3005"/>
            <w:shd w:fill="EAF5F0"/>
          </w:tcPr>
          <w:p>
            <w:pPr>
              <w:spacing w:after="40" w:before="40"/>
              <w:jc w:val="left"/>
            </w:pPr>
            <w:r>
              <w:rPr>
                <w:b/>
              </w:rPr>
              <w:t>Поле</w:t>
            </w:r>
          </w:p>
        </w:tc>
        <w:tc>
          <w:tcPr>
            <w:tcW w:type="dxa" w:w="2665"/>
            <w:shd w:fill="EAF5F0"/>
          </w:tcPr>
          <w:p>
            <w:pPr>
              <w:spacing w:after="40" w:before="40"/>
              <w:jc w:val="left"/>
            </w:pPr>
            <w:r>
              <w:rPr>
                <w:b/>
              </w:rPr>
              <w:t>Учебное значение</w:t>
            </w:r>
          </w:p>
        </w:tc>
        <w:tc>
          <w:tcPr>
            <w:tcW w:type="dxa" w:w="3969"/>
            <w:shd w:fill="EAF5F0"/>
          </w:tcPr>
          <w:p>
            <w:pPr>
              <w:spacing w:after="40" w:before="40"/>
              <w:jc w:val="left"/>
            </w:pPr>
            <w:r>
              <w:rPr>
                <w:b/>
              </w:rPr>
              <w:t>Как читать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/>
            <w:r>
              <w:rPr>
                <w:rFonts w:ascii="Courier New" w:hAnsi="Courier New"/>
              </w:rPr>
              <w:t>date</w:t>
            </w:r>
            <w:r/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2026-09-17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День наблюдения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/>
            <w:r>
              <w:rPr>
                <w:rFonts w:ascii="Courier New" w:hAnsi="Courier New"/>
              </w:rPr>
              <w:t>sku</w:t>
            </w:r>
            <w:r/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учебная бутылка А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Одна карточка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/>
            <w:r>
              <w:rPr>
                <w:rFonts w:ascii="Courier New" w:hAnsi="Courier New"/>
              </w:rPr>
              <w:t>query</w:t>
            </w:r>
            <w:r/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бутылка для тренировок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Исходная фраза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/>
            <w:r>
              <w:rPr>
                <w:rFonts w:ascii="Courier New" w:hAnsi="Courier New"/>
              </w:rPr>
              <w:t>unique_search_users</w:t>
            </w:r>
            <w:r/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80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Сколько пользователей искали фразу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/>
            <w:r>
              <w:rPr>
                <w:rFonts w:ascii="Courier New" w:hAnsi="Courier New"/>
              </w:rPr>
              <w:t>unique_view_users</w:t>
            </w:r>
            <w:r/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2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Сколько увидели карточку по этой фразе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/>
            <w:r>
              <w:rPr>
                <w:rFonts w:ascii="Courier New" w:hAnsi="Courier New"/>
              </w:rPr>
              <w:t>order_count</w:t>
            </w:r>
            <w:r/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0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Сколько заказов зафиксировано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/>
      <w:r>
        <w:t xml:space="preserve">Просмотр означает, что карточку </w:t>
      </w:r>
      <w:r>
        <w:rPr>
          <w:b/>
        </w:rPr>
        <w:t>увидели</w:t>
      </w:r>
      <w:r>
        <w:t>, а не что по ней кликнули. Заказы не обязательно равны числу покупателей. Сумма пользователей по дням не даёт уникальных людей за весь период.</w:t>
      </w:r>
    </w:p>
    <w:p>
      <w:pPr/>
      <w:r>
        <w:t xml:space="preserve">Реальная выгрузка содержит </w:t>
      </w:r>
      <w:r>
        <w:rPr>
          <w:b/>
        </w:rPr>
        <w:t>3 203 109 строк</w:t>
      </w:r>
      <w:r>
        <w:t xml:space="preserve">, </w:t>
      </w:r>
      <w:r>
        <w:rPr>
          <w:b/>
        </w:rPr>
        <w:t>2 171 SKU</w:t>
      </w:r>
      <w:r>
        <w:t xml:space="preserve">, даты </w:t>
      </w:r>
      <w:r>
        <w:rPr>
          <w:b/>
        </w:rPr>
        <w:t>09.01–07.10.2026</w:t>
      </w:r>
      <w:r>
        <w:t>. Это объём истории, не число размеченных учебных примеров. Когда готовятся пары для обучения, остаётся гораздо меньше пригодных связей.</w:t>
      </w:r>
    </w:p>
    <w:p>
      <w:pPr/>
      <w:r>
        <w:t xml:space="preserve">Перед расчётом проверяются схема, даты и счётчики. Дубликаты ключа </w:t>
      </w:r>
      <w:r>
        <w:rPr>
          <w:rFonts w:ascii="Courier New" w:hAnsi="Courier New"/>
        </w:rPr>
        <w:t>date + sku + query</w:t>
      </w:r>
      <w:r>
        <w:t xml:space="preserve"> и некорректные счётчики отклоняются. Спрос по одной исходной фразе сначала дедуплицируется максимумом за день. Его нельзя повторно складывать из строк разных товаров: одни и те же поиски иначе размножились бы.</w:t>
      </w:r>
    </w:p>
    <w:p>
      <w:pPr>
        <w:pStyle w:val="Heading1"/>
      </w:pPr>
      <w:bookmarkStart w:id="17" w:name="section_17"/>
      <w:r>
        <w:t>3. Как фраза становится кластером и историей товара</w:t>
      </w:r>
      <w:bookmarkEnd w:id="17"/>
    </w:p>
    <w:p>
      <w:pPr/>
      <w:r/>
      <w:r>
        <w:rPr>
          <w:b/>
        </w:rPr>
        <w:t>Маппинг</w:t>
      </w:r>
      <w:r>
        <w:t xml:space="preserve"> — таблица соответствий исходной фразы и кластера. Используется снимок </w:t>
      </w:r>
      <w:r>
        <w:rPr>
          <w:rFonts w:ascii="Courier New" w:hAnsi="Courier New"/>
        </w:rPr>
        <w:t>raw.wb_normquery</w:t>
      </w:r>
      <w:r>
        <w:t xml:space="preserve"> на </w:t>
      </w:r>
      <w:r>
        <w:rPr>
          <w:b/>
        </w:rPr>
        <w:t>26.06.2026</w:t>
      </w:r>
      <w:r>
        <w:t xml:space="preserve">, содержащий </w:t>
      </w:r>
      <w:r>
        <w:rPr>
          <w:b/>
        </w:rPr>
        <w:t>477 579 кластеров</w:t>
      </w:r>
      <w:r>
        <w:t xml:space="preserve">. </w:t>
      </w:r>
      <w:r>
        <w:rPr>
          <w:rFonts w:ascii="Courier New" w:hAnsi="Courier New"/>
        </w:rPr>
        <w:t>loaded_at</w:t>
      </w:r>
      <w:r>
        <w:t xml:space="preserve"> — время доступности записи в источнике.</w:t>
      </w:r>
    </w:p>
    <w:p>
      <w:pPr/>
      <w:r>
        <w:t xml:space="preserve">Фраза приводится к нижнему регистру, внешние пробелы удаляются. Слова не переставляются, окончания не отрезаются. Из успешных непустых соответствий выбирается последнее, доступное не позднее снимка. При равном времени используется порядок </w:t>
      </w:r>
      <w:r>
        <w:rPr>
          <w:rFonts w:ascii="Courier New" w:hAnsi="Courier New"/>
        </w:rPr>
        <w:t>normquery</w:t>
      </w:r>
      <w:r>
        <w:t>. На одну исходную фразу берётся одно соответствие.</w:t>
      </w:r>
    </w:p>
    <w:p>
      <w:pPr/>
      <w:r>
        <w:t>Почему это важно? Если одну строку с двумя заказами соединить сразу с тремя кластерами, получится шесть заказов. Здесь такого размножения нет. У учебной фразы «бутылка для тренировок» одно выбранное соответствие. Если оно отсутствует, строка остаётся в аудите, а не превращается в плохую рекомендацию.</w:t>
      </w:r>
    </w:p>
    <w:p>
      <w:pPr/>
      <w:r/>
      <w:r>
        <w:rPr>
          <w:b/>
        </w:rPr>
        <w:t>Агрегация</w:t>
      </w:r>
      <w:r>
        <w:t xml:space="preserve"> — объединение строк в историю </w:t>
      </w:r>
      <w:r>
        <w:rPr>
          <w:rFonts w:ascii="Courier New" w:hAnsi="Courier New"/>
        </w:rPr>
        <w:t>SKU × normquery</w:t>
      </w:r>
      <w:r>
        <w:t>. Варианты запроса складываются в одну связь товара и кластера. Заказы при этом сохраняют товарную принадлежность.</w:t>
      </w:r>
    </w:p>
    <w:p>
      <w:pPr/>
      <w:r>
        <w:t xml:space="preserve">В реальной выгрузке словарём покрыты </w:t>
      </w:r>
      <w:r>
        <w:rPr>
          <w:b/>
        </w:rPr>
        <w:t>191 456 из 232 791 заказов</w:t>
      </w:r>
      <w:r>
        <w:t xml:space="preserve">, или </w:t>
      </w:r>
      <w:r>
        <w:rPr>
          <w:b/>
        </w:rPr>
        <w:t>82,24%</w:t>
      </w:r>
      <w:r>
        <w:t xml:space="preserve">. Есть </w:t>
      </w:r>
      <w:r>
        <w:rPr>
          <w:b/>
        </w:rPr>
        <w:t>13 793 неоднозначных исходных запроса</w:t>
      </w:r>
      <w:r>
        <w:t>; правило выбора одного соответствия делает результат определённым. Версия алгоритма WB неизвестна. Доступность снимка известна и записана.</w:t>
      </w:r>
    </w:p>
    <w:p>
      <w:pPr/>
      <w:r>
        <w:t xml:space="preserve">История используется относительно </w:t>
      </w:r>
      <w:r>
        <w:rPr>
          <w:b/>
        </w:rPr>
        <w:t>даты решения</w:t>
      </w:r>
      <w:r>
        <w:t>: дня, когда система должна составить список. Для решения 18.09 можно читать факты по 18.09, но нельзя подглядывать в заказы 19.09–02.10. Январские факты дают прошлый контекст июньскому решению. Мы не изображаем январскую оценку с ещё не существовавшим июньским словарём.</w:t>
      </w:r>
    </w:p>
    <w:p>
      <w:pPr>
        <w:pStyle w:val="Heading1"/>
      </w:pPr>
      <w:bookmarkStart w:id="24" w:name="section_24"/>
      <w:r>
        <w:t>4. Как из словаря получается пул кандидатов</w:t>
      </w:r>
      <w:bookmarkEnd w:id="24"/>
    </w:p>
    <w:p>
      <w:pPr/>
      <w:r/>
      <w:r>
        <w:rPr>
          <w:b/>
        </w:rPr>
        <w:t>Кандидат</w:t>
      </w:r>
      <w:r>
        <w:t xml:space="preserve"> — связь товара и кластера, которую ещё предстоит упорядочить. </w:t>
      </w:r>
      <w:r>
        <w:rPr>
          <w:b/>
        </w:rPr>
        <w:t>Пул</w:t>
      </w:r>
      <w:r>
        <w:t xml:space="preserve"> — объединённый набор таких связей.</w:t>
      </w:r>
    </w:p>
    <w:p>
      <w:pPr/>
      <w:r>
        <w:t>Для учебной бутылки А «бутылка для воды» и «бутылка спортивная» уже продавали товар. Они служат ориентирами и не предлагаются как новые связи. «Бутылка для тренировок» не имеет наблюдаемых прежних заказов этой бутылки и получила только два просмотра за последние 14 дней. Она проходит условие малой видимости.</w:t>
      </w:r>
    </w:p>
    <w:p>
      <w:pPr/>
      <w:r>
        <w:t>Настоящие условия отбора:</w:t>
      </w:r>
    </w:p>
    <w:p>
      <w:pPr>
        <w:pStyle w:val="ListBullet"/>
      </w:pPr>
      <w:r>
        <w:t>Нет прошлых заказов этого товара в кластере во всей доступной истории до решения.</w:t>
      </w:r>
    </w:p>
    <w:p>
      <w:pPr>
        <w:pStyle w:val="ListBullet"/>
      </w:pPr>
      <w:r>
        <w:t xml:space="preserve">За последние </w:t>
      </w:r>
      <w:r>
        <w:rPr>
          <w:b/>
        </w:rPr>
        <w:t>14 дней</w:t>
      </w:r>
      <w:r>
        <w:t xml:space="preserve"> наблюдалось </w:t>
      </w:r>
      <w:r>
        <w:rPr>
          <w:b/>
        </w:rPr>
        <w:t>0–5 просмотров</w:t>
      </w:r>
      <w:r>
        <w:t xml:space="preserve"> карточки.</w:t>
      </w:r>
    </w:p>
    <w:p>
      <w:pPr>
        <w:pStyle w:val="ListBullet"/>
      </w:pPr>
      <w:r>
        <w:t>У товара есть продающие ориентиры и недавние наблюдения.</w:t>
      </w:r>
    </w:p>
    <w:p>
      <w:pPr>
        <w:pStyle w:val="ListBullet"/>
      </w:pPr>
      <w:r>
        <w:t xml:space="preserve">Фильтр применяется </w:t>
      </w:r>
      <w:r>
        <w:rPr>
          <w:b/>
        </w:rPr>
        <w:t>до</w:t>
      </w:r>
      <w:r>
        <w:t xml:space="preserve"> ограничения числа результатов каждого канала.</w:t>
      </w:r>
    </w:p>
    <w:p>
      <w:pPr/>
      <w:r>
        <w:t xml:space="preserve">Порог 5 и окно 14 дней — настройки данного эксперимента в </w:t>
      </w:r>
      <w:r>
        <w:rPr>
          <w:rFonts w:ascii="Courier New" w:hAnsi="Courier New"/>
        </w:rPr>
        <w:t>config.json</w:t>
      </w:r>
      <w:r>
        <w:t>, а не универсальные границы подходящего запроса. Их изменение требует нового согласованного сравнения. Для совершенно нового товара без истории продающих ориентиров текущий способ не решает холодный старт.</w:t>
      </w:r>
    </w:p>
    <w:p>
      <w:pPr/>
      <w:r/>
      <w:r>
        <w:rPr>
          <w:b/>
        </w:rPr>
        <w:t>Канал поиска</w:t>
      </w:r>
      <w:r>
        <w:t xml:space="preserve"> — отдельный способ найти кандидатов. Каждый возвращает до </w:t>
      </w:r>
      <w:r>
        <w:rPr>
          <w:b/>
        </w:rPr>
        <w:t>150 допустимых связей</w:t>
      </w:r>
      <w:r>
        <w:t xml:space="preserve">. Результаты объединяются без дублей. Число 150 — бюджет поиска, а не требуемое число фраз в карточке. Текстовые каналы используют до </w:t>
      </w:r>
      <w:r>
        <w:rPr>
          <w:b/>
        </w:rPr>
        <w:t>32</w:t>
      </w:r>
      <w:r>
        <w:t xml:space="preserve"> наиболее продающих ориентиров. Запрет старых продающих связей учитывает </w:t>
      </w:r>
      <w:r>
        <w:rPr>
          <w:b/>
        </w:rPr>
        <w:t>все</w:t>
      </w:r>
      <w:r>
        <w:t xml:space="preserve"> такие связи, не только 32.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5"/>
        <w:gridCol w:w="2665"/>
        <w:gridCol w:w="3969"/>
      </w:tblGrid>
      <w:tr>
        <w:trPr>
          <w:cantSplit/>
          <w:tblHeader/>
        </w:trPr>
        <w:tc>
          <w:tcPr>
            <w:tcW w:type="dxa" w:w="3005"/>
            <w:shd w:fill="EAF5F0"/>
          </w:tcPr>
          <w:p>
            <w:pPr>
              <w:spacing w:after="40" w:before="40"/>
              <w:jc w:val="left"/>
            </w:pPr>
            <w:r>
              <w:rPr>
                <w:b/>
              </w:rPr>
              <w:t>Канал</w:t>
            </w:r>
          </w:p>
        </w:tc>
        <w:tc>
          <w:tcPr>
            <w:tcW w:type="dxa" w:w="2665"/>
            <w:shd w:fill="EAF5F0"/>
          </w:tcPr>
          <w:p>
            <w:pPr>
              <w:spacing w:after="40" w:before="40"/>
              <w:jc w:val="left"/>
            </w:pPr>
            <w:r>
              <w:rPr>
                <w:b/>
              </w:rPr>
              <w:t>Что получает</w:t>
            </w:r>
          </w:p>
        </w:tc>
        <w:tc>
          <w:tcPr>
            <w:tcW w:type="dxa" w:w="3969"/>
            <w:shd w:fill="EAF5F0"/>
          </w:tcPr>
          <w:p>
            <w:pPr>
              <w:spacing w:after="40" w:before="40"/>
              <w:jc w:val="left"/>
            </w:pPr>
            <w:r>
              <w:rPr>
                <w:b/>
              </w:rPr>
              <w:t>Что возвращает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TF-IDF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Тексты ориентиров и кластеров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Близость по фрагментам слов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E5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Те же тексты в готовой нейросети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Близость по смысловым векторам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Co-sales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Прошлые продажи разных товаров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Связь через общие продающие кластеры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Обученный адаптер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Векторы E5 после дополнительного преобразования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Близость, адаптированную к нашим продажам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LightGCN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Граф прошлых продающих связей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Близость обученных графовых векторов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/>
      <w:r>
        <w:t xml:space="preserve">Отдельно есть </w:t>
      </w:r>
      <w:r>
        <w:rPr>
          <w:b/>
        </w:rPr>
        <w:t>популярность</w:t>
      </w:r>
      <w:r>
        <w:t>: глобальные прошлые продажи без персонализации. Это контрольная линия, а не итоговое решение.</w:t>
      </w:r>
    </w:p>
    <w:p>
      <w:pPr>
        <w:pStyle w:val="Heading1"/>
      </w:pPr>
      <w:bookmarkStart w:id="36" w:name="section_36"/>
      <w:r>
        <w:t>5. Почему нужны разные модели и что они учат</w:t>
      </w:r>
      <w:bookmarkEnd w:id="36"/>
    </w:p>
    <w:p>
      <w:pPr/>
      <w:r>
        <w:t>Система сочетает готовую предобученную нейросеть и обучение на наших данных. Это разные способы использования моделей, а не разные степени готовности проекта.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5"/>
        <w:gridCol w:w="2665"/>
        <w:gridCol w:w="3969"/>
      </w:tblGrid>
      <w:tr>
        <w:trPr>
          <w:cantSplit/>
          <w:tblHeader/>
        </w:trPr>
        <w:tc>
          <w:tcPr>
            <w:tcW w:type="dxa" w:w="3005"/>
            <w:shd w:fill="EAF5F0"/>
          </w:tcPr>
          <w:p>
            <w:pPr>
              <w:spacing w:after="40" w:before="40"/>
              <w:jc w:val="left"/>
            </w:pPr>
            <w:r>
              <w:rPr>
                <w:b/>
              </w:rPr>
              <w:t>Компонент</w:t>
            </w:r>
          </w:p>
        </w:tc>
        <w:tc>
          <w:tcPr>
            <w:tcW w:type="dxa" w:w="2665"/>
            <w:shd w:fill="EAF5F0"/>
          </w:tcPr>
          <w:p>
            <w:pPr>
              <w:spacing w:after="40" w:before="40"/>
              <w:jc w:val="left"/>
            </w:pPr>
            <w:r>
              <w:rPr>
                <w:b/>
              </w:rPr>
              <w:t>Как подготовлен</w:t>
            </w:r>
          </w:p>
        </w:tc>
        <w:tc>
          <w:tcPr>
            <w:tcW w:type="dxa" w:w="3969"/>
            <w:shd w:fill="EAF5F0"/>
          </w:tcPr>
          <w:p>
            <w:pPr>
              <w:spacing w:after="40" w:before="40"/>
              <w:jc w:val="left"/>
            </w:pPr>
            <w:r>
              <w:rPr>
                <w:b/>
              </w:rPr>
              <w:t>Роль в решении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E5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Уже предобучена; используем готовые веса без изменения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Семантический канал итогового гибрида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Co-sales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Связи рассчитаны из истории совместных продаж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Поведенческий канал итогового гибрида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Адаптер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Обучен на данных проекта, 15 эпох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Уточняет E5-векторы для итогового гибрида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LightGCN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Обучена на данных проекта, 30 эпох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Графовый канал итогового гибрида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CatBoostRanker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Обучен на данных проекта, 600 итераций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Сохранённый альтернативный ранжировщик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RRF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Веса каналов выбраны на validation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Объединяет четыре канала в итоговый список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bookmarkStart w:id="39" w:name="section_39"/>
      <w:r>
        <w:t>TF-IDF: контроль по похожим буквам</w:t>
      </w:r>
      <w:bookmarkEnd w:id="39"/>
    </w:p>
    <w:p>
      <w:pPr/>
      <w:r/>
      <w:r>
        <w:rPr>
          <w:rFonts w:ascii="Courier New" w:hAnsi="Courier New"/>
        </w:rPr>
        <w:t>TF-IDF</w:t>
      </w:r>
      <w:r>
        <w:t xml:space="preserve"> — числовое представление текста, в котором частые для одной фразы, но редкие в словаре части получают больший вес. Здесь используются символьные </w:t>
      </w:r>
      <w:r>
        <w:rPr>
          <w:rFonts w:ascii="Courier New" w:hAnsi="Courier New"/>
        </w:rPr>
        <w:t>n-граммы</w:t>
      </w:r>
      <w:r>
        <w:t xml:space="preserve"> длиной </w:t>
      </w:r>
      <w:r>
        <w:rPr>
          <w:b/>
        </w:rPr>
        <w:t>3–5</w:t>
      </w:r>
      <w:r>
        <w:t>: короткие отрезки букв.</w:t>
      </w:r>
    </w:p>
    <w:p>
      <w:pPr/>
      <w:r>
        <w:t>Для «бутылка спортивная» и «бутылка для тренировок» найдутся общие отрезки слова «бутылка». Метод прост и воспроизводим. Но близость букв не объясняет полностью, почему тренировка связана со спортом. Поэтому он нужен как понятный контроль, с которым сравниваются более содержательные способы.</w:t>
      </w:r>
    </w:p>
    <w:p>
      <w:pPr>
        <w:pStyle w:val="Heading2"/>
      </w:pPr>
      <w:bookmarkStart w:id="42" w:name="section_42"/>
      <w:r>
        <w:t>E5: готовая смысловая карта</w:t>
      </w:r>
      <w:bookmarkEnd w:id="42"/>
    </w:p>
    <w:p>
      <w:pPr/>
      <w:r/>
      <w:r>
        <w:rPr>
          <w:rFonts w:ascii="Courier New" w:hAnsi="Courier New"/>
        </w:rPr>
        <w:t>Embedding</w:t>
      </w:r>
      <w:r>
        <w:t xml:space="preserve"> — вектор, то есть список чисел, описывающий фразу. </w:t>
      </w:r>
      <w:r>
        <w:rPr>
          <w:rFonts w:ascii="Courier New" w:hAnsi="Courier New"/>
        </w:rPr>
        <w:t>E5</w:t>
      </w:r>
      <w:r>
        <w:t xml:space="preserve"> — заранее обученная нейросеть, которая строит такие векторы. Используется </w:t>
      </w:r>
      <w:r>
        <w:rPr>
          <w:rFonts w:ascii="Courier New" w:hAnsi="Courier New"/>
        </w:rPr>
        <w:t>intfloat/multilingual-e5-small</w:t>
      </w:r>
      <w:r>
        <w:t xml:space="preserve">: </w:t>
      </w:r>
      <w:r>
        <w:rPr>
          <w:b/>
        </w:rPr>
        <w:t>384 числа на фразу</w:t>
      </w:r>
      <w:r>
        <w:t xml:space="preserve">, префикс </w:t>
      </w:r>
      <w:r>
        <w:rPr>
          <w:rFonts w:ascii="Courier New" w:hAnsi="Courier New"/>
        </w:rPr>
        <w:t xml:space="preserve">query: </w:t>
      </w:r>
      <w:r>
        <w:t xml:space="preserve">, закреплённая ревизия </w:t>
      </w:r>
      <w:r>
        <w:rPr>
          <w:rFonts w:ascii="Courier New" w:hAnsi="Courier New"/>
        </w:rPr>
        <w:t>614241f622f53c4eeff9890bdc4f31cfecc418b3</w:t>
      </w:r>
      <w:r>
        <w:t>.</w:t>
      </w:r>
    </w:p>
    <w:p>
      <w:pPr/>
      <w:r/>
      <w:r>
        <w:rPr>
          <w:rFonts w:ascii="Courier New" w:hAnsi="Courier New"/>
        </w:rPr>
        <w:t>Cosine similarity</w:t>
      </w:r>
      <w:r>
        <w:t xml:space="preserve"> — сходство направлений двух векторов. Так сравнивают кандидат и продающие ориентиры. Название «бутылка для тренировок» может оказаться близким к спортивной бутылке даже без общего слова «спортивная».</w:t>
      </w:r>
    </w:p>
    <w:p>
      <w:pPr/>
      <w:r>
        <w:t xml:space="preserve">E5 </w:t>
      </w:r>
      <w:r>
        <w:rPr>
          <w:b/>
        </w:rPr>
        <w:t>предобучена</w:t>
      </w:r>
      <w:r>
        <w:t xml:space="preserve">: языковые закономерности уже изучены при подготовке модели. Мы используем её готовые веса без изменения — этот режим называют </w:t>
      </w:r>
      <w:r>
        <w:rPr>
          <w:b/>
        </w:rPr>
        <w:t>замороженным</w:t>
      </w:r>
      <w:r>
        <w:t xml:space="preserve">. </w:t>
      </w:r>
      <w:r>
        <w:rPr>
          <w:rFonts w:ascii="Courier New" w:hAnsi="Courier New"/>
        </w:rPr>
        <w:t>Transformer</w:t>
      </w:r>
      <w:r>
        <w:t xml:space="preserve"> — внутренняя архитектура E5. На наших данных обучается отдельная поправка к её векторам — адаптер, описанный ниже. Это обучение адаптера, а не дообучение самого Transformer. Проверяются модель, ревизия, дата, полный каталог и порядок кластеров. Просто совпавшего имени файла недостаточно.</w:t>
      </w:r>
    </w:p>
    <w:p>
      <w:pPr>
        <w:pStyle w:val="Heading2"/>
      </w:pPr>
      <w:bookmarkStart w:id="46" w:name="section_46"/>
      <w:r>
        <w:t>Co-sales: перенос наблюдаемого поведения</w:t>
      </w:r>
      <w:bookmarkEnd w:id="46"/>
    </w:p>
    <w:p>
      <w:pPr/>
      <w:r/>
      <w:r>
        <w:rPr>
          <w:rFonts w:ascii="Courier New" w:hAnsi="Courier New"/>
        </w:rPr>
        <w:t>Co-sales</w:t>
      </w:r>
      <w:r>
        <w:t xml:space="preserve"> — совместные продажи через общие товары. Если другой товар продавался и по «бутылка спортивная», и по «бутылка для тренировок», возникает поведенческий мост между кластерами.</w:t>
      </w:r>
    </w:p>
    <w:p>
      <w:pPr/>
      <w:r>
        <w:t>Вход — прошлые продающие связи. Выход — оценка связи кандидата с ориентирами. Co-sales рассчитывает связи непосредственно из истории и использует реальное поведение, а не только слова. LightGCN — другой канал: графовая нейросеть обучает векторы на этой структуре. Оба способа работают в системе и дополняют друг друга.</w:t>
      </w:r>
    </w:p>
    <w:p>
      <w:pPr>
        <w:pStyle w:val="Heading2"/>
      </w:pPr>
      <w:bookmarkStart w:id="49" w:name="section_49"/>
      <w:r>
        <w:t>Адаптер: подстроить смысловую карту, не переписывая E5</w:t>
      </w:r>
      <w:bookmarkEnd w:id="49"/>
    </w:p>
    <w:p>
      <w:pPr/>
      <w:r/>
      <w:r>
        <w:rPr>
          <w:rFonts w:ascii="Courier New" w:hAnsi="Courier New"/>
        </w:rPr>
        <w:t>MLP</w:t>
      </w:r>
      <w:r>
        <w:t xml:space="preserve"> — небольшая нейросеть из последовательных слоёв. </w:t>
      </w:r>
      <w:r>
        <w:rPr>
          <w:rFonts w:ascii="Courier New" w:hAnsi="Courier New"/>
        </w:rPr>
        <w:t>Residual</w:t>
      </w:r>
      <w:r>
        <w:t xml:space="preserve"> означает, что к исходному вектору добавляется небольшая обучаемая поправка. Затем длина результата нормируется:</w:t>
      </w:r>
    </w:p>
    <w:p>
      <w:pPr>
        <w:pStyle w:val="GuideCode"/>
      </w:pPr>
      <w:r>
        <w:t>adapter(x) = normalize(x + 0.1 × MLP(x))</w:t>
        <w:br/>
        <w:t>MLP: 384 → 128 → 384, ReLU</w:t>
      </w:r>
    </w:p>
    <w:p>
      <w:pPr/>
      <w:r/>
      <w:r>
        <w:rPr>
          <w:rFonts w:ascii="Courier New" w:hAnsi="Courier New"/>
        </w:rPr>
        <w:t>ReLU</w:t>
      </w:r>
      <w:r>
        <w:t xml:space="preserve"> — простое преобразование, пропускающее положительные значения и заменяющее отрицательные нулём. Вход адаптера — 384-мерный вектор E5. Выход — новый вектор той же длины.</w:t>
      </w:r>
    </w:p>
    <w:p>
      <w:pPr/>
      <w:r/>
      <w:r>
        <w:rPr>
          <w:b/>
        </w:rPr>
        <w:t>Positive</w:t>
      </w:r>
      <w:r>
        <w:t xml:space="preserve">, или положительный пример, здесь — два кластера, по которым один товар продавался до конца обучения. Например, оба продающих ориентира учебной бутылки А. До </w:t>
      </w:r>
      <w:r>
        <w:rPr>
          <w:b/>
        </w:rPr>
        <w:t>64 пар на SKU</w:t>
      </w:r>
      <w:r>
        <w:t xml:space="preserve"> дают материал для обучения; суммарный вес каждого SKU нормируется к 1. Поэтому товар с длинной историей не должен подавлять все остальные.</w:t>
      </w:r>
    </w:p>
    <w:p>
      <w:pPr/>
      <w:r/>
      <w:r>
        <w:rPr>
          <w:rFonts w:ascii="Courier New" w:hAnsi="Courier New"/>
        </w:rPr>
        <w:t>Loss</w:t>
      </w:r>
      <w:r>
        <w:t xml:space="preserve">, функция потерь, — число, показывающее, насколько модель нарушает учебное правило. Оптимизатор меняет веса так, чтобы loss уменьшался. Адаптер использует </w:t>
      </w:r>
      <w:r>
        <w:rPr>
          <w:rFonts w:ascii="Courier New" w:hAnsi="Courier New"/>
        </w:rPr>
        <w:t>InfoNCE</w:t>
      </w:r>
      <w:r>
        <w:t xml:space="preserve">: приблизить известную пару относительно других фраз в </w:t>
      </w:r>
      <w:r>
        <w:rPr>
          <w:rFonts w:ascii="Courier New" w:hAnsi="Courier New"/>
        </w:rPr>
        <w:t>batch</w:t>
      </w:r>
      <w:r>
        <w:t>, небольшой группе одновременно обрабатываемых примеров. Идентичные фразы и известные co-sale пары не используются как слабые противопоставления внутри batch.</w:t>
      </w:r>
    </w:p>
    <w:p>
      <w:pPr/>
      <w:r>
        <w:t xml:space="preserve">Если модель спутала две известные совместно продающие фразы с посторонними, ошибка велика. После шага обучения они должны стать ближе. Обучаются веса MLP, а не E5. </w:t>
      </w:r>
      <w:r>
        <w:rPr>
          <w:b/>
        </w:rPr>
        <w:t>15 эпох</w:t>
      </w:r>
      <w:r>
        <w:t xml:space="preserve"> означают 15 проходов по подготовленным примерам. Batch — </w:t>
      </w:r>
      <w:r>
        <w:rPr>
          <w:b/>
        </w:rPr>
        <w:t>128</w:t>
      </w:r>
      <w:r>
        <w:t xml:space="preserve">, устройство текущей конфигурации — </w:t>
      </w:r>
      <w:r>
        <w:rPr>
          <w:rFonts w:ascii="Courier New" w:hAnsi="Courier New"/>
        </w:rPr>
        <w:t>cpu</w:t>
      </w:r>
      <w:r>
        <w:t>.</w:t>
      </w:r>
    </w:p>
    <w:p>
      <w:pPr/>
      <w:r>
        <w:t xml:space="preserve">Проверочный адаптер: </w:t>
      </w:r>
      <w:r>
        <w:rPr>
          <w:b/>
        </w:rPr>
        <w:t>20 740 пар, 549 SKU</w:t>
      </w:r>
      <w:r>
        <w:t xml:space="preserve">, история по 04.09. Финальный адаптер: </w:t>
      </w:r>
      <w:r>
        <w:rPr>
          <w:b/>
        </w:rPr>
        <w:t>23 569 пар, 589 SKU</w:t>
      </w:r>
      <w:r>
        <w:t>, история по 07.10.</w:t>
      </w:r>
    </w:p>
    <w:p>
      <w:pPr>
        <w:pStyle w:val="Heading2"/>
      </w:pPr>
      <w:bookmarkStart w:id="57" w:name="section_57"/>
      <w:r>
        <w:t>LightGCN: учить близость по графу продаж</w:t>
      </w:r>
      <w:bookmarkEnd w:id="57"/>
    </w:p>
    <w:p>
      <w:pPr/>
      <w:r/>
      <w:r>
        <w:rPr>
          <w:b/>
        </w:rPr>
        <w:t>Граф</w:t>
      </w:r>
      <w:r>
        <w:t xml:space="preserve"> — узлы и соединяющие их рёбра. Здесь один тип узлов — товары, другой — кластеры. Ребро означает наблюдаемую прошлую продающую связь. У учебной бутылки А есть рёбра к двум продающим ориентирам.</w:t>
      </w:r>
    </w:p>
    <w:p>
      <w:pPr/>
      <w:r/>
      <w:r>
        <w:rPr>
          <w:rFonts w:ascii="Courier New" w:hAnsi="Courier New"/>
        </w:rPr>
        <w:t>LightGCN</w:t>
      </w:r>
      <w:r>
        <w:t xml:space="preserve"> учит </w:t>
      </w:r>
      <w:r>
        <w:rPr>
          <w:b/>
        </w:rPr>
        <w:t>32-мерные векторы</w:t>
      </w:r>
      <w:r>
        <w:t xml:space="preserve"> узлов. На каждом из </w:t>
      </w:r>
      <w:r>
        <w:rPr>
          <w:b/>
        </w:rPr>
        <w:t>двух слоёв</w:t>
      </w:r>
      <w:r>
        <w:t xml:space="preserve"> узел получает нормированное сообщение от соседей. Итоговый вектор усредняет исходное и промежуточные представления. Товар и кластер могут стать близкими через несколько связанных соседей, а не только через одну явную пару.</w:t>
      </w:r>
    </w:p>
    <w:p>
      <w:pPr/>
      <w:r>
        <w:t xml:space="preserve">Функция потерь </w:t>
      </w:r>
      <w:r>
        <w:rPr>
          <w:rFonts w:ascii="Courier New" w:hAnsi="Courier New"/>
        </w:rPr>
        <w:t>BPR</w:t>
      </w:r>
      <w:r>
        <w:t xml:space="preserve">, Bayesian Personalized Ranking, просит поставить прошлую продающую связь выше неизвестной связи этого товара. Известные прошлые positive этого SKU не берутся как неизвестные сравнения. Отсутствие ребра — не доказанный плохой товарный запрос. </w:t>
      </w:r>
      <w:r>
        <w:rPr>
          <w:rFonts w:ascii="Courier New" w:hAnsi="Courier New"/>
        </w:rPr>
        <w:t>L2-регуляризация</w:t>
      </w:r>
      <w:r>
        <w:t xml:space="preserve"> удерживает веса от чрезмерного роста.</w:t>
      </w:r>
    </w:p>
    <w:p>
      <w:pPr/>
      <w:r>
        <w:t xml:space="preserve">Каждое пригодное продающее ребро участвует в эпохе. Выполнено </w:t>
      </w:r>
      <w:r>
        <w:rPr>
          <w:b/>
        </w:rPr>
        <w:t>30 эпох</w:t>
      </w:r>
      <w:r>
        <w:t xml:space="preserve">. Проверочный граф: </w:t>
      </w:r>
      <w:r>
        <w:rPr>
          <w:b/>
        </w:rPr>
        <w:t>9 525 рёбер</w:t>
      </w:r>
      <w:r>
        <w:t xml:space="preserve">; финальный: </w:t>
      </w:r>
      <w:r>
        <w:rPr>
          <w:b/>
        </w:rPr>
        <w:t>10 742</w:t>
      </w:r>
      <w:r>
        <w:t>.</w:t>
      </w:r>
    </w:p>
    <w:p>
      <w:pPr/>
      <w:r>
        <w:t xml:space="preserve">Важная деталь выдачи: профиль товара строится из обученных векторов его </w:t>
      </w:r>
      <w:r>
        <w:rPr>
          <w:b/>
        </w:rPr>
        <w:t>seed-кластеров</w:t>
      </w:r>
      <w:r>
        <w:t>, продающих ориентиров. Он не заменяется собственным обученным SKU-вектором. Кластер, которого не было в продающем графе, не имеет графового сигнала; другие каналы всё ещё могут его найти.</w:t>
      </w:r>
    </w:p>
    <w:p>
      <w:pPr>
        <w:pStyle w:val="Heading2"/>
      </w:pPr>
      <w:bookmarkStart w:id="63" w:name="section_63"/>
      <w:r>
        <w:t>CatBoost: учить порядок по готовым признакам</w:t>
      </w:r>
      <w:bookmarkEnd w:id="63"/>
    </w:p>
    <w:p>
      <w:pPr/>
      <w:r/>
      <w:r>
        <w:rPr>
          <w:rFonts w:ascii="Courier New" w:hAnsi="Courier New"/>
        </w:rPr>
        <w:t>CatBoostRanker</w:t>
      </w:r>
      <w:r>
        <w:t xml:space="preserve"> — модель из деревьев решений, которая учится упорядочивать кандидатов. Признак — число о связи: текстовая или E5-близость, co-sales, глобальные продажи и спрос, ранг внутри выдачи канала. Собственные просмотры, поиски и дни активности используются для условий задачи, но не задают приоритет ранжирования.</w:t>
      </w:r>
    </w:p>
    <w:p>
      <w:pPr/>
      <w:r>
        <w:t xml:space="preserve">Модель учится на двух типах задач: найти первый наблюдаемый будущий заказ малотрафиковой связи и восстановить скрытый продающий кластер. </w:t>
      </w:r>
      <w:r>
        <w:rPr>
          <w:rFonts w:ascii="Courier New" w:hAnsi="Courier New"/>
        </w:rPr>
        <w:t>Mask-and-recover</w:t>
      </w:r>
      <w:r>
        <w:t xml:space="preserve"> — временно скрыть известную связь и попытаться вернуть её поиском. В этом исходном контуре удаляется </w:t>
      </w:r>
      <w:r>
        <w:rPr>
          <w:b/>
        </w:rPr>
        <w:t>всё собственное ребро</w:t>
      </w:r>
      <w:r>
        <w:t xml:space="preserve"> из истории, недавних просмотров и исходного графа. Продажи того же кластера у других товаров допустимы.</w:t>
      </w:r>
    </w:p>
    <w:p>
      <w:pPr/>
      <w:r>
        <w:t>Это не заявление, что каждую обученную нейросеть переобучали после каждой маски. Адаптер и LightGCN оцениваются по будущим заказам; скрытые ранее виденные ими рёбра не выдаются за независимую проверку восстановления.</w:t>
      </w:r>
    </w:p>
    <w:p>
      <w:pPr/>
      <w:r>
        <w:t xml:space="preserve">На найденный positive берётся до </w:t>
      </w:r>
      <w:r>
        <w:rPr>
          <w:b/>
        </w:rPr>
        <w:t>12 неизвестных сравнений</w:t>
      </w:r>
      <w:r>
        <w:t xml:space="preserve">: сложных близких и случайных с фиксированным seed. </w:t>
      </w:r>
      <w:r>
        <w:rPr>
          <w:rFonts w:ascii="Courier New" w:hAnsi="Courier New"/>
        </w:rPr>
        <w:t>PairLogit</w:t>
      </w:r>
      <w:r>
        <w:t xml:space="preserve"> уменьшает ошибку, когда positive стоит ниже неизвестного сравнения. Это positive–unlabelled подход: есть положительные наблюдения и неразмеченные остальные. Он не даёт калиброванной вероятности релевантности.</w:t>
      </w:r>
    </w:p>
    <w:p>
      <w:pPr>
        <w:pStyle w:val="GuideCode"/>
      </w:pPr>
      <w:r>
        <w:t>weight(pair) = 1 / (число positives × число сравнений)</w:t>
      </w:r>
    </w:p>
    <w:p>
      <w:pPr/>
      <w:r>
        <w:t>Так общий вес SKU–задачи равен 1. Пропущенный поиском positive не вставляют в пул специально ради обучения или красивой метрики.</w:t>
      </w:r>
    </w:p>
    <w:p>
      <w:pPr/>
      <w:r>
        <w:t xml:space="preserve">Проверочный CatBoost: </w:t>
      </w:r>
      <w:r>
        <w:rPr>
          <w:b/>
        </w:rPr>
        <w:t>37 245 строк, 334 SKU, 2 504 группы</w:t>
      </w:r>
      <w:r>
        <w:t xml:space="preserve">. Из </w:t>
      </w:r>
      <w:r>
        <w:rPr>
          <w:b/>
        </w:rPr>
        <w:t>100/300/600 итераций</w:t>
      </w:r>
      <w:r>
        <w:t xml:space="preserve"> validation, окно выбора настроек, выбрала </w:t>
      </w:r>
      <w:r>
        <w:rPr>
          <w:b/>
        </w:rPr>
        <w:t>600</w:t>
      </w:r>
      <w:r>
        <w:t xml:space="preserve">. Финальный refit, повторное обучение по всей доступной истории: </w:t>
      </w:r>
      <w:r>
        <w:rPr>
          <w:b/>
        </w:rPr>
        <w:t>46 787 строк, 413 SKU, 3 053 группы</w:t>
      </w:r>
      <w:r>
        <w:t xml:space="preserve">. CatBoost обучен и сохранён как </w:t>
      </w:r>
      <w:r>
        <w:rPr>
          <w:b/>
        </w:rPr>
        <w:t>альтернативный ранжировщик</w:t>
      </w:r>
      <w:r>
        <w:t>. Для итоговой выдачи по результатам validation выбрано объединение четырёх каналов, описанное ниже; CatBoost оценивается отдельно.</w:t>
      </w:r>
    </w:p>
    <w:p>
      <w:pPr>
        <w:pStyle w:val="Heading1"/>
      </w:pPr>
      <w:bookmarkStart w:id="71" w:name="section_71"/>
      <w:r>
        <w:t>6. Как разные оценки становятся одним списком</w:t>
      </w:r>
      <w:bookmarkEnd w:id="71"/>
    </w:p>
    <w:p>
      <w:pPr/>
      <w:r/>
      <w:r>
        <w:rPr>
          <w:rFonts w:ascii="Courier New" w:hAnsi="Courier New"/>
        </w:rPr>
        <w:t>Score</w:t>
      </w:r>
      <w:r>
        <w:t xml:space="preserve"> — оценка приоритета. У разных каналов разные шкалы. Значение E5 нельзя просто складывать с числом co-sales, как будто они измеряются в одинаковых единицах.</w:t>
      </w:r>
    </w:p>
    <w:p>
      <w:pPr/>
      <w:r/>
      <w:r>
        <w:rPr>
          <w:rFonts w:ascii="Courier New" w:hAnsi="Courier New"/>
        </w:rPr>
        <w:t>Rank</w:t>
      </w:r>
      <w:r>
        <w:t xml:space="preserve"> — место кандидата в списке, начиная с 1. </w:t>
      </w:r>
      <w:r>
        <w:rPr>
          <w:rFonts w:ascii="Courier New" w:hAnsi="Courier New"/>
        </w:rPr>
        <w:t>RRF</w:t>
      </w:r>
      <w:r>
        <w:t>, Reciprocal Rank Fusion, объединяет именно места:</w:t>
      </w:r>
    </w:p>
    <w:p>
      <w:pPr>
        <w:pStyle w:val="GuideCode"/>
      </w:pPr>
      <w:r>
        <w:t>RRF(candidate) = Σ weight(channel) / (60 + rank(channel, candidate))</w:t>
        <w:br/>
        <w:t>Σ weight(channel) = 1</w:t>
      </w:r>
    </w:p>
    <w:p>
      <w:pPr/>
      <w:r>
        <w:t xml:space="preserve">Веса выбирались сеткой с шагом </w:t>
      </w:r>
      <w:r>
        <w:rPr>
          <w:b/>
        </w:rPr>
        <w:t>0,25</w:t>
      </w:r>
      <w:r>
        <w:t xml:space="preserve"> только по validation NDCG@10. NDCG@10 оценивает качество порядка в первых десяти местах; её расчёт показан в разделе 8. Выбраны </w:t>
      </w:r>
      <w:r>
        <w:rPr>
          <w:b/>
        </w:rPr>
        <w:t>25% E5 + 25% co-sales + 25% адаптер + 25% LightGCN</w:t>
      </w:r>
      <w:r>
        <w:t>. CatBoost сравнивается отдельно. TF-IDF и популярность не включены в эту окончательную сумму.</w:t>
      </w:r>
    </w:p>
    <w:p>
      <w:pPr/>
      <w:r>
        <w:t>В учебном примере «бутылка для тренировок» получила места 2, 1, 3, 2. Это вымышленные ранги, не извлечённые из отчёта:</w:t>
      </w:r>
    </w:p>
    <w:p>
      <w:pPr>
        <w:pStyle w:val="GuideCode"/>
      </w:pPr>
      <w:r>
        <w:t>RRF = 0.25/62 + 0.25/61 + 0.25/63 + 0.25/62 ≈ 0.01613</w:t>
      </w:r>
    </w:p>
    <w:p>
      <w:pPr/>
      <w:r>
        <w:t>Кандидат, высоко стоящий сразу в нескольких каналах, получает поддержку с разных сторон. Значение 0,01613 не означает вероятность заказа 1,613%. Оно используется только для порядка.</w:t>
      </w:r>
    </w:p>
    <w:p>
      <w:pPr/>
      <w:r/>
      <w:r>
        <w:rPr>
          <w:b/>
        </w:rPr>
        <w:t>Ablation</w:t>
      </w:r>
      <w:r>
        <w:t xml:space="preserve">, проверка вклада частей, сравнивает контроль и добавленные обученные каналы </w:t>
      </w:r>
      <w:r>
        <w:rPr>
          <w:b/>
        </w:rPr>
        <w:t>на одном расширенном пуле</w:t>
      </w:r>
      <w:r>
        <w:t>. Если бы обученный гибрид получил больше кандидатов, а контроль — меньше, нельзя было бы приписать всю разницу качеству ранжирования. Здесь это различие устранено.</w:t>
      </w:r>
    </w:p>
    <w:p>
      <w:pPr>
        <w:pStyle w:val="Heading1"/>
      </w:pPr>
      <w:bookmarkStart w:id="80" w:name="section_80"/>
      <w:r>
        <w:t>7. Что измеряет эксперимент</w:t>
      </w:r>
      <w:bookmarkEnd w:id="80"/>
    </w:p>
    <w:p>
      <w:pPr/>
      <w:r>
        <w:t xml:space="preserve">Эксперимент измеряет, насколько высоко система ставит малотрафиковые связи, по которым затем наблюдаются заказы. Будущий заказ — полезный поведенческий </w:t>
      </w:r>
      <w:r>
        <w:rPr>
          <w:b/>
        </w:rPr>
        <w:t>proxy</w:t>
      </w:r>
      <w:r>
        <w:t>, косвенный положительный сигнал. Это не экспертная разметка всех подходящих фраз и не причинный эффект SEO.</w:t>
      </w:r>
    </w:p>
    <w:p>
      <w:pPr/>
      <w:r/>
      <w:r>
        <w:rPr>
          <w:b/>
        </w:rPr>
        <w:t>Train</w:t>
      </w:r>
      <w:r>
        <w:t xml:space="preserve"> — примеры для обучения. </w:t>
      </w:r>
      <w:r>
        <w:rPr>
          <w:b/>
        </w:rPr>
        <w:t>Validation</w:t>
      </w:r>
      <w:r>
        <w:t xml:space="preserve"> — будущее окно для выбора настроек и метода. </w:t>
      </w:r>
      <w:r>
        <w:rPr>
          <w:b/>
        </w:rPr>
        <w:t>Test</w:t>
      </w:r>
      <w:r>
        <w:t xml:space="preserve"> — следующий период для проверки зафиксированного решения. </w:t>
      </w:r>
      <w:r>
        <w:rPr>
          <w:rFonts w:ascii="Courier New" w:hAnsi="Courier New"/>
        </w:rPr>
        <w:t>Time leakage</w:t>
      </w:r>
      <w:r>
        <w:t>, утечка будущего, возникает, если в признаки или обученные представления попали ответы, недоступные на дату решения.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5"/>
        <w:gridCol w:w="2665"/>
        <w:gridCol w:w="3969"/>
      </w:tblGrid>
      <w:tr>
        <w:trPr>
          <w:cantSplit/>
          <w:tblHeader/>
        </w:trPr>
        <w:tc>
          <w:tcPr>
            <w:tcW w:type="dxa" w:w="3005"/>
            <w:shd w:fill="EAF5F0"/>
          </w:tcPr>
          <w:p>
            <w:pPr>
              <w:spacing w:after="40" w:before="40"/>
              <w:jc w:val="left"/>
            </w:pPr>
            <w:r>
              <w:rPr>
                <w:b/>
              </w:rPr>
              <w:t>Часть</w:t>
            </w:r>
          </w:p>
        </w:tc>
        <w:tc>
          <w:tcPr>
            <w:tcW w:type="dxa" w:w="2665"/>
            <w:shd w:fill="EAF5F0"/>
          </w:tcPr>
          <w:p>
            <w:pPr>
              <w:spacing w:after="40" w:before="40"/>
              <w:jc w:val="left"/>
            </w:pPr>
            <w:r>
              <w:rPr>
                <w:b/>
              </w:rPr>
              <w:t>Дата решения или конец истории</w:t>
            </w:r>
          </w:p>
        </w:tc>
        <w:tc>
          <w:tcPr>
            <w:tcW w:type="dxa" w:w="3969"/>
            <w:shd w:fill="EAF5F0"/>
          </w:tcPr>
          <w:p>
            <w:pPr>
              <w:spacing w:after="40" w:before="40"/>
              <w:jc w:val="left"/>
            </w:pPr>
            <w:r>
              <w:rPr>
                <w:b/>
              </w:rPr>
              <w:t>Ответы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Train CatBoost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26.06, 03.07, 07.08, 14.08, 21.08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Следующие 14 дней каждого решения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Train адаптера и LightGCN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04.09.2026 включительно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Только прошлые продающие связи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Validation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04.09.2026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05–18.09.2026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Сентябрьская проверка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18.09.2026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19.09–02.10.2026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Новые дни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03.10.2026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04–07.10.2026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Финальный refit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07.10.2026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Отдельное обучение после оценки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/>
      <w:r>
        <w:t xml:space="preserve">Шаг train равен </w:t>
      </w:r>
      <w:r>
        <w:rPr>
          <w:b/>
        </w:rPr>
        <w:t>7 дням</w:t>
      </w:r>
      <w:r>
        <w:t xml:space="preserve">; перекрывающиеся ответы не являются независимыми наблюдениями. Решения 10.07, 17.07, 24.07, 31.07 исключены: пропуск 21.07 затронул ответы или окно просмотров. Всего отсутствуют </w:t>
      </w:r>
      <w:r>
        <w:rPr>
          <w:b/>
        </w:rPr>
        <w:t>19.05, 04.06, 12.06, 21.07</w:t>
      </w:r>
      <w:r>
        <w:t>. Пропуск не заменяется нулевым спросом. Неполные validation/test запрещены. Наличие строк в остальные дни не доказывает полноту загрузки внутри дня.</w:t>
      </w:r>
    </w:p>
    <w:p>
      <w:pPr/>
      <w:r/>
      <w:r>
        <w:rPr>
          <w:b/>
        </w:rPr>
        <w:t>Материальные границы результата:</w:t>
      </w:r>
      <w:r>
        <w:t xml:space="preserve"> сентябрьский test уже использовался в исследовании и остаётся </w:t>
      </w:r>
      <w:r>
        <w:rPr>
          <w:b/>
        </w:rPr>
        <w:t>диагностическим</w:t>
      </w:r>
      <w:r>
        <w:t>, не новым независимым тестом. Четыре новых октябрьских дня не равноценны 14-дневному горизонту; интервал разницы с контролем включает ноль. Финальный выпуск обучен и на прежних ответах validation/test, поэтому сентябрьские метрики относятся к проверочным моделям, а не оценивают refit-выпуск.</w:t>
      </w:r>
    </w:p>
    <w:p>
      <w:pPr/>
      <w:r>
        <w:t>Октябрьский текст карточек применяется после offline-ранжирования, расчёта по сохранённой истории, для текущего товарного отсева. Он не использован в сентябрьских признаках или ответах. Полнота источника и версия алгоритма словаря известны не полностью. Метод зависит от продающих ориентиров; совершенно холодный старт не решён. Фото и OCR, распознавание текста на изображениях, не использовались. Ручная экспертная разметка, cross-encoder (нейросеть для совместной оценки двух текстов), GraphSAGE (другая графовая архитектура) и дообучение Transformer не входят в реализованный объём.</w:t>
      </w:r>
    </w:p>
    <w:p>
      <w:pPr/>
      <w:r>
        <w:t xml:space="preserve">Отсутствие заказа оставляет связь </w:t>
      </w:r>
      <w:r>
        <w:rPr>
          <w:b/>
        </w:rPr>
        <w:t>unknown</w:t>
      </w:r>
      <w:r>
        <w:t xml:space="preserve">, неизвестной. Поэтому Precision@10 </w:t>
      </w:r>
      <w:r>
        <w:rPr>
          <w:b/>
        </w:rPr>
        <w:t>4,96% не означает, что оставшиеся 95,04% фраз нерелевантны</w:t>
      </w:r>
      <w:r>
        <w:t>. Они могли не получить заказ за короткое окно по множеству причин. Изменений карточек и измеренного прироста продаж в этом эксперименте нет. Для оценки товарной пригодности нужен независимый экспертный аудит, для эффекта изменения карточки — отдельный контролируемый бизнес-эксперимент.</w:t>
      </w:r>
    </w:p>
    <w:p>
      <w:pPr/>
      <w:r>
        <w:t>Стресс-проверка измеряет только перестановку сохранённого пула. Шум scores, выбросы счётчиков и выпадение кандидатов искусственные. Поиск, обучение и веса не перестраиваются. Это не испытание опечаток, повреждённой базы или устойчивости всей системы.</w:t>
      </w:r>
    </w:p>
    <w:p>
      <w:pPr>
        <w:pStyle w:val="Heading1"/>
      </w:pPr>
      <w:bookmarkStart w:id="89" w:name="section_89"/>
      <w:r>
        <w:t>8. Метрики: считаем на нашей учебной бутылке</w:t>
      </w:r>
      <w:bookmarkEnd w:id="89"/>
    </w:p>
    <w:p>
      <w:pPr/>
      <w:r/>
      <w:r>
        <w:rPr>
          <w:rFonts w:ascii="Courier New" w:hAnsi="Courier New"/>
        </w:rPr>
        <w:t>Top-K</w:t>
      </w:r>
      <w:r>
        <w:t xml:space="preserve"> — первые K позиций. В проекте используются K=5 и K=10. Это размер оцениваемой выдачи, не требование обязательно добавить десять фраз в карточку.</w:t>
      </w:r>
    </w:p>
    <w:p>
      <w:pPr/>
      <w:r/>
      <w:r>
        <w:rPr>
          <w:rFonts w:ascii="Courier New" w:hAnsi="Courier New"/>
        </w:rPr>
        <w:t>Recall</w:t>
      </w:r>
      <w:r>
        <w:t xml:space="preserve"> — полнота: какую долю наблюдаемых будущих продающих кластеров нашли в первых K. </w:t>
      </w:r>
      <w:r>
        <w:rPr>
          <w:rFonts w:ascii="Courier New" w:hAnsi="Courier New"/>
        </w:rPr>
        <w:t>Precision</w:t>
      </w:r>
      <w:r>
        <w:t xml:space="preserve"> — доля первых K позиций, подтверждённых будущими заказами. </w:t>
      </w:r>
      <w:r>
        <w:rPr>
          <w:rFonts w:ascii="Courier New" w:hAnsi="Courier New"/>
        </w:rPr>
        <w:t>NDCG</w:t>
      </w:r>
      <w:r>
        <w:t xml:space="preserve"> — качество порядка: найденная цель на первом месте ценнее той же цели на десятом.</w:t>
      </w:r>
    </w:p>
    <w:p>
      <w:pPr/>
      <w:r>
        <w:t xml:space="preserve">После учебной даты решения у бутылки А появились заказы по трём кластерам: «бутылка для тренировок», «бутылка для прогулки», «бутылка для фитнеса». В нашем вымышленном списке они находятся на местах </w:t>
      </w:r>
      <w:r>
        <w:rPr>
          <w:b/>
        </w:rPr>
        <w:t>1, 4, 12</w:t>
      </w:r>
      <w:r>
        <w:t>. При K=10 две цели попали в десятку, третья — нет.</w:t>
      </w:r>
    </w:p>
    <w:p>
      <w:pPr>
        <w:pStyle w:val="GuideCode"/>
      </w:pPr>
      <w:r>
        <w:t>P = все наблюдаемые будущие positive данного SKU = 3</w:t>
        <w:br/>
        <w:t>H = найденные positive на первых K местах = 2</w:t>
        <w:br/>
        <w:t>Recall@10 = H/P = 2/3 = 66.67%</w:t>
        <w:br/>
        <w:t>Precision@10 = H/10 = 2/10 = 20%</w:t>
      </w:r>
    </w:p>
    <w:p>
      <w:pPr/>
      <w:r>
        <w:t xml:space="preserve">Recall отвечает: «Из трёх будущих продающих фраз нашли две». Precision отвечает: «Из десяти показанных позиций две подтверждены будущими заказами». Если система вернула только четыре строки, знаменатель Precision@10 всё равно </w:t>
      </w:r>
      <w:r>
        <w:rPr>
          <w:b/>
        </w:rPr>
        <w:t>10</w:t>
      </w:r>
      <w:r>
        <w:t>. Positive, потерянный при поиске, остаётся в знаменателе Recall.</w:t>
      </w:r>
    </w:p>
    <w:p>
      <w:pPr/>
      <w:r/>
      <w:r>
        <w:rPr>
          <w:rFonts w:ascii="Courier New" w:hAnsi="Courier New"/>
        </w:rPr>
        <w:t>DCG</w:t>
      </w:r>
      <w:r>
        <w:t xml:space="preserve"> — сумма наград найденных целей с уменьшением награды за позднее место. </w:t>
      </w:r>
      <w:r>
        <w:rPr>
          <w:rFonts w:ascii="Courier New" w:hAnsi="Courier New"/>
        </w:rPr>
        <w:t>IDCG</w:t>
      </w:r>
      <w:r>
        <w:t xml:space="preserve"> — такая же сумма для идеального порядка. </w:t>
      </w:r>
      <w:r>
        <w:rPr>
          <w:rFonts w:ascii="Courier New" w:hAnsi="Courier New"/>
        </w:rPr>
        <w:t>r_i</w:t>
      </w:r>
      <w:r>
        <w:t xml:space="preserve"> равняется 1, если на месте i стоит наблюдаемый будущий positive, иначе 0. </w:t>
      </w:r>
      <w:r>
        <w:rPr>
          <w:rFonts w:ascii="Courier New" w:hAnsi="Courier New"/>
        </w:rPr>
        <w:t>log₂</w:t>
      </w:r>
      <w:r>
        <w:t xml:space="preserve"> — логарифм по основанию 2.</w:t>
      </w:r>
    </w:p>
    <w:p>
      <w:pPr>
        <w:pStyle w:val="GuideCode"/>
      </w:pPr>
      <w:r>
        <w:t>DCG@K = Σ(i=1…K) r_i / log₂(i+1)</w:t>
        <w:br/>
        <w:t>IDCG@K = Σ(i=1…min(K,P)) 1 / log₂(i+1)</w:t>
        <w:br/>
        <w:t>NDCG@K = DCG@K / IDCG@K</w:t>
      </w:r>
    </w:p>
    <w:p>
      <w:pPr/>
      <w:r>
        <w:t>В идеале три будущие продающие фразы стоят на местах 1, 2, 3. В нашей выдаче учитываются места 1 и 4; место 12 уже вне десятки:</w:t>
      </w:r>
    </w:p>
    <w:p>
      <w:pPr>
        <w:pStyle w:val="GuideCode"/>
      </w:pPr>
      <w:r>
        <w:t>DCG@10 = 1/log₂(2) + 1/log₂(5) ≈ 1 + 0.43068 = 1.43068</w:t>
        <w:br/>
        <w:t>IDCG@10 = 1/log₂(2) + 1/log₂(3) + 1/log₂(4)</w:t>
        <w:br/>
        <w:t xml:space="preserve">        ≈ 1 + 0.63093 + 0.5 = 2.13093</w:t>
        <w:br/>
        <w:t>NDCG@10 ≈ 1.43068/2.13093 = 0.6714</w:t>
      </w:r>
    </w:p>
    <w:p>
      <w:pPr/>
      <w:r>
        <w:t>Если поставить вторую найденную фразу на место 2 вместо 4, Recall и Precision не изменятся, но NDCG вырастет. Так метрика различает «нашли» и «показали удобно».</w:t>
      </w:r>
    </w:p>
    <w:p>
      <w:pPr>
        <w:pStyle w:val="Heading2"/>
      </w:pPr>
      <w:bookmarkStart w:id="100" w:name="section_100"/>
      <w:r>
        <w:t>Macro: каждый товар имеет одинаковый голос</w:t>
      </w:r>
      <w:bookmarkEnd w:id="100"/>
    </w:p>
    <w:p>
      <w:pPr/>
      <w:r/>
      <w:r>
        <w:rPr>
          <w:rFonts w:ascii="Courier New" w:hAnsi="Courier New"/>
        </w:rPr>
        <w:t>Macro</w:t>
      </w:r>
      <w:r>
        <w:t xml:space="preserve"> — сначала посчитать метрику каждого пригодного SKU, затем усреднить. Продолжим ту же учебную историю: бутылка Б объёмом 750 мл имеет один будущий positive на месте 2. Её Recall@10 — 100%, Precision@10 — 10%, NDCG@10 — 0,6309.</w:t>
      </w:r>
    </w:p>
    <w:p>
      <w:pPr>
        <w:pStyle w:val="GuideCode"/>
      </w:pPr>
      <w:r>
        <w:t>Macro Recall@10 = (66.67% + 100%)/2 = 83.33%</w:t>
        <w:br/>
        <w:t>Macro Precision@10 = (20% + 10%)/2 = 15%</w:t>
        <w:br/>
        <w:t>Macro NDCG@10 = (0.6714 + 0.6309)/2 ≈ 0.6512</w:t>
      </w:r>
    </w:p>
    <w:p>
      <w:pPr/>
      <w:r>
        <w:t>Бутылка А с тремя целями и бутылка Б с одной влияют поровну. Деление трёх найденных связей на четыре цели дало бы 75%: это другой, объединённый подсчёт, не используемый macro Recall. Товар с positive и пустой выдачей тоже включается и получает ноль. Товар без наблюдаемых positive не входит в эту популяцию оценки.</w:t>
      </w:r>
    </w:p>
    <w:p>
      <w:pPr>
        <w:pStyle w:val="Heading2"/>
      </w:pPr>
      <w:bookmarkStart w:id="104" w:name="section_104"/>
      <w:r>
        <w:t>Дополнительные показатели и интервалы</w:t>
      </w:r>
      <w:bookmarkEnd w:id="104"/>
    </w:p>
    <w:p>
      <w:pPr/>
      <w:r/>
      <w:r>
        <w:rPr>
          <w:rFonts w:ascii="Courier New" w:hAnsi="Courier New"/>
        </w:rPr>
        <w:t>Retrieval recall</w:t>
      </w:r>
      <w:r>
        <w:t xml:space="preserve"> — полнота </w:t>
      </w:r>
      <w:r>
        <w:rPr>
          <w:b/>
        </w:rPr>
        <w:t>всего пула до сокращения</w:t>
      </w:r>
      <w:r>
        <w:t>, а не только десятки. Если фраза не найдена ни одним каналом, ранжирование её уже не спасёт.</w:t>
      </w:r>
    </w:p>
    <w:p>
      <w:pPr/>
      <w:r/>
      <w:r>
        <w:rPr>
          <w:rFonts w:ascii="Courier New" w:hAnsi="Courier New"/>
        </w:rPr>
        <w:t>MRR</w:t>
      </w:r>
      <w:r>
        <w:t xml:space="preserve"> — среднее обратное место первого найденного positive. В учебной бутылке А первый positive на месте 1, в Б — на месте 2:</w:t>
      </w:r>
    </w:p>
    <w:p>
      <w:pPr>
        <w:pStyle w:val="GuideCode"/>
      </w:pPr>
      <w:r>
        <w:t>MRR = mean(1 / место первого positive), при отсутствии positive в выдаче вклад 0</w:t>
        <w:br/>
        <w:t>Учебный MRR = (1/1 + 1/2)/2 = 0.75</w:t>
      </w:r>
    </w:p>
    <w:p>
      <w:pPr/>
      <w:r/>
      <w:r>
        <w:rPr>
          <w:b/>
        </w:rPr>
        <w:t>Парный bootstrap</w:t>
      </w:r>
      <w:r>
        <w:t xml:space="preserve"> — многократное пересэмплирование одних и тех же SKU для контроля и гибрида. Это оценивает неопределённость разницы внутри данного периода. Используются </w:t>
      </w:r>
      <w:r>
        <w:rPr>
          <w:b/>
        </w:rPr>
        <w:t>2 000 повторов</w:t>
      </w:r>
      <w:r>
        <w:t xml:space="preserve">, </w:t>
      </w:r>
      <w:r>
        <w:rPr>
          <w:b/>
        </w:rPr>
        <w:t>seed 7</w:t>
      </w:r>
      <w:r>
        <w:t xml:space="preserve">, </w:t>
      </w:r>
      <w:r>
        <w:rPr>
          <w:b/>
        </w:rPr>
        <w:t>95%-интервал</w:t>
      </w:r>
      <w:r>
        <w:t>. Seed — фиксированное начальное состояние случайного генератора. Интервал не превращает ранее использованный период в независимый.</w:t>
      </w:r>
    </w:p>
    <w:p>
      <w:pPr>
        <w:pStyle w:val="Heading1"/>
      </w:pPr>
      <w:bookmarkStart w:id="109" w:name="section_109"/>
      <w:r>
        <w:t>9. От проверки к refit, правилам и CSV</w:t>
      </w:r>
      <w:bookmarkEnd w:id="109"/>
    </w:p>
    <w:p>
      <w:pPr/>
      <w:r/>
      <w:r>
        <w:rPr>
          <w:rFonts w:ascii="Courier New" w:hAnsi="Courier New"/>
        </w:rPr>
        <w:t>Refit</w:t>
      </w:r>
      <w:r>
        <w:t xml:space="preserve"> — повторное обучение на всей доступной истории </w:t>
      </w:r>
      <w:r>
        <w:rPr>
          <w:b/>
        </w:rPr>
        <w:t>после фиксации настроек</w:t>
      </w:r>
      <w:r>
        <w:t>. Проверочные модели нужны для честного временного сравнения. Финальные модели нужны, чтобы использовать свежую историю при подготовке рабочего списка. Это разные наборы весов и разные папки.</w:t>
      </w:r>
    </w:p>
    <w:p>
      <w:pPr/>
      <w:r>
        <w:t xml:space="preserve">Восемь выходных папок из </w:t>
      </w:r>
      <w:r>
        <w:rPr>
          <w:rFonts w:ascii="Courier New" w:hAnsi="Courier New"/>
        </w:rPr>
        <w:t>config.json</w:t>
      </w:r>
      <w:r>
        <w:t xml:space="preserve"> соответствуют восьми этапам: контрольный эксперимент, проверочный адаптер, проверочный граф, общая оценка, ablation, финальный адаптер, финальный граф, итоговый выпуск. Они не являются восемью ненужными копиями проекта.</w:t>
      </w:r>
    </w:p>
    <w:p>
      <w:pPr/>
      <w:r>
        <w:t xml:space="preserve">После ранжирования применяется </w:t>
      </w:r>
      <w:r>
        <w:rPr>
          <w:b/>
        </w:rPr>
        <w:t>товарная политика</w:t>
      </w:r>
      <w:r>
        <w:t>: понятные человеку правила, не модель предсказания заказа. Проверяется датированный текст карточки и явные товарные противоречия. Смысловая или графовая близость сама по себе не проверяет конкретные требования к объёму, бренду и другим свойствам. Для этого нужен отдельный слой правил.</w:t>
      </w:r>
    </w:p>
    <w:p>
      <w:pPr/>
      <w:r>
        <w:t>Поддерживаемые требования явно описаны в общем словаре правил; сведения о брендах берутся из каталога. Модели не создают автоматически полный набор товарных ограничений. Решения выводятся из содержимого и версии правил, а не из списка заранее выбранных SKU. Индивидуальные исключения по идентификаторам не являются методом.</w:t>
      </w:r>
    </w:p>
    <w:p>
      <w:pPr/>
      <w:r>
        <w:t>Для учебной бутылки А:</w:t>
      </w:r>
    </w:p>
    <w:p>
      <w:pPr>
        <w:pStyle w:val="ListBullet"/>
      </w:pPr>
      <w:r>
        <w:t xml:space="preserve">Если непрерывная фраза уже присутствует в текстовом поле, статус </w:t>
      </w:r>
      <w:r>
        <w:rPr>
          <w:rFonts w:ascii="Courier New" w:hAnsi="Courier New"/>
        </w:rPr>
        <w:t>already_present</w:t>
      </w:r>
      <w:r>
        <w:t>: её не нужно предлагать как новую.</w:t>
      </w:r>
    </w:p>
    <w:p>
      <w:pPr>
        <w:pStyle w:val="ListBullet"/>
      </w:pPr>
      <w:r>
        <w:t xml:space="preserve">Если запрос явно требует несовместимого свойства, например объём 2 л при явно указанном объёме 500 мл, статус </w:t>
      </w:r>
      <w:r>
        <w:rPr>
          <w:rFonts w:ascii="Courier New" w:hAnsi="Courier New"/>
        </w:rPr>
        <w:t>exclude_candidate</w:t>
      </w:r>
      <w:r>
        <w:t>.</w:t>
      </w:r>
    </w:p>
    <w:p>
      <w:pPr>
        <w:pStyle w:val="ListBullet"/>
      </w:pPr>
      <w:r>
        <w:t xml:space="preserve">Если фраза не найдена и явного конфликта нет, статус </w:t>
      </w:r>
      <w:r>
        <w:rPr>
          <w:rFonts w:ascii="Courier New" w:hAnsi="Courier New"/>
        </w:rPr>
        <w:t>review</w:t>
      </w:r>
      <w:r>
        <w:t xml:space="preserve">; совместимость остаётся </w:t>
      </w:r>
      <w:r>
        <w:rPr>
          <w:rFonts w:ascii="Courier New" w:hAnsi="Courier New"/>
        </w:rPr>
        <w:t>not_verified</w:t>
      </w:r>
      <w:r>
        <w:t xml:space="preserve"> до проверки специалистом.</w:t>
      </w:r>
    </w:p>
    <w:p>
      <w:pPr/>
      <w:r>
        <w:t>Отсутствие известного свойства не заменяется выдуманным подтверждением. Слова в разных полях не склеиваются в якобы существующую SEO-фразу. Rich-content и URL не принимаются за текст. Неизвестные состав, медицинское назначение и материал не домысливаются. Конкретные поддерживаемые признаки ограничены версией словаря правил.</w:t>
      </w:r>
    </w:p>
    <w:p>
      <w:pPr/>
      <w:r>
        <w:t xml:space="preserve">Отсев выполняется </w:t>
      </w:r>
      <w:r>
        <w:rPr>
          <w:b/>
        </w:rPr>
        <w:t>до короткого списка</w:t>
      </w:r>
      <w:r>
        <w:t xml:space="preserve">, чтобы исключённая строка не занимала место пригодного к рассмотрению кандидата. Автоматическое </w:t>
      </w:r>
      <w:r>
        <w:rPr>
          <w:rFonts w:ascii="Courier New" w:hAnsi="Courier New"/>
        </w:rPr>
        <w:t>add_candidate</w:t>
      </w:r>
      <w:r>
        <w:t xml:space="preserve"> не создаётся.</w:t>
      </w:r>
    </w:p>
    <w:p>
      <w:pPr/>
      <w:r/>
      <w:r>
        <w:rPr>
          <w:rFonts w:ascii="Courier New" w:hAnsi="Courier New"/>
        </w:rPr>
        <w:t>CSV</w:t>
      </w:r>
      <w:r>
        <w:t xml:space="preserve"> — текстовая таблица, открываемая в табличном редакторе. Текущая очередь находится в </w:t>
      </w:r>
      <w:r>
        <w:rPr>
          <w:rFonts w:ascii="Courier New" w:hAnsi="Courier New"/>
        </w:rPr>
        <w:t>reports/stage3_release/recommendations_for_review.csv</w:t>
      </w:r>
      <w:r>
        <w:t xml:space="preserve">. В строке доступны товар, кластер, </w:t>
      </w:r>
      <w:r>
        <w:rPr>
          <w:rFonts w:ascii="Courier New" w:hAnsi="Courier New"/>
        </w:rPr>
        <w:t>selling_seed</w:t>
      </w:r>
      <w:r>
        <w:t xml:space="preserve"> (продающий ориентир), </w:t>
      </w:r>
      <w:r>
        <w:rPr>
          <w:rFonts w:ascii="Courier New" w:hAnsi="Courier New"/>
        </w:rPr>
        <w:t>history_views</w:t>
      </w:r>
      <w:r>
        <w:t xml:space="preserve"> (просмотры недавнего окна), </w:t>
      </w:r>
      <w:r>
        <w:rPr>
          <w:rFonts w:ascii="Courier New" w:hAnsi="Courier New"/>
        </w:rPr>
        <w:t>score</w:t>
      </w:r>
      <w:r>
        <w:t xml:space="preserve">, </w:t>
      </w:r>
      <w:r>
        <w:rPr>
          <w:rFonts w:ascii="Courier New" w:hAnsi="Courier New"/>
        </w:rPr>
        <w:t>recommendation_basis</w:t>
      </w:r>
      <w:r>
        <w:t xml:space="preserve"> (механизм выбора), товарные свидетельства и статус. Основание выбора объясняет, </w:t>
      </w:r>
      <w:r>
        <w:rPr>
          <w:b/>
        </w:rPr>
        <w:t>откуда</w:t>
      </w:r>
      <w:r>
        <w:t xml:space="preserve"> пришёл кандидат, а не подтверждает свойства товара.</w:t>
      </w:r>
    </w:p>
    <w:p>
      <w:pPr/>
      <w:r>
        <w:t>Рабочий цикл специалиста: открыть очередь → проверить карточку и свойства → решить, полезна ли фраза → выбрать доступное текстовое поле → сохранить принятое решение. Предсказательный приоритет и человеческое решение остаются разными действиями.</w:t>
      </w:r>
    </w:p>
    <w:p>
      <w:pPr>
        <w:pStyle w:val="Heading1"/>
      </w:pPr>
      <w:bookmarkStart w:id="122" w:name="section_122"/>
      <w:r>
        <w:t>10. Реальные результаты и их практическое чтение</w:t>
      </w:r>
      <w:bookmarkEnd w:id="122"/>
    </w:p>
    <w:p>
      <w:pPr/>
      <w:r>
        <w:t xml:space="preserve">Источник чисел — </w:t>
      </w:r>
      <w:hyperlink r:id="rId11">
        <w:r>
          <w:rPr>
            <w:color w:val="226655"/>
            <w:u w:val="single"/>
          </w:rPr>
          <w:t xml:space="preserve">компактный публичный снимок</w:t>
        </w:r>
      </w:hyperlink>
      <w:r>
        <w:t xml:space="preserve">, запуск </w:t>
      </w:r>
      <w:r>
        <w:rPr>
          <w:rFonts w:ascii="Courier New" w:hAnsi="Courier New"/>
        </w:rPr>
        <w:t>stage3_20261011</w:t>
      </w:r>
      <w:r>
        <w:t>. Учебные бутылки из предыдущих разделов не участвовали в этом эксперименте.</w:t>
      </w:r>
    </w:p>
    <w:p>
      <w:pPr/>
      <w:r>
        <w:t>Три масштаба нужно различать: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5"/>
        <w:gridCol w:w="2665"/>
        <w:gridCol w:w="3969"/>
      </w:tblGrid>
      <w:tr>
        <w:trPr>
          <w:cantSplit/>
          <w:tblHeader/>
        </w:trPr>
        <w:tc>
          <w:tcPr>
            <w:tcW w:type="dxa" w:w="3005"/>
            <w:shd w:fill="EAF5F0"/>
          </w:tcPr>
          <w:p>
            <w:pPr>
              <w:spacing w:after="40" w:before="40"/>
              <w:jc w:val="left"/>
            </w:pPr>
            <w:r>
              <w:rPr>
                <w:b/>
              </w:rPr>
              <w:t>Число</w:t>
            </w:r>
          </w:p>
        </w:tc>
        <w:tc>
          <w:tcPr>
            <w:tcW w:type="dxa" w:w="2665"/>
            <w:shd w:fill="EAF5F0"/>
          </w:tcPr>
          <w:p>
            <w:pPr>
              <w:spacing w:after="40" w:before="40"/>
              <w:jc w:val="left"/>
            </w:pPr>
            <w:r>
              <w:rPr>
                <w:b/>
              </w:rPr>
              <w:t>Что именно считается</w:t>
            </w:r>
          </w:p>
        </w:tc>
        <w:tc>
          <w:tcPr>
            <w:tcW w:type="dxa" w:w="3969"/>
            <w:shd w:fill="EAF5F0"/>
          </w:tcPr>
          <w:p>
            <w:pPr>
              <w:spacing w:after="40" w:before="40"/>
              <w:jc w:val="left"/>
            </w:pPr>
            <w:r>
              <w:rPr>
                <w:b/>
              </w:rPr>
              <w:t>Для чего нужно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2 171 SKU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Все товары в исходной выгрузке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Масштаб прочитанной истории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121 SKU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Товары с positive в сентябрьской оценке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Знаменатель macro-метрик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353 SKU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Товары в текущей очереди после refit и отсева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Практический выпуск для review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/>
      <w:r>
        <w:t xml:space="preserve">В оценке: </w:t>
      </w:r>
      <w:r>
        <w:rPr>
          <w:b/>
        </w:rPr>
        <w:t>260 положительных связей</w:t>
      </w:r>
      <w:r>
        <w:t xml:space="preserve">, </w:t>
      </w:r>
      <w:r>
        <w:rPr>
          <w:b/>
        </w:rPr>
        <w:t>166 291 кандидат</w:t>
      </w:r>
      <w:r>
        <w:t xml:space="preserve">, полнота пула </w:t>
      </w:r>
      <w:r>
        <w:rPr>
          <w:b/>
        </w:rPr>
        <w:t>73,13%</w:t>
      </w:r>
      <w:r>
        <w:t>. Все методы сравниваются на одной популяции.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1701"/>
        <w:gridCol w:w="2438"/>
        <w:gridCol w:w="1814"/>
      </w:tblGrid>
      <w:tr>
        <w:trPr>
          <w:cantSplit/>
          <w:tblHeader/>
        </w:trPr>
        <w:tc>
          <w:tcPr>
            <w:tcW w:type="dxa" w:w="3685"/>
            <w:shd w:fill="EAF5F0"/>
          </w:tcPr>
          <w:p>
            <w:pPr>
              <w:spacing w:after="40" w:before="40"/>
              <w:jc w:val="left"/>
            </w:pPr>
            <w:r>
              <w:rPr>
                <w:b/>
              </w:rPr>
              <w:t>Метод</w:t>
            </w:r>
          </w:p>
        </w:tc>
        <w:tc>
          <w:tcPr>
            <w:tcW w:type="dxa" w:w="1701"/>
            <w:shd w:fill="EAF5F0"/>
          </w:tcPr>
          <w:p>
            <w:pPr>
              <w:spacing w:after="40" w:before="40"/>
              <w:jc w:val="left"/>
            </w:pPr>
            <w:r>
              <w:rPr>
                <w:b/>
              </w:rPr>
              <w:t>Recall@10</w:t>
            </w:r>
          </w:p>
        </w:tc>
        <w:tc>
          <w:tcPr>
            <w:tcW w:type="dxa" w:w="2438"/>
            <w:shd w:fill="EAF5F0"/>
          </w:tcPr>
          <w:p>
            <w:pPr>
              <w:spacing w:after="40" w:before="40"/>
              <w:jc w:val="left"/>
            </w:pPr>
            <w:r>
              <w:rPr>
                <w:b/>
              </w:rPr>
              <w:t>Precision@10, proxy</w:t>
            </w:r>
          </w:p>
        </w:tc>
        <w:tc>
          <w:tcPr>
            <w:tcW w:type="dxa" w:w="1814"/>
            <w:shd w:fill="EAF5F0"/>
          </w:tcPr>
          <w:p>
            <w:pPr>
              <w:spacing w:after="40" w:before="40"/>
              <w:jc w:val="left"/>
            </w:pPr>
            <w:r>
              <w:rPr>
                <w:b/>
              </w:rPr>
              <w:t>NDCG@10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40" w:before="40"/>
              <w:jc w:val="left"/>
            </w:pPr>
            <w:r>
              <w:t>TF-IDF</w:t>
            </w:r>
          </w:p>
        </w:tc>
        <w:tc>
          <w:tcPr>
            <w:tcW w:type="dxa" w:w="1701"/>
          </w:tcPr>
          <w:p>
            <w:pPr>
              <w:spacing w:after="40" w:before="40"/>
              <w:jc w:val="left"/>
            </w:pPr>
            <w:r>
              <w:t>9,11%</w:t>
            </w:r>
          </w:p>
        </w:tc>
        <w:tc>
          <w:tcPr>
            <w:tcW w:type="dxa" w:w="2438"/>
          </w:tcPr>
          <w:p>
            <w:pPr>
              <w:spacing w:after="40" w:before="40"/>
              <w:jc w:val="left"/>
            </w:pPr>
            <w:r>
              <w:t>1,74%</w:t>
            </w:r>
          </w:p>
        </w:tc>
        <w:tc>
          <w:tcPr>
            <w:tcW w:type="dxa" w:w="1814"/>
          </w:tcPr>
          <w:p>
            <w:pPr>
              <w:spacing w:after="40" w:before="40"/>
              <w:jc w:val="left"/>
            </w:pPr>
            <w:r>
              <w:t>0,0520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40" w:before="40"/>
              <w:jc w:val="left"/>
            </w:pPr>
            <w:r>
              <w:t>Co-sales</w:t>
            </w:r>
          </w:p>
        </w:tc>
        <w:tc>
          <w:tcPr>
            <w:tcW w:type="dxa" w:w="1701"/>
          </w:tcPr>
          <w:p>
            <w:pPr>
              <w:spacing w:after="40" w:before="40"/>
              <w:jc w:val="left"/>
            </w:pPr>
            <w:r>
              <w:t>12,87%</w:t>
            </w:r>
          </w:p>
        </w:tc>
        <w:tc>
          <w:tcPr>
            <w:tcW w:type="dxa" w:w="2438"/>
          </w:tcPr>
          <w:p>
            <w:pPr>
              <w:spacing w:after="40" w:before="40"/>
              <w:jc w:val="left"/>
            </w:pPr>
            <w:r>
              <w:t>3,14%</w:t>
            </w:r>
          </w:p>
        </w:tc>
        <w:tc>
          <w:tcPr>
            <w:tcW w:type="dxa" w:w="1814"/>
          </w:tcPr>
          <w:p>
            <w:pPr>
              <w:spacing w:after="40" w:before="40"/>
              <w:jc w:val="left"/>
            </w:pPr>
            <w:r>
              <w:t>0,0976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40" w:before="40"/>
              <w:jc w:val="left"/>
            </w:pPr>
            <w:r>
              <w:t>Предобученная E5</w:t>
            </w:r>
          </w:p>
        </w:tc>
        <w:tc>
          <w:tcPr>
            <w:tcW w:type="dxa" w:w="1701"/>
          </w:tcPr>
          <w:p>
            <w:pPr>
              <w:spacing w:after="40" w:before="40"/>
              <w:jc w:val="left"/>
            </w:pPr>
            <w:r>
              <w:t>11,90%</w:t>
            </w:r>
          </w:p>
        </w:tc>
        <w:tc>
          <w:tcPr>
            <w:tcW w:type="dxa" w:w="2438"/>
          </w:tcPr>
          <w:p>
            <w:pPr>
              <w:spacing w:after="40" w:before="40"/>
              <w:jc w:val="left"/>
            </w:pPr>
            <w:r>
              <w:t>2,56%</w:t>
            </w:r>
          </w:p>
        </w:tc>
        <w:tc>
          <w:tcPr>
            <w:tcW w:type="dxa" w:w="1814"/>
          </w:tcPr>
          <w:p>
            <w:pPr>
              <w:spacing w:after="40" w:before="40"/>
              <w:jc w:val="left"/>
            </w:pPr>
            <w:r>
              <w:t>0,0767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40" w:before="40"/>
              <w:jc w:val="left"/>
            </w:pPr>
            <w:r>
              <w:t>Обученный адаптер</w:t>
            </w:r>
          </w:p>
        </w:tc>
        <w:tc>
          <w:tcPr>
            <w:tcW w:type="dxa" w:w="1701"/>
          </w:tcPr>
          <w:p>
            <w:pPr>
              <w:spacing w:after="40" w:before="40"/>
              <w:jc w:val="left"/>
            </w:pPr>
            <w:r>
              <w:t>12,89%</w:t>
            </w:r>
          </w:p>
        </w:tc>
        <w:tc>
          <w:tcPr>
            <w:tcW w:type="dxa" w:w="2438"/>
          </w:tcPr>
          <w:p>
            <w:pPr>
              <w:spacing w:after="40" w:before="40"/>
              <w:jc w:val="left"/>
            </w:pPr>
            <w:r>
              <w:t>2,81%</w:t>
            </w:r>
          </w:p>
        </w:tc>
        <w:tc>
          <w:tcPr>
            <w:tcW w:type="dxa" w:w="1814"/>
          </w:tcPr>
          <w:p>
            <w:pPr>
              <w:spacing w:after="40" w:before="40"/>
              <w:jc w:val="left"/>
            </w:pPr>
            <w:r>
              <w:t>0,0932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40" w:before="40"/>
              <w:jc w:val="left"/>
            </w:pPr>
            <w:r>
              <w:t>LightGCN</w:t>
            </w:r>
          </w:p>
        </w:tc>
        <w:tc>
          <w:tcPr>
            <w:tcW w:type="dxa" w:w="1701"/>
          </w:tcPr>
          <w:p>
            <w:pPr>
              <w:spacing w:after="40" w:before="40"/>
              <w:jc w:val="left"/>
            </w:pPr>
            <w:r>
              <w:t>15,17%</w:t>
            </w:r>
          </w:p>
        </w:tc>
        <w:tc>
          <w:tcPr>
            <w:tcW w:type="dxa" w:w="2438"/>
          </w:tcPr>
          <w:p>
            <w:pPr>
              <w:spacing w:after="40" w:before="40"/>
              <w:jc w:val="left"/>
            </w:pPr>
            <w:r>
              <w:t>3,72%</w:t>
            </w:r>
          </w:p>
        </w:tc>
        <w:tc>
          <w:tcPr>
            <w:tcW w:type="dxa" w:w="1814"/>
          </w:tcPr>
          <w:p>
            <w:pPr>
              <w:spacing w:after="40" w:before="40"/>
              <w:jc w:val="left"/>
            </w:pPr>
            <w:r>
              <w:t>0,1024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40" w:before="40"/>
              <w:jc w:val="left"/>
            </w:pPr>
            <w:r>
              <w:t>CatBoost</w:t>
            </w:r>
          </w:p>
        </w:tc>
        <w:tc>
          <w:tcPr>
            <w:tcW w:type="dxa" w:w="1701"/>
          </w:tcPr>
          <w:p>
            <w:pPr>
              <w:spacing w:after="40" w:before="40"/>
              <w:jc w:val="left"/>
            </w:pPr>
            <w:r>
              <w:t>15,29%</w:t>
            </w:r>
          </w:p>
        </w:tc>
        <w:tc>
          <w:tcPr>
            <w:tcW w:type="dxa" w:w="2438"/>
          </w:tcPr>
          <w:p>
            <w:pPr>
              <w:spacing w:after="40" w:before="40"/>
              <w:jc w:val="left"/>
            </w:pPr>
            <w:r>
              <w:t>3,64%</w:t>
            </w:r>
          </w:p>
        </w:tc>
        <w:tc>
          <w:tcPr>
            <w:tcW w:type="dxa" w:w="1814"/>
          </w:tcPr>
          <w:p>
            <w:pPr>
              <w:spacing w:after="40" w:before="40"/>
              <w:jc w:val="left"/>
            </w:pPr>
            <w:r>
              <w:t>0,0964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40" w:before="40"/>
              <w:jc w:val="left"/>
            </w:pPr>
            <w:r>
              <w:t>Гибрид четырёх</w:t>
            </w:r>
          </w:p>
        </w:tc>
        <w:tc>
          <w:tcPr>
            <w:tcW w:type="dxa" w:w="1701"/>
          </w:tcPr>
          <w:p>
            <w:pPr>
              <w:spacing w:after="40" w:before="40"/>
              <w:jc w:val="left"/>
            </w:pPr>
            <w:r>
              <w:t>22,85%</w:t>
            </w:r>
          </w:p>
        </w:tc>
        <w:tc>
          <w:tcPr>
            <w:tcW w:type="dxa" w:w="2438"/>
          </w:tcPr>
          <w:p>
            <w:pPr>
              <w:spacing w:after="40" w:before="40"/>
              <w:jc w:val="left"/>
            </w:pPr>
            <w:r>
              <w:t>4,96%</w:t>
            </w:r>
          </w:p>
        </w:tc>
        <w:tc>
          <w:tcPr>
            <w:tcW w:type="dxa" w:w="1814"/>
          </w:tcPr>
          <w:p>
            <w:pPr>
              <w:spacing w:after="40" w:before="40"/>
              <w:jc w:val="left"/>
            </w:pPr>
            <w:r>
              <w:t>0,1622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/>
      <w:r>
        <w:t>Отдельный граф и CatBoost превосходят простой текстовый контроль по Recall. Наиболее полный результат даёт объединение четырёх дополняющих каналов. Обученная модель не обязана побеждать во всех отдельных метриках, чтобы улучшать полезный гибрид.</w:t>
      </w:r>
    </w:p>
    <w:p>
      <w:pPr>
        <w:pStyle w:val="Heading2"/>
      </w:pPr>
      <w:bookmarkStart w:id="129" w:name="section_129"/>
      <w:r>
        <w:t>Доказанный вклад обученных каналов на одном пуле</w:t>
      </w:r>
      <w:bookmarkEnd w:id="129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5"/>
        <w:gridCol w:w="2665"/>
        <w:gridCol w:w="3969"/>
      </w:tblGrid>
      <w:tr>
        <w:trPr>
          <w:cantSplit/>
          <w:tblHeader/>
        </w:trPr>
        <w:tc>
          <w:tcPr>
            <w:tcW w:type="dxa" w:w="3005"/>
            <w:shd w:fill="EAF5F0"/>
          </w:tcPr>
          <w:p>
            <w:pPr>
              <w:spacing w:after="40" w:before="40"/>
              <w:jc w:val="left"/>
            </w:pPr>
            <w:r>
              <w:rPr>
                <w:b/>
              </w:rPr>
              <w:t>Состав</w:t>
            </w:r>
          </w:p>
        </w:tc>
        <w:tc>
          <w:tcPr>
            <w:tcW w:type="dxa" w:w="2665"/>
            <w:shd w:fill="EAF5F0"/>
          </w:tcPr>
          <w:p>
            <w:pPr>
              <w:spacing w:after="40" w:before="40"/>
              <w:jc w:val="left"/>
            </w:pPr>
            <w:r>
              <w:rPr>
                <w:b/>
              </w:rPr>
              <w:t>Recall@10</w:t>
            </w:r>
          </w:p>
        </w:tc>
        <w:tc>
          <w:tcPr>
            <w:tcW w:type="dxa" w:w="3969"/>
            <w:shd w:fill="EAF5F0"/>
          </w:tcPr>
          <w:p>
            <w:pPr>
              <w:spacing w:after="40" w:before="40"/>
              <w:jc w:val="left"/>
            </w:pPr>
            <w:r>
              <w:rPr>
                <w:b/>
              </w:rPr>
              <w:t>Как читать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E5 + co-sales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19,06%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Контроль без обученных новых представлений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Контроль + адаптер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21,59%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Вклад обученной текстовой поправки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Контроль + LightGCN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20,90%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Вклад обученного графа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Все четыре канала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22,85%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Выбранный гибрид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GuideCode"/>
      </w:pPr>
      <w:r>
        <w:t>Абсолютная разница = (0.2284861603 − 0.1905844156) × 100 ≈ 3.79 п.п.</w:t>
        <w:br/>
        <w:t>Относительная разница = (0.2284861603 / 0.1905844156 − 1) × 100 ≈ 19.89%</w:t>
      </w:r>
    </w:p>
    <w:p>
      <w:pPr/>
      <w:r>
        <w:t xml:space="preserve">95%-интервал абсолютной разницы: </w:t>
      </w:r>
      <w:r>
        <w:rPr>
          <w:b/>
        </w:rPr>
        <w:t>+0,20…+7,57 п.п.</w:t>
      </w:r>
      <w:r>
        <w:t xml:space="preserve"> Обученные представления дали измеримый выигрыш в данном сравнении. Это конкретное основание сохранять гибрид для следующего бизнес-пилота, а не утверждать, что обучение бесполезно.</w:t>
      </w:r>
    </w:p>
    <w:p>
      <w:pPr/>
      <w:r>
        <w:t xml:space="preserve">Срез нулевых прошлых просмотров: </w:t>
      </w:r>
      <w:r>
        <w:rPr>
          <w:b/>
        </w:rPr>
        <w:t>94 SKU, 180 целей</w:t>
      </w:r>
      <w:r>
        <w:t xml:space="preserve">, Recall@10 гибрида </w:t>
      </w:r>
      <w:r>
        <w:rPr>
          <w:b/>
        </w:rPr>
        <w:t>16,83%</w:t>
      </w:r>
      <w:r>
        <w:t xml:space="preserve">. Новые 04–07.10: </w:t>
      </w:r>
      <w:r>
        <w:rPr>
          <w:b/>
        </w:rPr>
        <w:t>96 SKU, 132 цели</w:t>
      </w:r>
      <w:r>
        <w:t xml:space="preserve">, контроль </w:t>
      </w:r>
      <w:r>
        <w:rPr>
          <w:b/>
        </w:rPr>
        <w:t>15,14%</w:t>
      </w:r>
      <w:r>
        <w:t xml:space="preserve">, гибрид </w:t>
      </w:r>
      <w:r>
        <w:rPr>
          <w:b/>
        </w:rPr>
        <w:t>17,95%</w:t>
      </w:r>
      <w:r>
        <w:t xml:space="preserve">. Разница </w:t>
      </w:r>
      <w:r>
        <w:rPr>
          <w:b/>
        </w:rPr>
        <w:t>+2,81 п.п.</w:t>
      </w:r>
      <w:r>
        <w:t xml:space="preserve">, 95%-интервал </w:t>
      </w:r>
      <w:r>
        <w:rPr>
          <w:b/>
        </w:rPr>
        <w:t>−2,08…+7,92 п.п.</w:t>
      </w:r>
      <w:r>
        <w:t xml:space="preserve"> Границы интерпретации этого короткого периода разобраны в разделе 7.</w:t>
      </w:r>
    </w:p>
    <w:p>
      <w:pPr>
        <w:pStyle w:val="Heading2"/>
      </w:pPr>
      <w:bookmarkStart w:id="134" w:name="section_134"/>
      <w:r>
        <w:t>Где теряются будущие продающие связи</w:t>
      </w:r>
      <w:bookmarkEnd w:id="134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5"/>
        <w:gridCol w:w="2665"/>
        <w:gridCol w:w="3969"/>
      </w:tblGrid>
      <w:tr>
        <w:trPr>
          <w:cantSplit/>
          <w:tblHeader/>
        </w:trPr>
        <w:tc>
          <w:tcPr>
            <w:tcW w:type="dxa" w:w="3005"/>
            <w:shd w:fill="EAF5F0"/>
          </w:tcPr>
          <w:p>
            <w:pPr>
              <w:spacing w:after="40" w:before="40"/>
              <w:jc w:val="left"/>
            </w:pPr>
            <w:r>
              <w:rPr>
                <w:b/>
              </w:rPr>
              <w:t>Место цели</w:t>
            </w:r>
          </w:p>
        </w:tc>
        <w:tc>
          <w:tcPr>
            <w:tcW w:type="dxa" w:w="2665"/>
            <w:shd w:fill="EAF5F0"/>
          </w:tcPr>
          <w:p>
            <w:pPr>
              <w:spacing w:after="40" w:before="40"/>
              <w:jc w:val="left"/>
            </w:pPr>
            <w:r>
              <w:rPr>
                <w:b/>
              </w:rPr>
              <w:t>Macro-доля</w:t>
            </w:r>
          </w:p>
        </w:tc>
        <w:tc>
          <w:tcPr>
            <w:tcW w:type="dxa" w:w="3969"/>
            <w:shd w:fill="EAF5F0"/>
          </w:tcPr>
          <w:p>
            <w:pPr>
              <w:spacing w:after="40" w:before="40"/>
              <w:jc w:val="left"/>
            </w:pPr>
            <w:r>
              <w:rPr>
                <w:b/>
              </w:rPr>
              <w:t>Количество связей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1–5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13,71%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40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6–10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9,13%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20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11–50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23,02%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56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Ниже 50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27,26%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72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Не найдено в пуле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26,87%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72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/>
      <w:r>
        <w:t>Округлённые доли могут не сложиться ровно в 100%. Они усреднены по SKU, поэтому не равны долям от 260 связей. Например, 60 попаданий в десятку нельзя делить на 260 и выдавать за macro Recall@10 22,85%.</w:t>
      </w:r>
    </w:p>
    <w:p>
      <w:pPr/>
      <w:r>
        <w:t>Это помогает выбрать следующую работу: сначала сохранить больше целей при поиске, затем поднять уже найденные цели из мест 11–50. «Добавить больше эпох» без разбора места потерь — недостаточно конкретный план.</w:t>
      </w:r>
    </w:p>
    <w:p>
      <w:pPr>
        <w:pStyle w:val="Heading2"/>
      </w:pPr>
      <w:bookmarkStart w:id="138" w:name="section_138"/>
      <w:r>
        <w:t>Стресс сохранённого ранжирования</w:t>
      </w:r>
      <w:bookmarkEnd w:id="138"/>
    </w:p>
    <w:p>
      <w:pPr/>
      <w:r>
        <w:t xml:space="preserve">Три повтора используют seed </w:t>
      </w:r>
      <w:r>
        <w:rPr>
          <w:b/>
        </w:rPr>
        <w:t>7/8/9</w:t>
      </w:r>
      <w:r>
        <w:t>, без обучения и подбора весов. Шум масштабируется стандартным отклонением оценок внутри SKU. Все исходные positive и товары остаются в знаменателях.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5"/>
        <w:gridCol w:w="2665"/>
        <w:gridCol w:w="3969"/>
      </w:tblGrid>
      <w:tr>
        <w:trPr>
          <w:cantSplit/>
          <w:tblHeader/>
        </w:trPr>
        <w:tc>
          <w:tcPr>
            <w:tcW w:type="dxa" w:w="3005"/>
            <w:shd w:fill="EAF5F0"/>
          </w:tcPr>
          <w:p>
            <w:pPr>
              <w:spacing w:after="40" w:before="40"/>
              <w:jc w:val="left"/>
            </w:pPr>
            <w:r>
              <w:rPr>
                <w:b/>
              </w:rPr>
              <w:t>Сценарий</w:t>
            </w:r>
          </w:p>
        </w:tc>
        <w:tc>
          <w:tcPr>
            <w:tcW w:type="dxa" w:w="2665"/>
            <w:shd w:fill="EAF5F0"/>
          </w:tcPr>
          <w:p>
            <w:pPr>
              <w:spacing w:after="40" w:before="40"/>
              <w:jc w:val="left"/>
            </w:pPr>
            <w:r>
              <w:rPr>
                <w:b/>
              </w:rPr>
              <w:t>Recall@10</w:t>
            </w:r>
          </w:p>
        </w:tc>
        <w:tc>
          <w:tcPr>
            <w:tcW w:type="dxa" w:w="3969"/>
            <w:shd w:fill="EAF5F0"/>
          </w:tcPr>
          <w:p>
            <w:pPr>
              <w:spacing w:after="40" w:before="40"/>
              <w:jc w:val="left"/>
            </w:pPr>
            <w:r>
              <w:rPr>
                <w:b/>
              </w:rPr>
              <w:t>Что менялось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Без возмущений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22,85%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Сохранённый список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Шум scores 5%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23,03%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Искусственная поправка к оценкам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Шум scores 15%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22,41%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Более сильная поправка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Выбросы счётчиков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21,47%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Значения ×100 у 1% кандидатов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Потеря 10% пула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20,26%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Случайное удаление кандидатов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Потеря 30% пула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17,61%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Более сильное удаление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/>
      <w:r>
        <w:t xml:space="preserve">При шуме 15% сохраняется </w:t>
      </w:r>
      <w:r>
        <w:rPr>
          <w:b/>
        </w:rPr>
        <w:t>67,36% состава десятки</w:t>
      </w:r>
      <w:r>
        <w:t>. Recall меняется меньше, чем сами позиции: несколько списков могут находить похожую долю целей. Потеря кандидатов заметно ухудшает результат, что поддерживает приоритет контроля поиска.</w:t>
      </w:r>
    </w:p>
    <w:p>
      <w:pPr>
        <w:pStyle w:val="Heading2"/>
      </w:pPr>
      <w:bookmarkStart w:id="142" w:name="section_142"/>
      <w:r>
        <w:t>Что уже можно использовать в бизнесе</w:t>
      </w:r>
      <w:bookmarkEnd w:id="142"/>
    </w:p>
    <w:p>
      <w:pPr/>
      <w:r>
        <w:t xml:space="preserve">После отдельного refit получены </w:t>
      </w:r>
      <w:r>
        <w:rPr>
          <w:b/>
        </w:rPr>
        <w:t>3 530 review-связей для 353 SKU</w:t>
      </w:r>
      <w:r>
        <w:t xml:space="preserve">, максимум 10 на товар, из </w:t>
      </w:r>
      <w:r>
        <w:rPr>
          <w:b/>
        </w:rPr>
        <w:t>212 787 кандидатов</w:t>
      </w:r>
      <w:r>
        <w:t xml:space="preserve">. Во всём пуле обнаружены </w:t>
      </w:r>
      <w:r>
        <w:rPr>
          <w:b/>
        </w:rPr>
        <w:t>27 055 явных конфликтов</w:t>
      </w:r>
      <w:r>
        <w:t xml:space="preserve"> и </w:t>
      </w:r>
      <w:r>
        <w:rPr>
          <w:b/>
        </w:rPr>
        <w:t>907 уже присутствующих фраз</w:t>
      </w:r>
      <w:r>
        <w:t>. Эти количества характеризуют работу отсева, а не точность итоговой десятки.</w:t>
      </w:r>
    </w:p>
    <w:p>
      <w:pPr/>
      <w:r>
        <w:t xml:space="preserve">Дата выдачи — </w:t>
      </w:r>
      <w:r>
        <w:rPr>
          <w:b/>
        </w:rPr>
        <w:t>11.10.2026</w:t>
      </w:r>
      <w:r>
        <w:t xml:space="preserve">, трафик — по </w:t>
      </w:r>
      <w:r>
        <w:rPr>
          <w:b/>
        </w:rPr>
        <w:t>07.10</w:t>
      </w:r>
      <w:r>
        <w:t xml:space="preserve">, фактический текстовый снимок — </w:t>
      </w:r>
      <w:r>
        <w:rPr>
          <w:b/>
        </w:rPr>
        <w:t>06.10</w:t>
      </w:r>
      <w:r>
        <w:t>. Специалист получает готовую очередь с источниками, а команда — воспроизводимый способ сравнивать версии. Следующее решение: зафиксировать текущую версию, проверить очереди на товарную пригодность и провести пилот на новом полном периоде. Для оценки продаж нужен отдельный дизайн контроля и воздействия.</w:t>
      </w:r>
    </w:p>
    <w:p>
      <w:pPr>
        <w:pStyle w:val="Heading1"/>
      </w:pPr>
      <w:bookmarkStart w:id="145" w:name="section_145"/>
      <w:r>
        <w:t>11. Карта папок, модулей и интерфейсов</w:t>
      </w:r>
      <w:bookmarkEnd w:id="145"/>
    </w:p>
    <w:p>
      <w:pPr/>
      <w:r>
        <w:t xml:space="preserve">Рабочий рекомендатель состоит из </w:t>
      </w:r>
      <w:r>
        <w:rPr>
          <w:b/>
        </w:rPr>
        <w:t>9 ML-модулей</w:t>
      </w:r>
      <w:r>
        <w:t xml:space="preserve">. Материалы защиты собирает </w:t>
      </w:r>
      <w:r>
        <w:rPr>
          <w:b/>
        </w:rPr>
        <w:t>один отдельный модуль</w:t>
      </w:r>
      <w:r>
        <w:t xml:space="preserve"> </w:t>
      </w:r>
      <w:r>
        <w:rPr>
          <w:rFonts w:ascii="Courier New" w:hAnsi="Courier New"/>
        </w:rPr>
        <w:t>tools/defense.py</w:t>
      </w:r>
      <w:r>
        <w:t>: презентацию, записку, личный гайд и снимок результатов. Личный гайд использует общий генератор Word; новый исходный модуль для него не нужен.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6520"/>
      </w:tblGrid>
      <w:tr>
        <w:trPr>
          <w:cantSplit/>
          <w:tblHeader/>
        </w:trPr>
        <w:tc>
          <w:tcPr>
            <w:tcW w:type="dxa" w:w="3118"/>
            <w:shd w:fill="EAF5F0"/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Модуль в </w:t>
            </w:r>
            <w:r>
              <w:rPr>
                <w:rFonts w:ascii="Courier New" w:hAnsi="Courier New"/>
                <w:b/>
              </w:rPr>
              <w:t>src/</w:t>
            </w:r>
            <w:r>
              <w:rPr>
                <w:b/>
              </w:rPr>
            </w:r>
          </w:p>
        </w:tc>
        <w:tc>
          <w:tcPr>
            <w:tcW w:type="dxa" w:w="6520"/>
            <w:shd w:fill="EAF5F0"/>
          </w:tcPr>
          <w:p>
            <w:pPr>
              <w:spacing w:after="40" w:before="40"/>
              <w:jc w:val="left"/>
            </w:pPr>
            <w:r>
              <w:rPr>
                <w:b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before="40"/>
              <w:jc w:val="left"/>
            </w:pPr>
            <w:r/>
            <w:r>
              <w:rPr>
                <w:rFonts w:ascii="Courier New" w:hAnsi="Courier New"/>
              </w:rPr>
              <w:t>recommender.py</w:t>
            </w:r>
            <w:r/>
          </w:p>
        </w:tc>
        <w:tc>
          <w:tcPr>
            <w:tcW w:type="dxa" w:w="6520"/>
          </w:tcPr>
          <w:p>
            <w:pPr>
              <w:spacing w:after="40" w:before="40"/>
              <w:jc w:val="left"/>
            </w:pPr>
            <w:r>
              <w:t>Единый командный вход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before="40"/>
              <w:jc w:val="left"/>
            </w:pPr>
            <w:r/>
            <w:r>
              <w:rPr>
                <w:rFonts w:ascii="Courier New" w:hAnsi="Courier New"/>
              </w:rPr>
              <w:t>cluster_data.py</w:t>
            </w:r>
            <w:r/>
          </w:p>
        </w:tc>
        <w:tc>
          <w:tcPr>
            <w:tcW w:type="dxa" w:w="6520"/>
          </w:tcPr>
          <w:p>
            <w:pPr>
              <w:spacing w:after="40" w:before="40"/>
              <w:jc w:val="left"/>
            </w:pPr>
            <w:r>
              <w:t>Выгрузка, словарь, тексты, агрегация, аудит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before="40"/>
              <w:jc w:val="left"/>
            </w:pPr>
            <w:r/>
            <w:r>
              <w:rPr>
                <w:rFonts w:ascii="Courier New" w:hAnsi="Courier New"/>
              </w:rPr>
              <w:t>cluster_recommender.py</w:t>
            </w:r>
            <w:r/>
          </w:p>
        </w:tc>
        <w:tc>
          <w:tcPr>
            <w:tcW w:type="dxa" w:w="6520"/>
          </w:tcPr>
          <w:p>
            <w:pPr>
              <w:spacing w:after="40" w:before="40"/>
              <w:jc w:val="left"/>
            </w:pPr>
            <w:r>
              <w:t>E5-кодирование и поиск кандидатов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before="40"/>
              <w:jc w:val="left"/>
            </w:pPr>
            <w:r/>
            <w:r>
              <w:rPr>
                <w:rFonts w:ascii="Courier New" w:hAnsi="Courier New"/>
              </w:rPr>
              <w:t>dormant_learning.py</w:t>
            </w:r>
            <w:r/>
          </w:p>
        </w:tc>
        <w:tc>
          <w:tcPr>
            <w:tcW w:type="dxa" w:w="6520"/>
          </w:tcPr>
          <w:p>
            <w:pPr>
              <w:spacing w:after="40" w:before="40"/>
              <w:jc w:val="left"/>
            </w:pPr>
            <w:r>
              <w:t>CatBoost, объединение рангов и метрики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before="40"/>
              <w:jc w:val="left"/>
            </w:pPr>
            <w:r/>
            <w:r>
              <w:rPr>
                <w:rFonts w:ascii="Courier New" w:hAnsi="Courier New"/>
              </w:rPr>
              <w:t>semantic_adapter.py</w:t>
            </w:r>
            <w:r/>
          </w:p>
        </w:tc>
        <w:tc>
          <w:tcPr>
            <w:tcW w:type="dxa" w:w="6520"/>
          </w:tcPr>
          <w:p>
            <w:pPr>
              <w:spacing w:after="40" w:before="40"/>
              <w:jc w:val="left"/>
            </w:pPr>
            <w:r>
              <w:t>Обучение residual-адаптера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before="40"/>
              <w:jc w:val="left"/>
            </w:pPr>
            <w:r/>
            <w:r>
              <w:rPr>
                <w:rFonts w:ascii="Courier New" w:hAnsi="Courier New"/>
              </w:rPr>
              <w:t>graph_learning.py</w:t>
            </w:r>
            <w:r/>
          </w:p>
        </w:tc>
        <w:tc>
          <w:tcPr>
            <w:tcW w:type="dxa" w:w="6520"/>
          </w:tcPr>
          <w:p>
            <w:pPr>
              <w:spacing w:after="40" w:before="40"/>
              <w:jc w:val="left"/>
            </w:pPr>
            <w:r>
              <w:t>Обучение LightGCN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before="40"/>
              <w:jc w:val="left"/>
            </w:pPr>
            <w:r/>
            <w:r>
              <w:rPr>
                <w:rFonts w:ascii="Courier New" w:hAnsi="Courier New"/>
              </w:rPr>
              <w:t>full_history_recommender.py</w:t>
            </w:r>
            <w:r/>
          </w:p>
        </w:tc>
        <w:tc>
          <w:tcPr>
            <w:tcW w:type="dxa" w:w="6520"/>
          </w:tcPr>
          <w:p>
            <w:pPr>
              <w:spacing w:after="40" w:before="40"/>
              <w:jc w:val="left"/>
            </w:pPr>
            <w:r>
              <w:t>Временное сравнение и ablation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before="40"/>
              <w:jc w:val="left"/>
            </w:pPr>
            <w:r/>
            <w:r>
              <w:rPr>
                <w:rFonts w:ascii="Courier New" w:hAnsi="Courier New"/>
              </w:rPr>
              <w:t>finalize_recommender.py</w:t>
            </w:r>
            <w:r/>
          </w:p>
        </w:tc>
        <w:tc>
          <w:tcPr>
            <w:tcW w:type="dxa" w:w="6520"/>
          </w:tcPr>
          <w:p>
            <w:pPr>
              <w:spacing w:after="40" w:before="40"/>
              <w:jc w:val="left"/>
            </w:pPr>
            <w:r>
              <w:t>Финальное обучение и выдача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before="40"/>
              <w:jc w:val="left"/>
            </w:pPr>
            <w:r/>
            <w:r>
              <w:rPr>
                <w:rFonts w:ascii="Courier New" w:hAnsi="Courier New"/>
              </w:rPr>
              <w:t>seo_recommendation_policy.py</w:t>
            </w:r>
            <w:r/>
          </w:p>
        </w:tc>
        <w:tc>
          <w:tcPr>
            <w:tcW w:type="dxa" w:w="6520"/>
          </w:tcPr>
          <w:p>
            <w:pPr>
              <w:spacing w:after="40" w:before="40"/>
              <w:jc w:val="left"/>
            </w:pPr>
            <w:r>
              <w:t>Текстовые правила и короткий список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6520"/>
      </w:tblGrid>
      <w:tr>
        <w:trPr>
          <w:cantSplit/>
          <w:tblHeader/>
        </w:trPr>
        <w:tc>
          <w:tcPr>
            <w:tcW w:type="dxa" w:w="3118"/>
            <w:shd w:fill="EAF5F0"/>
          </w:tcPr>
          <w:p>
            <w:pPr>
              <w:spacing w:after="40" w:before="40"/>
              <w:jc w:val="left"/>
            </w:pPr>
            <w:r>
              <w:rPr>
                <w:b/>
              </w:rPr>
              <w:t>Папка или файл</w:t>
            </w:r>
          </w:p>
        </w:tc>
        <w:tc>
          <w:tcPr>
            <w:tcW w:type="dxa" w:w="6520"/>
            <w:shd w:fill="EAF5F0"/>
          </w:tcPr>
          <w:p>
            <w:pPr>
              <w:spacing w:after="40" w:before="40"/>
              <w:jc w:val="left"/>
            </w:pPr>
            <w:r>
              <w:rPr>
                <w:b/>
              </w:rPr>
              <w:t>Содержимое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before="40"/>
              <w:jc w:val="left"/>
            </w:pPr>
            <w:r/>
            <w:r>
              <w:rPr>
                <w:rFonts w:ascii="Courier New" w:hAnsi="Courier New"/>
              </w:rPr>
              <w:t>data/</w:t>
            </w:r>
            <w:r/>
          </w:p>
        </w:tc>
        <w:tc>
          <w:tcPr>
            <w:tcW w:type="dxa" w:w="6520"/>
          </w:tcPr>
          <w:p>
            <w:pPr>
              <w:spacing w:after="40" w:before="40"/>
              <w:jc w:val="left"/>
            </w:pPr>
            <w:r>
              <w:t>Приватные факты, словарь, тексты и E5-векторы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before="40"/>
              <w:jc w:val="left"/>
            </w:pPr>
            <w:r/>
            <w:r>
              <w:rPr>
                <w:rFonts w:ascii="Courier New" w:hAnsi="Courier New"/>
              </w:rPr>
              <w:t>reports/&lt;этап&gt;/</w:t>
            </w:r>
            <w:r/>
          </w:p>
        </w:tc>
        <w:tc>
          <w:tcPr>
            <w:tcW w:type="dxa" w:w="6520"/>
          </w:tcPr>
          <w:p>
            <w:pPr>
              <w:spacing w:after="40" w:before="40"/>
              <w:jc w:val="left"/>
            </w:pPr>
            <w:r>
              <w:t>Модели, прогнозы, метрики и манифесты эксперимента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before="40"/>
              <w:jc w:val="left"/>
            </w:pPr>
            <w:r/>
            <w:r>
              <w:rPr>
                <w:rFonts w:ascii="Courier New" w:hAnsi="Courier New"/>
              </w:rPr>
              <w:t>reports/experiment_summary.json</w:t>
            </w:r>
            <w:r/>
          </w:p>
        </w:tc>
        <w:tc>
          <w:tcPr>
            <w:tcW w:type="dxa" w:w="6520"/>
          </w:tcPr>
          <w:p>
            <w:pPr>
              <w:spacing w:after="40" w:before="40"/>
              <w:jc w:val="left"/>
            </w:pPr>
            <w:r>
              <w:t>Компактные публичные агрегаты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before="40"/>
              <w:jc w:val="left"/>
            </w:pPr>
            <w:r/>
            <w:r>
              <w:rPr>
                <w:rFonts w:ascii="Courier New" w:hAnsi="Courier New"/>
              </w:rPr>
              <w:t>docs/explanatory_note.md</w:t>
            </w:r>
            <w:r/>
          </w:p>
        </w:tc>
        <w:tc>
          <w:tcPr>
            <w:tcW w:type="dxa" w:w="6520"/>
          </w:tcPr>
          <w:p>
            <w:pPr>
              <w:spacing w:after="40" w:before="40"/>
              <w:jc w:val="left"/>
            </w:pPr>
            <w:r>
              <w:t>Источник официальной записки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before="40"/>
              <w:jc w:val="left"/>
            </w:pPr>
            <w:r/>
            <w:r>
              <w:rPr>
                <w:rFonts w:ascii="Courier New" w:hAnsi="Courier New"/>
              </w:rPr>
              <w:t>docs/recommender_methodology.md</w:t>
            </w:r>
            <w:r/>
          </w:p>
        </w:tc>
        <w:tc>
          <w:tcPr>
            <w:tcW w:type="dxa" w:w="6520"/>
          </w:tcPr>
          <w:p>
            <w:pPr>
              <w:spacing w:after="40" w:before="40"/>
              <w:jc w:val="left"/>
            </w:pPr>
            <w:r>
              <w:t>Источник этого личного гайда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before="40"/>
              <w:jc w:val="left"/>
            </w:pPr>
            <w:r/>
            <w:r>
              <w:rPr>
                <w:rFonts w:ascii="Courier New" w:hAnsi="Courier New"/>
              </w:rPr>
              <w:t>reports/explanatory_note.docx</w:t>
            </w:r>
            <w:r/>
          </w:p>
        </w:tc>
        <w:tc>
          <w:tcPr>
            <w:tcW w:type="dxa" w:w="6520"/>
          </w:tcPr>
          <w:p>
            <w:pPr>
              <w:spacing w:after="40" w:before="40"/>
              <w:jc w:val="left"/>
            </w:pPr>
            <w:r>
              <w:t>Официальный Word-документ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before="40"/>
              <w:jc w:val="left"/>
            </w:pPr>
            <w:r/>
            <w:r>
              <w:rPr>
                <w:rFonts w:ascii="Courier New" w:hAnsi="Courier New"/>
              </w:rPr>
              <w:t>reports/project_guide.docx</w:t>
            </w:r>
            <w:r/>
          </w:p>
        </w:tc>
        <w:tc>
          <w:tcPr>
            <w:tcW w:type="dxa" w:w="6520"/>
          </w:tcPr>
          <w:p>
            <w:pPr>
              <w:spacing w:after="40" w:before="40"/>
              <w:jc w:val="left"/>
            </w:pPr>
            <w:r>
              <w:t>Личный Word-гайд без фиксированного числа страниц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before="40"/>
              <w:jc w:val="left"/>
            </w:pPr>
            <w:r/>
            <w:r>
              <w:rPr>
                <w:rFonts w:ascii="Courier New" w:hAnsi="Courier New"/>
              </w:rPr>
              <w:t>tools/</w:t>
            </w:r>
            <w:r/>
          </w:p>
        </w:tc>
        <w:tc>
          <w:tcPr>
            <w:tcW w:type="dxa" w:w="6520"/>
          </w:tcPr>
          <w:p>
            <w:pPr>
              <w:spacing w:after="40" w:before="40"/>
              <w:jc w:val="left"/>
            </w:pPr>
            <w:r>
              <w:t xml:space="preserve">Один модуль материалов, единый вход </w:t>
            </w:r>
            <w:r>
              <w:rPr>
                <w:rFonts w:ascii="Courier New" w:hAnsi="Courier New"/>
              </w:rPr>
              <w:t>tools.defense</w:t>
            </w:r>
            <w:r/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before="40"/>
              <w:jc w:val="left"/>
            </w:pPr>
            <w:r/>
            <w:r>
              <w:rPr>
                <w:rFonts w:ascii="Courier New" w:hAnsi="Courier New"/>
              </w:rPr>
              <w:t>tests/</w:t>
            </w:r>
            <w:r/>
          </w:p>
        </w:tc>
        <w:tc>
          <w:tcPr>
            <w:tcW w:type="dxa" w:w="6520"/>
          </w:tcPr>
          <w:p>
            <w:pPr>
              <w:spacing w:after="40" w:before="40"/>
              <w:jc w:val="left"/>
            </w:pPr>
            <w:r>
              <w:t>Проверки кода и небольшое настоящее обучение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before="40"/>
              <w:jc w:val="left"/>
            </w:pPr>
            <w:r/>
            <w:r>
              <w:rPr>
                <w:rFonts w:ascii="Courier New" w:hAnsi="Courier New"/>
              </w:rPr>
              <w:t>config.json</w:t>
            </w:r>
            <w:r/>
          </w:p>
        </w:tc>
        <w:tc>
          <w:tcPr>
            <w:tcW w:type="dxa" w:w="6520"/>
          </w:tcPr>
          <w:p>
            <w:pPr>
              <w:spacing w:after="40" w:before="40"/>
              <w:jc w:val="left"/>
            </w:pPr>
            <w:r>
              <w:t>Входы, восемь выходных путей, даты, параметры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before="40"/>
              <w:jc w:val="left"/>
            </w:pPr>
            <w:r/>
            <w:r>
              <w:rPr>
                <w:rFonts w:ascii="Courier New" w:hAnsi="Courier New"/>
              </w:rPr>
              <w:t>requirements.txt</w:t>
            </w:r>
            <w:r/>
          </w:p>
        </w:tc>
        <w:tc>
          <w:tcPr>
            <w:tcW w:type="dxa" w:w="6520"/>
          </w:tcPr>
          <w:p>
            <w:pPr>
              <w:spacing w:after="40" w:before="40"/>
              <w:jc w:val="left"/>
            </w:pPr>
            <w:r>
              <w:t>Общие зависимости рекомендателя и материалов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/>
      <w:r/>
      <w:r>
        <w:rPr>
          <w:rFonts w:ascii="Courier New" w:hAnsi="Courier New"/>
        </w:rPr>
        <w:t>API</w:t>
      </w:r>
      <w:r>
        <w:t xml:space="preserve"> — способ обратиться к программе. В этом проекте основной API — </w:t>
      </w:r>
      <w:r>
        <w:rPr>
          <w:rFonts w:ascii="Courier New" w:hAnsi="Courier New"/>
        </w:rPr>
        <w:t>CLI</w:t>
      </w:r>
      <w:r>
        <w:t>, команды терминала. Отдельного HTTP-сервиса или публичного веб-метода здесь не заявлено. Для командного интерфейса начните с:</w:t>
      </w:r>
    </w:p>
    <w:p>
      <w:pPr>
        <w:pStyle w:val="GuideCode"/>
      </w:pPr>
      <w:r>
        <w:t>.venv/bin/python src/recommender.py --help</w:t>
        <w:br/>
        <w:t>.venv/bin/python src/recommender.py run --help</w:t>
        <w:br/>
        <w:t>.venv/bin/python -m tools.defense --help</w:t>
      </w:r>
    </w:p>
    <w:p>
      <w:pPr/>
      <w:r/>
      <w:r>
        <w:rPr>
          <w:rFonts w:ascii="Courier New" w:hAnsi="Courier New"/>
        </w:rPr>
        <w:t>Manifest</w:t>
      </w:r>
      <w:r>
        <w:t xml:space="preserve"> — паспорт запуска: входы, параметры, версии и контрольные суммы. Контрольная сумма помогает обнаружить изменение файла. Манифест не следует исправлять вручную ради успешной проверки. Исторические хэши исходников описывают версию обучения; перенос генераторов не требует переписывать старые модели.</w:t>
      </w:r>
    </w:p>
    <w:p>
      <w:pPr>
        <w:pStyle w:val="Heading1"/>
      </w:pPr>
      <w:bookmarkStart w:id="152" w:name="section_152"/>
      <w:r>
        <w:t>12. Запуск: от готовых документов до нового опыта</w:t>
      </w:r>
      <w:bookmarkEnd w:id="152"/>
    </w:p>
    <w:p>
      <w:pPr/>
      <w:r>
        <w:t xml:space="preserve">Все команды выполняются из корня проекта в интерпретаторе, настроенном в PyCharm. Ниже используется проектная </w:t>
      </w:r>
      <w:r>
        <w:rPr>
          <w:rFonts w:ascii="Courier New" w:hAnsi="Courier New"/>
        </w:rPr>
        <w:t>.venv</w:t>
      </w:r>
      <w:r>
        <w:t>. Если ваш настроенный интерпретатор другой, используйте именно его. Секреты и большие бизнес-данные не входят в публичный комплект.</w:t>
      </w:r>
    </w:p>
    <w:p>
      <w:pPr>
        <w:pStyle w:val="Heading2"/>
      </w:pPr>
      <w:bookmarkStart w:id="154" w:name="section_154"/>
      <w:r>
        <w:t>Открыть или пересобрать материалы защиты</w:t>
      </w:r>
      <w:bookmarkEnd w:id="154"/>
    </w:p>
    <w:p>
      <w:pPr/>
      <w:r>
        <w:t>Готовые Word и PowerPoint открываются без Python. Пересборка материалов не требует ClickHouse и не запускает обучение:</w:t>
      </w:r>
    </w:p>
    <w:p>
      <w:pPr>
        <w:pStyle w:val="GuideCode"/>
      </w:pPr>
      <w:r>
        <w:t>.venv/bin/python -m tools.defense presentation</w:t>
        <w:br/>
        <w:t>.venv/bin/python -m tools.defense note</w:t>
        <w:br/>
        <w:t>.venv/bin/python -m tools.defense guide</w:t>
      </w:r>
    </w:p>
    <w:p>
      <w:pPr/>
      <w:r>
        <w:t>Презентация использует публичные агрегаты. Записка и гайд используют свои Markdown-источники. Правки готовых документов могут быть перезаписаны: редактируйте исходный текст и пересобирайте. Для генерации презентационных макетов могут понадобиться локальные шрифты; это не зависимость моделей.</w:t>
      </w:r>
    </w:p>
    <w:p>
      <w:pPr/>
      <w:r>
        <w:t>После нового опыта обновите снимок с нужной конфигурацией, затем пересоберите материалы:</w:t>
      </w:r>
    </w:p>
    <w:p>
      <w:pPr>
        <w:pStyle w:val="GuideCode"/>
      </w:pPr>
      <w:r>
        <w:t>.venv/bin/python -m tools.defense summary \</w:t>
        <w:br/>
        <w:t xml:space="preserve">  --config config.json --results reports/stage4_results/metrics.json</w:t>
        <w:br/>
        <w:t>.venv/bin/python -m tools.defense presentation</w:t>
        <w:br/>
        <w:t>.venv/bin/python -m tools.defense note</w:t>
        <w:br/>
        <w:t>.venv/bin/python -m tools.defense guide</w:t>
      </w:r>
    </w:p>
    <w:p>
      <w:pPr/>
      <w:r>
        <w:t>Смена JSON не переписывает автоматически числа и пояснения в Markdown. Сверьте даты, метод, популяцию и ограничения нового опыта. Не подставляйте результаты другого периода под прежнее описание.</w:t>
      </w:r>
    </w:p>
    <w:p>
      <w:pPr>
        <w:pStyle w:val="Heading2"/>
      </w:pPr>
      <w:bookmarkStart w:id="161" w:name="section_161"/>
      <w:r>
        <w:t>Показать сохранённую очередь</w:t>
      </w:r>
      <w:bookmarkEnd w:id="161"/>
    </w:p>
    <w:p>
      <w:pPr/>
      <w:r>
        <w:t>Нужен приватный согласованный выпуск с его входами:</w:t>
      </w:r>
    </w:p>
    <w:p>
      <w:pPr>
        <w:pStyle w:val="GuideCode"/>
      </w:pPr>
      <w:r>
        <w:t>.venv/bin/python src/recommender.py recommend \</w:t>
        <w:br/>
        <w:t xml:space="preserve">  --release reports/stage3_release --as-of 2026-10-11T01:28:00Z \</w:t>
        <w:br/>
        <w:t xml:space="preserve">  --output reports/recommendations_new</w:t>
      </w:r>
    </w:p>
    <w:p>
      <w:pPr/>
      <w:r/>
      <w:r>
        <w:rPr>
          <w:rFonts w:ascii="Courier New" w:hAnsi="Courier New"/>
        </w:rPr>
        <w:t>recommend</w:t>
      </w:r>
      <w:r>
        <w:t xml:space="preserve"> не переобучает модели и не загружает новый трафик из ClickHouse. Изменение </w:t>
      </w:r>
      <w:r>
        <w:rPr>
          <w:rFonts w:ascii="Courier New" w:hAnsi="Courier New"/>
        </w:rPr>
        <w:t>as-of</w:t>
      </w:r>
      <w:r>
        <w:t xml:space="preserve"> само по себе не обновляет старые входы выпуска. Результат записывается в новую папку.</w:t>
      </w:r>
    </w:p>
    <w:p>
      <w:pPr>
        <w:pStyle w:val="Heading2"/>
      </w:pPr>
      <w:bookmarkStart w:id="165" w:name="section_165"/>
      <w:r>
        <w:t>Сверить сохранённый эксперимент</w:t>
      </w:r>
      <w:bookmarkEnd w:id="165"/>
    </w:p>
    <w:p>
      <w:pPr>
        <w:pStyle w:val="GuideCode"/>
      </w:pPr>
      <w:r>
        <w:t>.venv/bin/python src/recommender.py verify --config config.json</w:t>
      </w:r>
    </w:p>
    <w:p>
      <w:pPr/>
      <w:r/>
      <w:r>
        <w:rPr>
          <w:rFonts w:ascii="Courier New" w:hAnsi="Courier New"/>
        </w:rPr>
        <w:t>verify</w:t>
      </w:r>
      <w:r>
        <w:t xml:space="preserve"> проверяет закреплённые файлы и пересчитывает метрики по сохранённым прогнозам без обучения. Для реального эксперимента нужны приватные входы и артефакты; публичный JSON их не заменяет.</w:t>
      </w:r>
    </w:p>
    <w:p>
      <w:pPr>
        <w:pStyle w:val="Heading2"/>
      </w:pPr>
      <w:bookmarkStart w:id="168" w:name="section_168"/>
      <w:r>
        <w:t>Запустить весь обучающий контур</w:t>
      </w:r>
      <w:bookmarkEnd w:id="168"/>
    </w:p>
    <w:p>
      <w:pPr>
        <w:pStyle w:val="GuideCode"/>
      </w:pPr>
      <w:r>
        <w:t>.venv/bin/python src/recommender.py run --config config.json</w:t>
      </w:r>
    </w:p>
    <w:p>
      <w:pPr/>
      <w:r/>
      <w:r>
        <w:rPr>
          <w:rFonts w:ascii="Courier New" w:hAnsi="Courier New"/>
        </w:rPr>
        <w:t>run</w:t>
      </w:r>
      <w:r>
        <w:t xml:space="preserve"> выполняет восемь этапов. Пути разрешаются относительно файла конфигурации. Возобновление использует только результаты с совпадающими входами и параметрами. Изменённый или чужой результат не перезаписывается.</w:t>
      </w:r>
    </w:p>
    <w:p>
      <w:pPr/>
      <w:r>
        <w:t xml:space="preserve">Перед новым опытом измените </w:t>
      </w:r>
      <w:r>
        <w:rPr>
          <w:b/>
        </w:rPr>
        <w:t>все выходные пути</w:t>
      </w:r>
      <w:r>
        <w:t xml:space="preserve"> в копии конфигурации, подготовленной вами. Укажите согласованные факты, словарь, E5-векторы и тексты. Сначала проверьте компоненты на небольшой выборке. Уже затем запускайте полное обучение и ждите финальных метрик.</w:t>
      </w:r>
    </w:p>
    <w:p>
      <w:pPr>
        <w:pStyle w:val="Heading2"/>
      </w:pPr>
      <w:bookmarkStart w:id="172" w:name="section_172"/>
      <w:r>
        <w:t>Подготовить свежие входы</w:t>
      </w:r>
      <w:bookmarkEnd w:id="172"/>
    </w:p>
    <w:p>
      <w:pPr/>
      <w:r>
        <w:t xml:space="preserve">Подключение — через проектный </w:t>
      </w:r>
      <w:r>
        <w:rPr>
          <w:rFonts w:ascii="Courier New" w:hAnsi="Courier New"/>
        </w:rPr>
        <w:t>.env</w:t>
      </w:r>
      <w:r>
        <w:t xml:space="preserve"> с </w:t>
      </w:r>
      <w:r>
        <w:rPr>
          <w:rFonts w:ascii="Courier New" w:hAnsi="Courier New"/>
        </w:rPr>
        <w:t>DBT_CLICKHOUSE_HOST</w:t>
      </w:r>
      <w:r>
        <w:t xml:space="preserve">, </w:t>
      </w:r>
      <w:r>
        <w:rPr>
          <w:rFonts w:ascii="Courier New" w:hAnsi="Courier New"/>
        </w:rPr>
        <w:t>DBT_CLICKHOUSE_PORT</w:t>
      </w:r>
      <w:r>
        <w:t xml:space="preserve">, </w:t>
      </w:r>
      <w:r>
        <w:rPr>
          <w:rFonts w:ascii="Courier New" w:hAnsi="Courier New"/>
        </w:rPr>
        <w:t>DBT_CLICKHOUSE_USER</w:t>
      </w:r>
      <w:r>
        <w:t xml:space="preserve">, </w:t>
      </w:r>
      <w:r>
        <w:rPr>
          <w:rFonts w:ascii="Courier New" w:hAnsi="Courier New"/>
        </w:rPr>
        <w:t>DBT_CLICKHOUSE_PASSWORD</w:t>
      </w:r>
      <w:r>
        <w:t xml:space="preserve">, </w:t>
      </w:r>
      <w:r>
        <w:rPr>
          <w:rFonts w:ascii="Courier New" w:hAnsi="Courier New"/>
        </w:rPr>
        <w:t>DBT_CLICKHOUSE_SCHEMA</w:t>
      </w:r>
      <w:r>
        <w:t xml:space="preserve">, </w:t>
      </w:r>
      <w:r>
        <w:rPr>
          <w:rFonts w:ascii="Courier New" w:hAnsi="Courier New"/>
        </w:rPr>
        <w:t>DBT_CLICKHOUSE_SECURE</w:t>
      </w:r>
      <w:r>
        <w:t xml:space="preserve">, </w:t>
      </w:r>
      <w:r>
        <w:rPr>
          <w:rFonts w:ascii="Courier New" w:hAnsi="Courier New"/>
        </w:rPr>
        <w:t>DBT_CLICKHOUSE_VERIFY</w:t>
      </w:r>
      <w:r>
        <w:t xml:space="preserve">. Для TLS используются </w:t>
      </w:r>
      <w:r>
        <w:rPr>
          <w:rFonts w:ascii="Courier New" w:hAnsi="Courier New"/>
        </w:rPr>
        <w:t>DBT_CLICKHOUSE_CA_CERT</w:t>
      </w:r>
      <w:r>
        <w:t xml:space="preserve">, </w:t>
      </w:r>
      <w:r>
        <w:rPr>
          <w:rFonts w:ascii="Courier New" w:hAnsi="Courier New"/>
        </w:rPr>
        <w:t>DBT_CLICKHOUSE_CLIENT_CERT</w:t>
      </w:r>
      <w:r>
        <w:t xml:space="preserve">, </w:t>
      </w:r>
      <w:r>
        <w:rPr>
          <w:rFonts w:ascii="Courier New" w:hAnsi="Courier New"/>
        </w:rPr>
        <w:t>DBT_CLICKHOUSE_CLIENT_KEY</w:t>
      </w:r>
      <w:r>
        <w:t xml:space="preserve">. </w:t>
      </w:r>
      <w:r>
        <w:rPr>
          <w:rFonts w:ascii="Courier New" w:hAnsi="Courier New"/>
        </w:rPr>
        <w:t>OZON_CARD_ENV</w:t>
      </w:r>
      <w:r>
        <w:t xml:space="preserve"> выбирает другой файл; переменные окружения имеют приоритет.</w:t>
      </w:r>
    </w:p>
    <w:p>
      <w:pPr>
        <w:pStyle w:val="GuideCode"/>
      </w:pPr>
      <w:r>
        <w:t>.venv/bin/python src/recommender.py export \</w:t>
        <w:br/>
        <w:t xml:space="preserve">  --history-start 2026-01-09 --cutoff 2026-10-07 \</w:t>
        <w:br/>
        <w:t xml:space="preserve">  --dictionary-as-of 2026-06-26 --output data/facts_new</w:t>
        <w:br/>
        <w:t>.venv/bin/python src/recommender.py products \</w:t>
        <w:br/>
        <w:t xml:space="preserve">  --as-of 2026-10-11T01:28:00Z --output data/products_new</w:t>
        <w:br/>
        <w:t>.venv/bin/python src/recommender.py encode \</w:t>
        <w:br/>
        <w:t xml:space="preserve">  --dictionary data/facts_new/dictionary.csv --cutoff 2026-10-07 \</w:t>
        <w:br/>
        <w:t xml:space="preserve">  --dictionary-as-of 2026-06-26 --model intfloat/multilingual-e5-small \</w:t>
        <w:br/>
        <w:t xml:space="preserve">  --revision 614241f622f53c4eeff9890bdc4f31cfecc418b3 --device cpu \</w:t>
        <w:br/>
        <w:t xml:space="preserve">  --output data/e5_new.npz</w:t>
      </w:r>
    </w:p>
    <w:p>
      <w:pPr/>
      <w:r>
        <w:t>Это пример подготовки входов текущего протокола. Для нового периода даты выбираются заново с соблюдением временной доступности. База может измениться, поэтому повторная выгрузка тех же дат не обязана побайтно повторить сохранённую.</w:t>
      </w:r>
    </w:p>
    <w:p>
      <w:pPr/>
      <w:r>
        <w:t xml:space="preserve">Не отключайте проверку TLS вместо исправления сертификатов. Приложение не пишет в источник. Фото и URL rich-content не извлекаются как описание товара. </w:t>
      </w:r>
      <w:r>
        <w:rPr>
          <w:rFonts w:ascii="Courier New" w:hAnsi="Courier New"/>
        </w:rPr>
        <w:t>loaded_at</w:t>
      </w:r>
      <w:r>
        <w:t xml:space="preserve"> показывает фактическую доступность текста, а не гарантирует исторический архив карточки.</w:t>
      </w:r>
    </w:p>
    <w:p>
      <w:pPr>
        <w:pStyle w:val="Heading2"/>
      </w:pPr>
      <w:bookmarkStart w:id="177" w:name="section_177"/>
      <w:r>
        <w:t>Повторить стресс без обучения</w:t>
      </w:r>
      <w:bookmarkEnd w:id="177"/>
    </w:p>
    <w:p>
      <w:pPr>
        <w:pStyle w:val="GuideCode"/>
      </w:pPr>
      <w:r>
        <w:t>.venv/bin/python src/recommender.py results \</w:t>
        <w:br/>
        <w:t xml:space="preserve">  --evaluation reports/stage3_evaluation --output reports/stage4_results_new \</w:t>
        <w:br/>
        <w:t xml:space="preserve">  --seed 7 --repetitions 3 --bootstrap-iterations 2000</w:t>
      </w:r>
    </w:p>
    <w:p>
      <w:pPr/>
      <w:r>
        <w:t xml:space="preserve">Входом служит </w:t>
      </w:r>
      <w:r>
        <w:rPr>
          <w:b/>
        </w:rPr>
        <w:t>evaluation</w:t>
      </w:r>
      <w:r>
        <w:t>, не final release. Правильные ответы и веса остаются прежними. Новая папка содержит агрегаты и манифест, не новые копии всех CSV и моделей.</w:t>
      </w:r>
    </w:p>
    <w:p>
      <w:pPr>
        <w:pStyle w:val="Heading1"/>
      </w:pPr>
      <w:bookmarkStart w:id="180" w:name="section_180"/>
      <w:r>
        <w:t>13. Параметры, время работы и переобучение</w:t>
      </w:r>
      <w:bookmarkEnd w:id="180"/>
    </w:p>
    <w:p>
      <w:pPr>
        <w:pStyle w:val="Heading2"/>
      </w:pPr>
      <w:bookmarkStart w:id="181" w:name="section_181"/>
      <w:r>
        <w:t>Какие настройки закреплены</w:t>
      </w:r>
      <w:bookmarkEnd w:id="181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5"/>
        <w:gridCol w:w="2665"/>
        <w:gridCol w:w="3969"/>
      </w:tblGrid>
      <w:tr>
        <w:trPr>
          <w:cantSplit/>
          <w:tblHeader/>
        </w:trPr>
        <w:tc>
          <w:tcPr>
            <w:tcW w:type="dxa" w:w="3005"/>
            <w:shd w:fill="EAF5F0"/>
          </w:tcPr>
          <w:p>
            <w:pPr>
              <w:spacing w:after="40" w:before="40"/>
              <w:jc w:val="left"/>
            </w:pPr>
            <w:r>
              <w:rPr>
                <w:b/>
              </w:rPr>
              <w:t>Настройка</w:t>
            </w:r>
          </w:p>
        </w:tc>
        <w:tc>
          <w:tcPr>
            <w:tcW w:type="dxa" w:w="2665"/>
            <w:shd w:fill="EAF5F0"/>
          </w:tcPr>
          <w:p>
            <w:pPr>
              <w:spacing w:after="40" w:before="40"/>
              <w:jc w:val="left"/>
            </w:pPr>
            <w:r>
              <w:rPr>
                <w:b/>
              </w:rPr>
              <w:t>Значение</w:t>
            </w:r>
          </w:p>
        </w:tc>
        <w:tc>
          <w:tcPr>
            <w:tcW w:type="dxa" w:w="3969"/>
            <w:shd w:fill="EAF5F0"/>
          </w:tcPr>
          <w:p>
            <w:pPr>
              <w:spacing w:after="40" w:before="40"/>
              <w:jc w:val="left"/>
            </w:pPr>
            <w:r>
              <w:rPr>
                <w:b/>
              </w:rPr>
              <w:t>Роль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Окно / максимум просмотров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14 дней / 5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Условие малой видимости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Кандидаты / ориентиры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150 на канал / до 32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Бюджет поиска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Шаг train / mask rounds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7 дней / 2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Подготовка задач CatBoost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CatBoost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100/300/600, выбрано 600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Глубина обучения по validation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Адаптер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15 эпох, batch 128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Обучение текстовой поправки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LightGCN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30 эпох, 32 измерения, 2 слоя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Обучение графовых представлений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Seed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7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Воспроизводимость случайных сравнений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RRF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offset 60, четыре веса 0,25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Объединение каналов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Top-K выпуска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10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Максимум review-строк на товар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/>
      <w:r>
        <w:t xml:space="preserve">Даты и пороги собраны в </w:t>
      </w:r>
      <w:r>
        <w:rPr>
          <w:rFonts w:ascii="Courier New" w:hAnsi="Courier New"/>
        </w:rPr>
        <w:t>config.json</w:t>
      </w:r>
      <w:r>
        <w:t>. Идентификаторы конкретных товаров не являются параметрами модели. Порог малой видимости — осмысленная настройка задачи, а не скрытое исключение для удобного SKU. Версии моделей и словарей закреплены ради воспроизведения.</w:t>
      </w:r>
    </w:p>
    <w:p>
      <w:pPr>
        <w:pStyle w:val="Heading2"/>
      </w:pPr>
      <w:bookmarkStart w:id="184" w:name="section_184"/>
      <w:r>
        <w:t>Сколько ждать и какие ресурсы нужны</w:t>
      </w:r>
      <w:bookmarkEnd w:id="184"/>
    </w:p>
    <w:p>
      <w:pPr/>
      <w:r>
        <w:t xml:space="preserve">В текущей конфигурации нейросети работают на </w:t>
      </w:r>
      <w:r>
        <w:rPr>
          <w:b/>
        </w:rPr>
        <w:t>CPU</w:t>
      </w:r>
      <w:r>
        <w:t>. Зафиксированного универсального времени в секундах и гарантии размера RAM нет. Они зависят от числа кластеров, кандидатов, разреженности графа и компьютера. Не обещайте «полное обучение за минуту» без измерения на нужных входах.</w:t>
      </w:r>
    </w:p>
    <w:p>
      <w:pPr/>
      <w:r>
        <w:t xml:space="preserve">Самая лёгкая операция — пересборка материалов. </w:t>
      </w:r>
      <w:r>
        <w:rPr>
          <w:rFonts w:ascii="Courier New" w:hAnsi="Courier New"/>
        </w:rPr>
        <w:t>recommend</w:t>
      </w:r>
      <w:r>
        <w:t xml:space="preserve"> использует готовые веса, но всё равно выполняет поиск и отсев. </w:t>
      </w:r>
      <w:r>
        <w:rPr>
          <w:rFonts w:ascii="Courier New" w:hAnsi="Courier New"/>
        </w:rPr>
        <w:t>verify</w:t>
      </w:r>
      <w:r>
        <w:t xml:space="preserve"> читает сохранённые файлы. </w:t>
      </w:r>
      <w:r>
        <w:rPr>
          <w:rFonts w:ascii="Courier New" w:hAnsi="Courier New"/>
        </w:rPr>
        <w:t>run</w:t>
      </w:r>
      <w:r>
        <w:t xml:space="preserve"> дополнительно обучает модели. Для первого E5-кодирования может потребоваться загрузка закреплённой модели; для закрытой среды её нужно подготовить заранее.</w:t>
      </w:r>
    </w:p>
    <w:p>
      <w:pPr/>
      <w:r>
        <w:t xml:space="preserve">Контролируйте завершённость этапов и манифесты. Если процесс остановился, повтор того же </w:t>
      </w:r>
      <w:r>
        <w:rPr>
          <w:rFonts w:ascii="Courier New" w:hAnsi="Courier New"/>
        </w:rPr>
        <w:t>run</w:t>
      </w:r>
      <w:r>
        <w:t xml:space="preserve"> может использовать согласованные завершённые этапы. Нельзя «починить» возобновление удалением контрольных сумм. Перед полным запуском измерьте время и память на небольшом согласованном наборе, затем оцените ресурсы полного опыта.</w:t>
      </w:r>
    </w:p>
    <w:p>
      <w:pPr>
        <w:pStyle w:val="Heading2"/>
      </w:pPr>
      <w:bookmarkStart w:id="188" w:name="section_188"/>
      <w:r>
        <w:t>Когда обновлять модели</w:t>
      </w:r>
      <w:bookmarkEnd w:id="188"/>
    </w:p>
    <w:p>
      <w:pPr/>
      <w:r>
        <w:t>Автоматического расписания переобучения нет. Универсальный срок «каждые N дней» не доказан. Для пилота разумно контролировать данные ежедневно и рассматривать обновление после полного 14-дневного окна; это организационный план, не реализованный cron.</w:t>
      </w:r>
    </w:p>
    <w:p>
      <w:pPr/>
      <w:r>
        <w:t>Поводы для нового опыта: новые продающие связи, ассортимент или сезон; изменения словаря; падение покрытия заказов; рост неизвестных и конфликтов; ухудшение полноты пула или NDCG на новом полном периоде. Сначала исключите ошибку загрузки. Добавление эпох не исправит пропуск данных.</w:t>
      </w:r>
    </w:p>
    <w:p>
      <w:pPr/>
      <w:r>
        <w:t>Порядок безопасного обновления:</w:t>
      </w:r>
    </w:p>
    <w:p>
      <w:pPr>
        <w:pStyle w:val="ListBullet"/>
      </w:pPr>
      <w:r>
        <w:t>Зафиксировать текущий выпуск и критерий сравнения.</w:t>
      </w:r>
    </w:p>
    <w:p>
      <w:pPr>
        <w:pStyle w:val="ListBullet"/>
      </w:pPr>
      <w:r>
        <w:t>Подготовить новые входы и отдельные выходные папки.</w:t>
      </w:r>
    </w:p>
    <w:p>
      <w:pPr>
        <w:pStyle w:val="ListBullet"/>
      </w:pPr>
      <w:r>
        <w:t>Проверить даты, полноту окон, словарь и размерность E5.</w:t>
      </w:r>
    </w:p>
    <w:p>
      <w:pPr>
        <w:pStyle w:val="ListBullet"/>
      </w:pPr>
      <w:r>
        <w:t>Обучить проверочные модели только на прошлом; выбрать настройки на validation.</w:t>
      </w:r>
    </w:p>
    <w:p>
      <w:pPr>
        <w:pStyle w:val="ListBullet"/>
      </w:pPr>
      <w:r>
        <w:t>Проверить замороженное решение на новом полном периоде и сравнить на одном пуле.</w:t>
      </w:r>
    </w:p>
    <w:p>
      <w:pPr>
        <w:pStyle w:val="ListBullet"/>
      </w:pPr>
      <w:r>
        <w:t>После оценки выполнить финальный refit и проверить очередь специалистом.</w:t>
      </w:r>
    </w:p>
    <w:p>
      <w:pPr>
        <w:pStyle w:val="ListBullet"/>
      </w:pPr>
      <w:r>
        <w:t>Сверить JSON, Markdown и готовые документы с новым опытом.</w:t>
      </w:r>
    </w:p>
    <w:p>
      <w:pPr/>
      <w:r>
        <w:t>Если словарь и ревизия E5 неизменны, базовые векторы можно переиспользовать после проверки полного каталога и метаданных. 384-мерный E5-small нельзя незаметно заменить другим encoder или векторами E5-base. Для изменённых входов нужен новый согласованный опыт, а не только новая дата старого release.</w:t>
      </w:r>
    </w:p>
    <w:p>
      <w:pPr>
        <w:pStyle w:val="Heading1"/>
      </w:pPr>
      <w:bookmarkStart w:id="200" w:name="section_200"/>
      <w:r>
        <w:t>14. Если что-то не работает</w:t>
      </w:r>
      <w:bookmarkEnd w:id="200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5"/>
        <w:gridCol w:w="2665"/>
        <w:gridCol w:w="3969"/>
      </w:tblGrid>
      <w:tr>
        <w:trPr>
          <w:cantSplit/>
          <w:tblHeader/>
        </w:trPr>
        <w:tc>
          <w:tcPr>
            <w:tcW w:type="dxa" w:w="3005"/>
            <w:shd w:fill="EAF5F0"/>
          </w:tcPr>
          <w:p>
            <w:pPr>
              <w:spacing w:after="40" w:before="40"/>
              <w:jc w:val="left"/>
            </w:pPr>
            <w:r>
              <w:rPr>
                <w:b/>
              </w:rPr>
              <w:t>Симптом</w:t>
            </w:r>
          </w:p>
        </w:tc>
        <w:tc>
          <w:tcPr>
            <w:tcW w:type="dxa" w:w="2665"/>
            <w:shd w:fill="EAF5F0"/>
          </w:tcPr>
          <w:p>
            <w:pPr>
              <w:spacing w:after="40" w:before="40"/>
              <w:jc w:val="left"/>
            </w:pPr>
            <w:r>
              <w:rPr>
                <w:b/>
              </w:rPr>
              <w:t>Что проверить</w:t>
            </w:r>
          </w:p>
        </w:tc>
        <w:tc>
          <w:tcPr>
            <w:tcW w:type="dxa" w:w="3969"/>
            <w:shd w:fill="EAF5F0"/>
          </w:tcPr>
          <w:p>
            <w:pPr>
              <w:spacing w:after="40" w:before="40"/>
              <w:jc w:val="left"/>
            </w:pPr>
            <w:r>
              <w:rPr>
                <w:b/>
              </w:rPr>
              <w:t>Правильное действие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Нет доступа к базе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/>
            <w:r>
              <w:rPr>
                <w:rFonts w:ascii="Courier New" w:hAnsi="Courier New"/>
              </w:rPr>
              <w:t>.env</w:t>
            </w:r>
            <w:r>
              <w:t>, адрес, права, TLS, сертификаты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Исправить доступ; не публиковать пароль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Не найдено приватных файлов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 xml:space="preserve">Пути </w:t>
            </w:r>
            <w:r>
              <w:rPr>
                <w:rFonts w:ascii="Courier New" w:hAnsi="Courier New"/>
              </w:rPr>
              <w:t>config.json</w:t>
            </w:r>
            <w:r>
              <w:t>, согласованный выпуск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Получить входы по разрешённому каналу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Выходная папка уже существует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Не является ли она прежним опытом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Выбрать новую папку; не стирать чужой результат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Не совпала контрольная сумма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Изменение входа или модели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Новый опыт с новыми путями; не править манифест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Несовместимы embeddings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Ревизия E5, 384 измерения, каталог, порядок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Согласованное кодирование и переобучение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Нет review для товара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Ориентиры, наблюдения, условия видимости, отсев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Читать аудит; не принуждать к десяти строкам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Метрики ниже ожидаемых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Окно, пропуски, популяция, полнота поиска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Разделить потери поиска и порядка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Упала память или долго работает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Размер входов, устройство, budget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Сначала малый прогон; план ресурсов для полного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Документ содержит старые числа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Markdown, JSON, выбранные пути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Обновить источники и пересобрать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Ошибка команды материалов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 xml:space="preserve">Помощь </w:t>
            </w:r>
            <w:r>
              <w:rPr>
                <w:rFonts w:ascii="Courier New" w:hAnsi="Courier New"/>
              </w:rPr>
              <w:t>tools.defense --help</w:t>
            </w:r>
            <w:r>
              <w:t>, окружение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Использовать единый вход, не копировать генератор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/>
      <w:r>
        <w:t>Тесты на синтетике обучают настоящие небольшие модели и проверяют изоляцию будущего, знаменатели, фильтры и возобновление. Они не измеряют качество на реальном рынке. Обычный полный запуск проверок:</w:t>
      </w:r>
    </w:p>
    <w:p>
      <w:pPr>
        <w:pStyle w:val="GuideCode"/>
      </w:pPr>
      <w:r>
        <w:t>.venv/bin/python -m pytest -q tests</w:t>
      </w:r>
    </w:p>
    <w:p>
      <w:pPr/>
      <w:r>
        <w:t>Перед совместной проверкой дождитесь завершения параллельных изменений. Полный набор тестов и открытие документов в Office выполняются по согласованной итоговой версии. Проверка XML и разрывов страниц не заменяет фактическую пагинацию Word.</w:t>
      </w:r>
    </w:p>
    <w:p>
      <w:pPr>
        <w:pStyle w:val="Heading1"/>
      </w:pPr>
      <w:bookmarkStart w:id="205" w:name="section_205"/>
      <w:r>
        <w:t>15. Как уверенно рассказать о проекте</w:t>
      </w:r>
      <w:bookmarkEnd w:id="205"/>
    </w:p>
    <w:p>
      <w:pPr>
        <w:pStyle w:val="Heading2"/>
      </w:pPr>
      <w:bookmarkStart w:id="206" w:name="section_206"/>
      <w:r>
        <w:t>Короткий рассказ</w:t>
      </w:r>
      <w:bookmarkEnd w:id="206"/>
    </w:p>
    <w:p>
      <w:pPr/>
      <w:r>
        <w:t>«Я разработал воспроизводимый рекомендатель малотрафиковых поисковых кластеров. Он использует историю продаж и текстовые представления. Обучены CatBoost, семантический адаптер и LightGCN. На validation выбран гибрид E5, совместных продаж, адаптера и графа. На одинаковом пуле Recall@10 вырос с 19,06% до 22,85%, на 3,79 процентного пункта. Финальный выпуск подготовил 3 530 предложений для 353 товаров. Специалист получает короткую очередь с источниками и товарными свидетельствами. Что именно измерено и где проходят границы проверки, я показываю отдельно».</w:t>
      </w:r>
    </w:p>
    <w:p>
      <w:pPr>
        <w:pStyle w:val="Heading2"/>
      </w:pPr>
      <w:bookmarkStart w:id="208" w:name="section_208"/>
      <w:r>
        <w:t>Логика выступления от начала до конца</w:t>
      </w:r>
      <w:bookmarkEnd w:id="208"/>
    </w:p>
    <w:p>
      <w:pPr>
        <w:pStyle w:val="ListBullet"/>
      </w:pPr>
      <w:r/>
      <w:r>
        <w:rPr>
          <w:b/>
        </w:rPr>
        <w:t>Проблема:</w:t>
      </w:r>
      <w:r>
        <w:t xml:space="preserve"> у товара есть продажи в одних кластерах и малая видимость в других; огромный словарь неудобно проверять вручную.</w:t>
      </w:r>
    </w:p>
    <w:p>
      <w:pPr>
        <w:pStyle w:val="ListBullet"/>
      </w:pPr>
      <w:r/>
      <w:r>
        <w:rPr>
          <w:b/>
        </w:rPr>
        <w:t>Данные:</w:t>
      </w:r>
      <w:r>
        <w:t xml:space="preserve"> показать строку факта, маппинг и историю. Объяснить разницу между 2 171 товарами источника, 121 товаром оценки и 353 товарами выпуска.</w:t>
      </w:r>
    </w:p>
    <w:p>
      <w:pPr>
        <w:pStyle w:val="ListBullet"/>
      </w:pPr>
      <w:r/>
      <w:r>
        <w:rPr>
          <w:b/>
        </w:rPr>
        <w:t>Метод:</w:t>
      </w:r>
      <w:r>
        <w:t xml:space="preserve"> провести учебную бутылку через ориентиры, поиск, обученные представления и RRF. Указать, что E5 заморожен, CatBoost сравнивается отдельно.</w:t>
      </w:r>
    </w:p>
    <w:p>
      <w:pPr>
        <w:pStyle w:val="ListBullet"/>
      </w:pPr>
      <w:r/>
      <w:r>
        <w:rPr>
          <w:b/>
        </w:rPr>
        <w:t>Проверка:</w:t>
      </w:r>
      <w:r>
        <w:t xml:space="preserve"> нарисовать календарь, объяснить Recall, Precision и NDCG на местах 1, 4, 12. Назвать границы из раздела 7 один раз, ясно и без оправданий.</w:t>
      </w:r>
    </w:p>
    <w:p>
      <w:pPr>
        <w:pStyle w:val="ListBullet"/>
      </w:pPr>
      <w:r/>
      <w:r>
        <w:rPr>
          <w:b/>
        </w:rPr>
        <w:t>Результат:</w:t>
      </w:r>
      <w:r>
        <w:t xml:space="preserve"> показать выигрыш на одном пуле, интервал и готовый CSV. Разделить качество поиска и качество порядка.</w:t>
      </w:r>
    </w:p>
    <w:p>
      <w:pPr>
        <w:pStyle w:val="ListBullet"/>
      </w:pPr>
      <w:r/>
      <w:r>
        <w:rPr>
          <w:b/>
        </w:rPr>
        <w:t>Следующее решение:</w:t>
      </w:r>
      <w:r>
        <w:t xml:space="preserve"> новый полный период, экспертный аудит очереди, затем отдельный бизнес-пилот изменений карточек.</w:t>
      </w:r>
    </w:p>
    <w:p>
      <w:pPr>
        <w:pStyle w:val="Heading2"/>
      </w:pPr>
      <w:bookmarkStart w:id="215" w:name="section_215"/>
      <w:r>
        <w:t>Вопросы преподавателей и точные ответы</w:t>
      </w:r>
      <w:bookmarkEnd w:id="215"/>
    </w:p>
    <w:p>
      <w:pPr/>
      <w:r/>
      <w:r>
        <w:rPr>
          <w:b/>
        </w:rPr>
        <w:t>Какие модели обучены на данных проекта?</w:t>
      </w:r>
      <w:r>
        <w:t xml:space="preserve"> CatBoostRanker, residual-адаптер поверх готовых E5-векторов и LightGCN. Сохранены веса и метаданные. Сама E5 уже предобучена: её готовые веса используются без изменения, а адаптер учит поправку на наших продажах. Cross-encoder и GraphSAGE относятся к дальнейшим экспериментам, а не к действующей архитектуре.</w:t>
      </w:r>
    </w:p>
    <w:p>
      <w:pPr/>
      <w:r/>
      <w:r>
        <w:rPr>
          <w:b/>
        </w:rPr>
        <w:t>Зачем адаптер, если есть E5?</w:t>
      </w:r>
      <w:r>
        <w:t xml:space="preserve"> E5 даёт общую языковую близость. Адаптер подстраивает её к нашим наблюдаемым co-sale парам. На том же пуле добавление адаптера увеличило Recall контроля с 19,06% до 21,59%; в выбранном гибриде он дополняет граф.</w:t>
      </w:r>
    </w:p>
    <w:p>
      <w:pPr/>
      <w:r/>
      <w:r>
        <w:rPr>
          <w:b/>
        </w:rPr>
        <w:t>Зачем LightGCN, если есть co-sales?</w:t>
      </w:r>
      <w:r>
        <w:t xml:space="preserve"> Co-sales напрямую переносит наблюдаемые связи. LightGCN учит векторы через соседей графа и может использовать более распределённую структуру. Это два разных сигнала, поэтому оба сохранены в гибриде.</w:t>
      </w:r>
    </w:p>
    <w:p>
      <w:pPr/>
      <w:r/>
      <w:r>
        <w:rPr>
          <w:b/>
        </w:rPr>
        <w:t>Почему не один CatBoost?</w:t>
      </w:r>
      <w:r>
        <w:t xml:space="preserve"> Он обучен и сравнен: Recall@10 15,29%. Validation выбрала объединение четырёх каналов, которое показало 22,85% в зафиксированном сравнении. Отдельно обученный CatBoost не спрятан в RRF.</w:t>
      </w:r>
    </w:p>
    <w:p>
      <w:pPr/>
      <w:r/>
      <w:r>
        <w:rPr>
          <w:b/>
        </w:rPr>
        <w:t>Почему веса по 25%?</w:t>
      </w:r>
      <w:r>
        <w:t xml:space="preserve"> Их выбрала validation-сетка с шагом 0,25 по NDCG@10, а не ручная подгонка к сентябрьскому test. Равенство весов — полученное решение для этого опыта.</w:t>
      </w:r>
    </w:p>
    <w:p>
      <w:pPr/>
      <w:r/>
      <w:r>
        <w:rPr>
          <w:b/>
        </w:rPr>
        <w:t>Что означает 22,85%?</w:t>
      </w:r>
      <w:r>
        <w:t xml:space="preserve"> Средняя по 121 товару доля его наблюдаемых будущих positive, найденных в десятке. Это не доля всех релевантных запросов и не обещанный рост продаж.</w:t>
      </w:r>
    </w:p>
    <w:p>
      <w:pPr/>
      <w:r/>
      <w:r>
        <w:rPr>
          <w:b/>
        </w:rPr>
        <w:t>Почему Precision всего 4,96%?</w:t>
      </w:r>
      <w:r>
        <w:t xml:space="preserve"> Она считает подтверждения будущими заказами за окно. Без заказа остальные фразы остаются неизвестными; нельзя назвать 95% выдачи нерелевантными. Для товарной пригодности нужна другая разметка.</w:t>
      </w:r>
    </w:p>
    <w:p>
      <w:pPr/>
      <w:r/>
      <w:r>
        <w:rPr>
          <w:b/>
        </w:rPr>
        <w:t>Почему не все 2 171 товара получили рекомендации?</w:t>
      </w:r>
      <w:r>
        <w:t xml:space="preserve"> Условия требуют ориентиров, недавних наблюдений и допустимых кандидатов. В оценку входят товары с будущими positive. После refit и товарного отсева очередь есть для 353 SKU. Эти числа относятся к разным этапам.</w:t>
      </w:r>
    </w:p>
    <w:p>
      <w:pPr/>
      <w:r/>
      <w:r>
        <w:rPr>
          <w:b/>
        </w:rPr>
        <w:t>Откуда известно, что обучение полезно?</w:t>
      </w:r>
      <w:r>
        <w:t xml:space="preserve"> На одинаковом расширенном пуле контроль 19,06%, полный гибрид 22,85%, разница +3,79 п.п., относительный прирост 19,89%, парный 95%-интервал +0,20…+7,57 п.п. Это измеримый вклад в данном эксперименте; границы независимости указаны в разделе 7.</w:t>
      </w:r>
    </w:p>
    <w:p>
      <w:pPr/>
      <w:r/>
      <w:r>
        <w:rPr>
          <w:b/>
        </w:rPr>
        <w:t>Как исключили утечку?</w:t>
      </w:r>
      <w:r>
        <w:t xml:space="preserve"> Признаки строятся на дату решения, проверочные нейросети обучены по 04.09, будущие заказы используются только как ответы. Текущий текст применяется после оценки. Refit хранится отдельно и не оценивается на ответах, вошедших в его обучение.</w:t>
      </w:r>
    </w:p>
    <w:p>
      <w:pPr/>
      <w:r/>
      <w:r>
        <w:rPr>
          <w:b/>
        </w:rPr>
        <w:t>Проверяли ли восстановление скрытых связей?</w:t>
      </w:r>
      <w:r>
        <w:t xml:space="preserve"> Да, в исходном контуре с удалением собственного ребра из истории и графа. Обученные представления не объявляются честно проверенными на скрытых рёбрах, которые они уже видели.</w:t>
      </w:r>
    </w:p>
    <w:p>
      <w:pPr/>
      <w:r/>
      <w:r>
        <w:rPr>
          <w:b/>
        </w:rPr>
        <w:t>Зачем столько папок?</w:t>
      </w:r>
      <w:r>
        <w:t xml:space="preserve"> Они отделяют проверочные и финальные модели, оценку и ablation. Удаление контрольных этапов лишило бы нас проверяемого сравнения.</w:t>
      </w:r>
    </w:p>
    <w:p>
      <w:pPr/>
      <w:r/>
      <w:r>
        <w:rPr>
          <w:b/>
        </w:rPr>
        <w:t>Что делает товарная политика?</w:t>
      </w:r>
      <w:r>
        <w:t xml:space="preserve"> Детерминированные правила присутствия фразы и явных конфликтов. Они не предсказывают заказ и не подтверждают всё, чего нет в словаре правил. Последнее решение принимает специалист.</w:t>
      </w:r>
    </w:p>
    <w:p>
      <w:pPr/>
      <w:r/>
      <w:r>
        <w:rPr>
          <w:b/>
        </w:rPr>
        <w:t>Есть ли польза прямо сейчас?</w:t>
      </w:r>
      <w:r>
        <w:t xml:space="preserve"> Да: рабочий воспроизводимый контур, измеренный выигрыш ранжирования и готовые 3 530 приоритетных предложений с основаниями. Это даёт очередь для пилота; эффект редактирования карточек измеряется отдельно.</w:t>
      </w:r>
    </w:p>
    <w:p>
      <w:pPr>
        <w:pStyle w:val="Heading1"/>
      </w:pPr>
      <w:bookmarkStart w:id="230" w:name="section_230"/>
      <w:r>
        <w:t>16. Источники, комплект и математическое приложение</w:t>
      </w:r>
      <w:bookmarkEnd w:id="230"/>
    </w:p>
    <w:p>
      <w:pPr>
        <w:pStyle w:val="Heading2"/>
      </w:pPr>
      <w:bookmarkStart w:id="231" w:name="section_231"/>
      <w:r>
        <w:t>Откуда проверять утверждения</w:t>
      </w:r>
      <w:bookmarkEnd w:id="231"/>
    </w:p>
    <w:p>
      <w:pPr/>
      <w:r/>
      <w:hyperlink r:id="rId12">
        <w:r>
          <w:rPr>
            <w:color w:val="226655"/>
            <w:u w:val="single"/>
          </w:rPr>
          <w:t xml:space="preserve">Код проекта</w:t>
        </w:r>
      </w:hyperlink>
      <w:r>
        <w:t xml:space="preserve">, </w:t>
      </w:r>
      <w:hyperlink r:id="rId11">
        <w:r>
          <w:rPr>
            <w:color w:val="226655"/>
            <w:u w:val="single"/>
          </w:rPr>
          <w:t xml:space="preserve">публичные агрегаты</w:t>
        </w:r>
      </w:hyperlink>
      <w:r>
        <w:t xml:space="preserve">, </w:t>
      </w:r>
      <w:hyperlink r:id="rId13">
        <w:r>
          <w:rPr>
            <w:color w:val="226655"/>
            <w:u w:val="single"/>
          </w:rPr>
          <w:t xml:space="preserve">официальная записка</w:t>
        </w:r>
      </w:hyperlink>
      <w:r>
        <w:t xml:space="preserve"> и </w:t>
      </w:r>
      <w:hyperlink r:id="rId14">
        <w:r>
          <w:rPr>
            <w:color w:val="226655"/>
            <w:u w:val="single"/>
          </w:rPr>
          <w:t xml:space="preserve">её источник</w:t>
        </w:r>
      </w:hyperlink>
      <w:r>
        <w:t>. Публичный снимок хранит числа и provenance, происхождение агрегатов. Приватные модели и CSV передаются отдельно по согласованному доступу.</w:t>
      </w:r>
    </w:p>
    <w:p>
      <w:pPr/>
      <w:r>
        <w:t>Ссылки объясняют использованные методы:</w:t>
      </w:r>
    </w:p>
    <w:p>
      <w:pPr>
        <w:pStyle w:val="ListBullet"/>
      </w:pPr>
      <w:r/>
      <w:hyperlink r:id="rId15">
        <w:r>
          <w:rPr>
            <w:color w:val="226655"/>
            <w:u w:val="single"/>
          </w:rPr>
          <w:t xml:space="preserve">CatBoost, Prokhorenkova et al., 2018</w:t>
        </w:r>
      </w:hyperlink>
      <w:r>
        <w:t xml:space="preserve"> и </w:t>
      </w:r>
      <w:hyperlink r:id="rId16">
        <w:r>
          <w:rPr>
            <w:color w:val="226655"/>
            <w:u w:val="single"/>
          </w:rPr>
          <w:t xml:space="preserve">PairLogit</w:t>
        </w:r>
      </w:hyperlink>
      <w:r>
        <w:t>.</w:t>
      </w:r>
    </w:p>
    <w:p>
      <w:pPr>
        <w:pStyle w:val="ListBullet"/>
      </w:pPr>
      <w:r/>
      <w:hyperlink r:id="rId17">
        <w:r>
          <w:rPr>
            <w:color w:val="226655"/>
            <w:u w:val="single"/>
          </w:rPr>
          <w:t xml:space="preserve">E5, Wang et al., 2022</w:t>
        </w:r>
      </w:hyperlink>
      <w:r>
        <w:t xml:space="preserve"> и </w:t>
      </w:r>
      <w:hyperlink r:id="rId18">
        <w:r>
          <w:rPr>
            <w:color w:val="226655"/>
            <w:u w:val="single"/>
          </w:rPr>
          <w:t xml:space="preserve">multilingual-e5-small</w:t>
        </w:r>
      </w:hyperlink>
      <w:r>
        <w:t>.</w:t>
      </w:r>
    </w:p>
    <w:p>
      <w:pPr>
        <w:pStyle w:val="ListBullet"/>
      </w:pPr>
      <w:r/>
      <w:hyperlink r:id="rId19">
        <w:r>
          <w:rPr>
            <w:color w:val="226655"/>
            <w:u w:val="single"/>
          </w:rPr>
          <w:t xml:space="preserve">LightGCN, He et al., 2020</w:t>
        </w:r>
      </w:hyperlink>
      <w:r>
        <w:t>.</w:t>
      </w:r>
    </w:p>
    <w:p>
      <w:pPr>
        <w:pStyle w:val="ListBullet"/>
      </w:pPr>
      <w:r/>
      <w:hyperlink r:id="rId20">
        <w:r>
          <w:rPr>
            <w:color w:val="226655"/>
            <w:u w:val="single"/>
          </w:rPr>
          <w:t xml:space="preserve">BPR, Rendle et al., UAI 2009</w:t>
        </w:r>
      </w:hyperlink>
      <w:r>
        <w:t>, arXiv-версия 2012.</w:t>
      </w:r>
    </w:p>
    <w:p>
      <w:pPr>
        <w:pStyle w:val="ListBullet"/>
      </w:pPr>
      <w:r/>
      <w:hyperlink r:id="rId21">
        <w:r>
          <w:rPr>
            <w:color w:val="226655"/>
            <w:u w:val="single"/>
          </w:rPr>
          <w:t xml:space="preserve">InfoNCE, van den Oord et al., 2018</w:t>
        </w:r>
      </w:hyperlink>
      <w:r>
        <w:t>, не воспроизведение полной архитектуры CPC.</w:t>
      </w:r>
    </w:p>
    <w:p>
      <w:pPr>
        <w:pStyle w:val="ListBullet"/>
      </w:pPr>
      <w:r/>
      <w:hyperlink r:id="rId22">
        <w:r>
          <w:rPr>
            <w:color w:val="226655"/>
            <w:u w:val="single"/>
          </w:rPr>
          <w:t xml:space="preserve">RRF, Cormack et al., 2009</w:t>
        </w:r>
      </w:hyperlink>
      <w:r>
        <w:t>.</w:t>
      </w:r>
    </w:p>
    <w:p>
      <w:pPr>
        <w:pStyle w:val="ListBullet"/>
      </w:pPr>
      <w:r/>
      <w:hyperlink r:id="rId23">
        <w:r>
          <w:rPr>
            <w:color w:val="226655"/>
            <w:u w:val="single"/>
          </w:rPr>
          <w:t xml:space="preserve">NDCG, Järvelin и Kekäläinen, 2002</w:t>
        </w:r>
      </w:hyperlink>
      <w:r>
        <w:t>.</w:t>
      </w:r>
    </w:p>
    <w:p>
      <w:pPr/>
      <w:r>
        <w:t>Статья обосновывает метод, а не подтверждает качество нашего запуска. Перед защитой заполните ФИО, программу и руководителя. Проверьте доступ преподавателей к сдаваемой версии: наличие ссылки не подтверждает, что текущие локальные изменения опубликованы.</w:t>
      </w:r>
    </w:p>
    <w:p>
      <w:pPr/>
      <w:r>
        <w:t xml:space="preserve">Не отправляйте всю рабочую папку. </w:t>
      </w:r>
      <w:r>
        <w:rPr>
          <w:rFonts w:ascii="Courier New" w:hAnsi="Courier New"/>
        </w:rPr>
        <w:t>.env</w:t>
      </w:r>
      <w:r>
        <w:t xml:space="preserve">, сертификаты, </w:t>
      </w:r>
      <w:r>
        <w:rPr>
          <w:rFonts w:ascii="Courier New" w:hAnsi="Courier New"/>
        </w:rPr>
        <w:t>.venv</w:t>
      </w:r>
      <w:r>
        <w:t>, исходные бизнес-данные, реальные идентификаторы, веса и полные очереди остаются приватными. Публичные документы и агрегаты — комплект для защиты; личный гайд — помощник автора, а не новая экспериментальная модель.</w:t>
      </w:r>
    </w:p>
    <w:p>
      <w:pPr>
        <w:pStyle w:val="Heading2"/>
      </w:pPr>
      <w:bookmarkStart w:id="243" w:name="section_243"/>
      <w:r>
        <w:t>Необязательная математика функций потерь</w:t>
      </w:r>
      <w:bookmarkEnd w:id="243"/>
    </w:p>
    <w:p>
      <w:pPr/>
      <w:r>
        <w:t xml:space="preserve">Для понимания защиты достаточно объяснений раздела 5. Здесь записаны общие формы целей; это не полный листинг реализации. </w:t>
      </w:r>
      <w:r>
        <w:rPr>
          <w:rFonts w:ascii="Courier New" w:hAnsi="Courier New"/>
        </w:rPr>
        <w:t>s</w:t>
      </w:r>
      <w:r>
        <w:t xml:space="preserve"> — сходство или оценка, </w:t>
      </w:r>
      <w:r>
        <w:rPr>
          <w:rFonts w:ascii="Courier New" w:hAnsi="Courier New"/>
        </w:rPr>
        <w:t>τ</w:t>
      </w:r>
      <w:r>
        <w:t xml:space="preserve"> — температура, управляющая резкостью сравнений, </w:t>
      </w:r>
      <w:r>
        <w:rPr>
          <w:rFonts w:ascii="Courier New" w:hAnsi="Courier New"/>
        </w:rPr>
        <w:t>σ</w:t>
      </w:r>
      <w:r>
        <w:t xml:space="preserve"> — sigmoid, </w:t>
      </w:r>
      <w:r>
        <w:rPr>
          <w:rFonts w:ascii="Courier New" w:hAnsi="Courier New"/>
        </w:rPr>
        <w:t>θ</w:t>
      </w:r>
      <w:r>
        <w:t xml:space="preserve"> — обучаемые параметры, </w:t>
      </w:r>
      <w:r>
        <w:rPr>
          <w:rFonts w:ascii="Courier New" w:hAnsi="Courier New"/>
        </w:rPr>
        <w:t>λ</w:t>
      </w:r>
      <w:r>
        <w:t xml:space="preserve"> — вес регуляризации.</w:t>
      </w:r>
    </w:p>
    <w:p>
      <w:pPr>
        <w:pStyle w:val="GuideCode"/>
      </w:pPr>
      <w:r>
        <w:t>InfoNCE(a,p) = −log [ exp(s(a,p)/τ) / Σ(q в допустимых сравнениях) exp(s(a,q)/τ) ]</w:t>
      </w:r>
    </w:p>
    <w:p>
      <w:pPr/>
      <w:r/>
      <w:r>
        <w:rPr>
          <w:rFonts w:ascii="Courier New" w:hAnsi="Courier New"/>
        </w:rPr>
        <w:t>a</w:t>
      </w:r>
      <w:r>
        <w:t xml:space="preserve"> — первый кластер известной пары, </w:t>
      </w:r>
      <w:r>
        <w:rPr>
          <w:rFonts w:ascii="Courier New" w:hAnsi="Courier New"/>
        </w:rPr>
        <w:t>p</w:t>
      </w:r>
      <w:r>
        <w:t xml:space="preserve"> — второй. Сумма включает positive и разрешённые сравнения. Если известная пара заметно ближе остальных, loss мал. В реализации используются веса SKU и исключения известных пар.</w:t>
      </w:r>
    </w:p>
    <w:p>
      <w:pPr>
        <w:pStyle w:val="GuideCode"/>
      </w:pPr>
      <w:r>
        <w:t>BPR(u,p,q) = −log σ(s(u,p) − s(u,q)) + λ × ||θ||²</w:t>
      </w:r>
    </w:p>
    <w:p>
      <w:pPr/>
      <w:r/>
      <w:r>
        <w:rPr>
          <w:rFonts w:ascii="Courier New" w:hAnsi="Courier New"/>
        </w:rPr>
        <w:t>u</w:t>
      </w:r>
      <w:r>
        <w:t xml:space="preserve"> — товар, </w:t>
      </w:r>
      <w:r>
        <w:rPr>
          <w:rFonts w:ascii="Courier New" w:hAnsi="Courier New"/>
        </w:rPr>
        <w:t>p</w:t>
      </w:r>
      <w:r>
        <w:t xml:space="preserve"> — наблюдаемый прошлый продающий кластер, </w:t>
      </w:r>
      <w:r>
        <w:rPr>
          <w:rFonts w:ascii="Courier New" w:hAnsi="Courier New"/>
        </w:rPr>
        <w:t>q</w:t>
      </w:r>
      <w:r>
        <w:t xml:space="preserve"> — неизвестное сравнение. Формула увеличивает разницу оценок в пользу известной связи. Она не превращает неизвестное сравнение в доказанный negative.</w:t>
      </w:r>
    </w:p>
    <w:p>
      <w:pPr>
        <w:pStyle w:val="GuideCode"/>
      </w:pPr>
      <w:r>
        <w:t>PairLogit(p,q) = log(1 + exp(−(score(p) − score(q))))</w:t>
      </w:r>
    </w:p>
    <w:p>
      <w:pPr/>
      <w:r>
        <w:t>Если positive получает более высокую оценку, ошибка уменьшается. Пары взвешиваются так, чтобы одна SKU–задача не подавляла другие. CatBoost учит деревья, а не нейросетевые векторы.</w:t>
      </w:r>
    </w:p>
    <w:p>
      <w:pPr/>
      <w:r>
        <w:t>Общая идея передачи сообщений LightGCN:</w:t>
      </w:r>
    </w:p>
    <w:p>
      <w:pPr>
        <w:pStyle w:val="GuideCode"/>
      </w:pPr>
      <w:r>
        <w:t>e(node, l+1) = Σ(neighbor) e(neighbor,l) / sqrt(degree(node) × degree(neighbor))</w:t>
        <w:br/>
        <w:t>e_final(node) = mean(e(node,0), e(node,1), …, e(node,L))</w:t>
      </w:r>
    </w:p>
    <w:p>
      <w:pPr/>
      <w:r/>
      <w:r>
        <w:rPr>
          <w:rFonts w:ascii="Courier New" w:hAnsi="Courier New"/>
        </w:rPr>
        <w:t>degree</w:t>
      </w:r>
      <w:r>
        <w:t xml:space="preserve"> — число соседей узла. Нормировка не позволяет узлу с огромным числом связей автоматически подавить остальные. Эти формулы помогают понять обучаемый механизм; реальные параметры и результаты приведены выше, без подмены измерений учебным примером.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>Личный гайд по рекомендательной системе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4" w:lineRule="auto" w:before="0" w:after="120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120" w:line="264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0" w:after="120" w:line="264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0" w:after="120" w:line="264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pBdr>
        <w:bottom w:val="single" w:sz="8" w:space="4" w:color="4F81BD" w:themeColor="accent1"/>
      </w:pBdr>
      <w:spacing w:after="120" w:line="264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Code">
    <w:name w:val="Guide Code"/>
    <w:pPr>
      <w:widowControl/>
      <w:spacing w:line="240" w:lineRule="auto" w:before="80" w:after="16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file:///Users/eugene_ivanov/PycharmProjects/ozon_card_query_model/reports/experiment_summary.json" TargetMode="External"/><Relationship Id="rId12" Type="http://schemas.openxmlformats.org/officeDocument/2006/relationships/hyperlink" Target="https://github.com/MP-Trade/ozon_card_query_model" TargetMode="External"/><Relationship Id="rId13" Type="http://schemas.openxmlformats.org/officeDocument/2006/relationships/hyperlink" Target="file:///Users/eugene_ivanov/PycharmProjects/ozon_card_query_model/reports/explanatory_note.docx" TargetMode="External"/><Relationship Id="rId14" Type="http://schemas.openxmlformats.org/officeDocument/2006/relationships/hyperlink" Target="file:///Users/eugene_ivanov/PycharmProjects/ozon_card_query_model/docs/explanatory_note.md" TargetMode="External"/><Relationship Id="rId15" Type="http://schemas.openxmlformats.org/officeDocument/2006/relationships/hyperlink" Target="https://arxiv.org/abs/1706.09516" TargetMode="External"/><Relationship Id="rId16" Type="http://schemas.openxmlformats.org/officeDocument/2006/relationships/hyperlink" Target="https://catboost.ai/en/docs/concepts/loss-functions-ranking#pairlogit" TargetMode="External"/><Relationship Id="rId17" Type="http://schemas.openxmlformats.org/officeDocument/2006/relationships/hyperlink" Target="https://arxiv.org/abs/2212.03533" TargetMode="External"/><Relationship Id="rId18" Type="http://schemas.openxmlformats.org/officeDocument/2006/relationships/hyperlink" Target="https://huggingface.co/intfloat/multilingual-e5-small" TargetMode="External"/><Relationship Id="rId19" Type="http://schemas.openxmlformats.org/officeDocument/2006/relationships/hyperlink" Target="https://arxiv.org/abs/2002.02126" TargetMode="External"/><Relationship Id="rId20" Type="http://schemas.openxmlformats.org/officeDocument/2006/relationships/hyperlink" Target="https://arxiv.org/abs/1205.2618" TargetMode="External"/><Relationship Id="rId21" Type="http://schemas.openxmlformats.org/officeDocument/2006/relationships/hyperlink" Target="https://arxiv.org/abs/1807.03748" TargetMode="External"/><Relationship Id="rId22" Type="http://schemas.openxmlformats.org/officeDocument/2006/relationships/hyperlink" Target="https://doi.org/10.1145/1571941.1572114" TargetMode="External"/><Relationship Id="rId23" Type="http://schemas.openxmlformats.org/officeDocument/2006/relationships/hyperlink" Target="https://doi.org/10.1145/582415.5824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Личный гайд: как работает рекомендатель и как его защитить</dc:title>
  <dc:subject>Понятная методика, воспроизведение и подготовка к защите</dc:subject>
  <dc:creator>[ФИО автора]</dc:creator>
  <cp:keywords/>
  <dc:description>generated by python-docx</dc:description>
  <cp:lastModifiedBy/>
  <cp:revision>1</cp:revision>
  <dcterms:created xsi:type="dcterms:W3CDTF">2026-10-11T00:00:00Z</dcterms:created>
  <dcterms:modified xsi:type="dcterms:W3CDTF">2026-10-11T00:00:00Z</dcterms:modified>
  <cp:category/>
</cp:coreProperties>
</file>