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0" w:after="480"/>
        <w:jc w:val="center"/>
      </w:pPr>
      <w:r>
        <w:t>Пояснительная записка</w:t>
      </w:r>
    </w:p>
    <w:p>
      <w:pPr>
        <w:spacing w:after="360"/>
        <w:jc w:val="center"/>
      </w:pPr>
      <w:r>
        <w:t>Рекомендательная система малотрафиковых поисковых кластеров для товарных карточек</w:t>
      </w:r>
    </w:p>
    <w:p>
      <w:pPr>
        <w:spacing w:after="360"/>
        <w:jc w:val="center"/>
      </w:pPr>
      <w:r>
        <w:t>Дипломный проект</w:t>
      </w:r>
    </w:p>
    <w:p>
      <w:pPr>
        <w:spacing w:after="360"/>
        <w:jc w:val="center"/>
      </w:pPr>
      <w:r>
        <w:t>Автор: [ФИО автора]</w:t>
      </w:r>
    </w:p>
    <w:p>
      <w:pPr>
        <w:spacing w:after="360"/>
        <w:jc w:val="center"/>
      </w:pPr>
      <w:r>
        <w:t>Образовательная программа: [Образовательная программа]</w:t>
      </w:r>
    </w:p>
    <w:p>
      <w:pPr>
        <w:spacing w:after="360"/>
        <w:jc w:val="center"/>
      </w:pPr>
      <w:r>
        <w:t>Курс: [Курс]</w:t>
      </w:r>
    </w:p>
    <w:p>
      <w:pPr>
        <w:spacing w:after="360"/>
        <w:jc w:val="center"/>
      </w:pPr>
      <w:r>
        <w:t>Руководитель: [ФИО руководителя]</w:t>
      </w:r>
    </w:p>
    <w:p>
      <w:pPr>
        <w:spacing w:after="360"/>
        <w:jc w:val="center"/>
      </w:pPr>
      <w:r>
        <w:t>2026</w:t>
      </w:r>
    </w:p>
    <w:p>
      <w:pPr>
        <w:jc w:val="both"/>
      </w:pPr>
      <w:r>
        <w:t>Разработана работоспособная воспроизводимая гибридная система: обучены модели, измерен вклад каналов и подготовлена очередь для специалиста. Записка содержит методику и результаты запуска от 11.10.2026.</w:t>
      </w:r>
    </w:p>
    <w:p>
      <w:pPr>
        <w:jc w:val="both"/>
      </w:pPr>
      <w:r>
        <w:t xml:space="preserve">Исходный код: </w:t>
      </w:r>
      <w:hyperlink r:id="rId11">
        <w:r>
          <w:rPr>
            <w:color w:val="226655"/>
            <w:u w:val="single"/>
          </w:rPr>
          <w:t xml:space="preserve">eugiv/ozon_card_query_model</w:t>
        </w:r>
      </w:hyperlink>
      <w:r>
        <w:t>.</w:t>
      </w:r>
    </w:p>
    <w:p>
      <w:pPr>
        <w:jc w:val="both"/>
      </w:pPr>
      <w:r>
        <w:t>Перед защитой заполните реквизиты и зафиксируйте ссылку на конкретный коммит публичной версии. Публичная копия содержит исходники и агрегаты, но не приватные данные и модели.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Содержание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20"/>
        <w:gridCol w:w="1417"/>
      </w:tblGrid>
      <w:tr>
        <w:trPr>
          <w:cantSplit/>
          <w:tblHeader/>
        </w:trPr>
        <w:tc>
          <w:tcPr>
            <w:tcW w:type="dxa" w:w="8220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Раздел</w:t>
            </w:r>
          </w:p>
        </w:tc>
        <w:tc>
          <w:tcPr>
            <w:tcW w:type="dxa" w:w="1417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Страница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Титульный лист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Содержание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1. Введение и постановка задачи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3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2. Данные и их особенности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3. Что измеряет эксперимент: данные и временной контроль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5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4. Варианты решения и архитектура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6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5. Обучение и критерии оценки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7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6. Результаты и практическое применение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8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7. Заключение и направления развития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9</w:t>
            </w:r>
          </w:p>
        </w:tc>
      </w:tr>
      <w:tr>
        <w:trPr>
          <w:cantSplit/>
        </w:trPr>
        <w:tc>
          <w:tcPr>
            <w:tcW w:type="dxa" w:w="8220"/>
          </w:tcPr>
          <w:p>
            <w:pPr>
              <w:spacing w:after="40" w:before="40"/>
              <w:jc w:val="left"/>
            </w:pPr>
            <w:r>
              <w:t>8. Список литературы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>
              <w:t>10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jc w:val="both"/>
      </w:pPr>
      <w:r>
        <w:t>Десять разделов разделены явными разрывами страниц. Markdown — единый источник редактируемого DOCX; номер в колонтитуле является полем PAGE. После заполнения реквизитов необходимо повторно проверить пагинацию в используемом редакторе.</w:t>
      </w:r>
    </w:p>
    <w:p>
      <w:pPr>
        <w:jc w:val="both"/>
      </w:pPr>
      <w:r>
        <w:t>Обозначения: SKU — товарная позиция; normquery — самостоятельный поисковый кластер внешнего словаря; SEO — текстовая поисковая оптимизация карточки; validation — выбор метода; test — диагностическая проверка; review — очередь ручного рассмотрения.</w:t>
      </w:r>
    </w:p>
    <w:p>
      <w:pPr>
        <w:jc w:val="both"/>
      </w:pPr>
      <w:r>
        <w:t>Основания текущих чисел: docs/recommender_methodology.md, reports/stage3_20261011.md и выбранные агрегированные поля metrics.json в reports/stage3_evaluation, reports/stage3_ablation и reports/stage3_release. Оценочные модели и финальный выпуск различаются; результаты прежних пулов не смешиваются с текущими.</w:t>
      </w:r>
    </w:p>
    <w:p>
      <w:pPr>
        <w:jc w:val="both"/>
      </w:pPr>
      <w:r>
        <w:t>Полные коммерческие данные, идентификаторы SKU, тексты карточек и модели не включаются в сдаваемый публичный комплект. Литературные источники обосновывают методы, но не подтверждают качество конкретного эксперимента.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1. Введение и постановка задачи</w:t>
      </w:r>
    </w:p>
    <w:p>
      <w:pPr>
        <w:jc w:val="both"/>
      </w:pPr>
      <w:r>
        <w:t>Покупатель маркетплейса может искать не название товара, а задачу, назначение или ситуацию использования. Совпадение слов с названием поэтому не исчерпывает возможные поисковые запросы. Для карточек с малой видимостью полезен короткий список кластеров, который специалист проверит перед изменением текста.</w:t>
      </w:r>
    </w:p>
    <w:p>
      <w:pPr>
        <w:jc w:val="both"/>
      </w:pPr>
      <w:r>
        <w:t>Цель проекта — воспроизводимый поиск и ранжирование связей SKU × normquery с малым наблюдаемым трафиком. Входы: история поисковой видимости и заказов, фиксированный словарь кластеров и, отдельно для текущей выдачи, датированный текст карточки. Выход: упорядоченные гипотезы с источниками, приоритетом и причинами фильтрации. Кластеры задаются WB: проект не создаёт собственную кластеризацию и не дописывает слова к запросам.</w:t>
      </w:r>
    </w:p>
    <w:p>
      <w:pPr>
        <w:jc w:val="both"/>
      </w:pPr>
      <w:r>
        <w:t>Кандидат не имеет наблюдаемых прежних заказов данного SKU во всей доступной прошлой истории и получает 0–5 суммарных просмотров за 14 дней. Окно и порог — параметры эксперимента. Продающие кластеры товара служат ориентирами для новых связей.</w:t>
      </w:r>
    </w:p>
    <w:p>
      <w:pPr>
        <w:jc w:val="both"/>
      </w:pPr>
      <w:r>
        <w:t>Задачи: проверить качество и временную доступность данных; реализовать текстовый, семантический и графовый поиск; обучить CatBoost, семантический адаптер и LightGCN; выбрать метод только на validation; сравнить методы на одинаковой популяции и пуле; отделить историческую оценку от проверки текущего текста.</w:t>
      </w:r>
    </w:p>
    <w:p>
      <w:pPr>
        <w:jc w:val="both"/>
      </w:pPr>
      <w:r>
        <w:t>Система формирует очередь review с основаниями выбора и приоритетом. Ранжирование дополняется проверкой текущего текста, чтобы специалист видел новые предложения и явные противоречия. ClickHouse используется только для чтения.</w:t>
      </w:r>
    </w:p>
    <w:p>
      <w:pPr>
        <w:jc w:val="both"/>
      </w:pPr>
      <w:r>
        <w:t>Практическая ценность — сокращение пространства поиска и объяснимая подготовка кандидатов. Специалист получает приоритетный список с продающими ориентирами и товарными свидетельствами, проверяет пригодность фраз и выбирает доступные текстовые поля. Такой выпуск готов для предметного бизнес-пилота.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2. Данные и их особенности</w:t>
      </w:r>
    </w:p>
    <w:p>
      <w:pPr>
        <w:jc w:val="both"/>
      </w:pPr>
      <w:r>
        <w:t>Источник — default_staging.stg_ozon_product_queries_details в ClickHouse, только чтение. Актуальная полная выгрузка: 3 203 109 строк, 2 171 SKU, 09.01–07.10.2026; представлены 268 дней. Строка соответствует дате, товару и исходному запросу. Миллионы фактов нельзя называть миллионами размеченных обучающих примеров.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Поле</w:t>
            </w:r>
          </w:p>
        </w:tc>
        <w:tc>
          <w:tcPr>
            <w:tcW w:type="dxa" w:w="6520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Смысл и ограничение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unique_search_users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Пользователи, искавшие исходную фразу; сигнал спроса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unique_view_users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Пользователи, увидевшие карточку; просмотры, не клики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order_count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Число заказов, не обязательно покупателей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jc w:val="both"/>
      </w:pPr>
      <w:r>
        <w:t>Суммы по дням и вариантам запросов не являются числом уникальных людей за весь период. Спрос сначала дедуплицируется максимумом по дню и исходной фразе, без повторного суммирования по SKU. Заказы сохраняют связь с конкретным товаром.</w:t>
      </w:r>
    </w:p>
    <w:p>
      <w:pPr>
        <w:jc w:val="both"/>
      </w:pPr>
      <w:r>
        <w:t>Исторический снимок raw.wb_normquery зафиксирован на конец 26.06.2026 UTC: 477 579 кластеров. Покрытие заказов — 82,24%: 191 456 из 232 791, точная доля 0,8224372935379805 по аудиту текущей оценки. Несопоставленные записи не становятся отрицательными ответами. loaded_at задаёт доступность записи, не известную версию алгоритма WB.</w:t>
      </w:r>
    </w:p>
    <w:p>
      <w:pPr>
        <w:jc w:val="both"/>
      </w:pPr>
      <w:r>
        <w:t>Отсутствуют 19.05, 04.06, 12.06 и 21.07.2026. Такие дни не подменяются нулями; неполные окна ответов и недавних просмотров исключаются. Строки на остальных датах не доказывают полноту загрузки внутри дня.</w:t>
      </w:r>
    </w:p>
    <w:p>
      <w:pPr>
        <w:jc w:val="both"/>
      </w:pPr>
      <w:r>
        <w:t>Дубликаты date + sku + query и некорректные счётчики отклоняются. Полные выгрузки, тексты и embeddings остаются приватными локальными входами. Синтетические проверки не требуют базы или секретов: они проверяют код, а не измеряют реальное качество рекомендаций.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3. Что измеряет эксперимент: данные и временной контроль</w:t>
      </w:r>
    </w:p>
    <w:p>
      <w:pPr>
        <w:jc w:val="both"/>
      </w:pPr>
      <w:r>
        <w:t>Фразы приводятся к нижнему регистру с обрезкой внешних пробелов. Из успешных непустых соответствий выбирается последнее с loaded_at не позднее снимка; ничья разрешается по normquery. Один query получает один кластер: заказы не размножаются.</w:t>
      </w:r>
    </w:p>
    <w:p>
      <w:pPr>
        <w:jc w:val="both"/>
      </w:pPr>
      <w:r>
        <w:t>Факты агрегируются до SKU × normquery. На дату решения доступны только прошлые факты. Прежние продающие связи исключаются из новых кандидатов; фильтр 0–5 просмотров за последние 14 дней применяется до бюджета поиска.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Часть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Дата решения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Период ответов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Train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26.06.2026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27.06–10.07.2026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Train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03.07.2026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04–17.07.2026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Train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07.08.2026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08–21.08.2026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Train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14.08.2026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15–28.08.2026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Train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21.08.2026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22.08–04.09.2026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Validation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04.09.2026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05–18.09.2026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Test: диагностика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18.09.2026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19.09–02.10.2026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Новые четыре дня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03.10.2026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04–07.10.2026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jc w:val="both"/>
      </w:pPr>
      <w:r>
        <w:t>Шаг train — 7 дней: перекрывающиеся ответы не являются независимыми наблюдениями. Решения 10.07, 17.07, 24.07, 31.07 исключены из-за пропуска 21.07. Январская история служит июньским контекстом, не январским benchmark с будущим словарём.</w:t>
      </w:r>
    </w:p>
    <w:p>
      <w:pPr>
        <w:jc w:val="both"/>
      </w:pPr>
      <w:r>
        <w:t>Проверочные адаптер и LightGCN обучены по 04.09. Validation выбирает итерации, веса и метод; test уже просмотрен и остаётся диагностическим: не независимое подтверждение. Новые четыре дня дают разницу +2,81 п.п., 95%: −2,08…+7,92 п.п.; интервал включает ноль, полного горизонта нет.</w:t>
      </w:r>
    </w:p>
    <w:p>
      <w:pPr>
        <w:jc w:val="both"/>
      </w:pPr>
      <w:r>
        <w:t>Отдельный refit по 07.10 включает прежние ответы: сентябрьские метрики оценивают проверочные модели, не финальный выпуск. Октябрьский текст используется только для текущего отсева, не для сентябрьских признаков.</w:t>
      </w:r>
    </w:p>
    <w:p>
      <w:pPr>
        <w:jc w:val="both"/>
      </w:pPr>
      <w:r>
        <w:t>Цель — найти наблюдаемые будущие продающие связи. Precision — proxy заказов, не экспертная релевантность: остальные 95,04% десятки не объявляются неподходящими. Мало просмотров не доказывает отсутствия фразы. Ограничения: полнота загрузки неизвестна, алгоритм WB неизвестен, нужны продающие ориентиры; холодный старт не решён. Фото и OCR в текущем решении не использовались; фото/OCR вне текущего объёма. Изменений карточек и измеренного бизнес-прироста нет.</w:t>
      </w:r>
    </w:p>
    <w:p>
      <w:pPr>
        <w:jc w:val="both"/>
      </w:pPr>
      <w:r>
        <w:t>Стресс проверяет сохранённый пул без переобучения: искусственные возмущения, не опечатки и не повреждение источника. Не доказывает устойчивость всей системы. Товарная пригодность и эффект SEO требуют отдельного аудита и бизнес-эксперимента.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4. Варианты решения и архитектура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Компонент</w:t>
            </w:r>
          </w:p>
        </w:tc>
        <w:tc>
          <w:tcPr>
            <w:tcW w:type="dxa" w:w="6520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Роль и способ использования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TF-IDF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Контрольный лексический поиск, символьные n-граммы 3–5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E5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Предобученная multilingual-e5-small; готовые веса используются без изменения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Co-sales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Поведенческий канал, рассчитываемый из наблюдаемых совместных продаж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Адаптер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Residual MLP над векторами E5; обучен на данных проекта, 15 эпох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LightGCN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Графовая нейросеть SKU ↔ кластер; обучена на данных проекта, 30 эпох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CatBoost PairLogit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Обученный попарный ранжировщик, 600 итераций; сравнивается с гибридом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40" w:before="40"/>
              <w:jc w:val="left"/>
            </w:pPr>
            <w:r>
              <w:t>RRF / learned fusion</w:t>
            </w:r>
          </w:p>
        </w:tc>
        <w:tc>
          <w:tcPr>
            <w:tcW w:type="dxa" w:w="6520"/>
          </w:tcPr>
          <w:p>
            <w:pPr>
              <w:spacing w:after="40" w:before="40"/>
              <w:jc w:val="left"/>
            </w:pPr>
            <w:r>
              <w:t>Итоговое объединение четырёх каналов; веса выбраны на validation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jc w:val="both"/>
      </w:pPr>
      <w:r>
        <w:t>TF-IDF прост и воспроизводим, но пропускает смысловую близость; E5 расширяет семантический поиск. Co-sales переносит наблюдаемые связи, обученные каналы адаптируют представления к истории. Популярность — контроль без персонализации, не свидетельство пригодности товара.</w:t>
      </w:r>
    </w:p>
    <w:p>
      <w:pPr>
        <w:jc w:val="both"/>
      </w:pPr>
      <w:r>
        <w:t>До 150 допустимых кандидатов на канал объединяются без дублей с сохранением признаков и происхождения. Текстовые каналы используют до 32 продающих ориентиров; запрет прошлых продаж — все связи. LightGCN строит профиль из seed-кластеров, не собственного SKU embedding; неизвестный графу кластер не считается плохим.</w:t>
      </w:r>
    </w:p>
    <w:p>
      <w:pPr>
        <w:jc w:val="both"/>
      </w:pPr>
      <w:r>
        <w:t xml:space="preserve">RRF: </w:t>
      </w:r>
      <w:r>
        <w:rPr>
          <w:rFonts w:ascii="Courier New" w:hAnsi="Courier New"/>
        </w:rPr>
        <w:t>score = Σ w / (60 + rank)</w:t>
      </w:r>
      <w:r>
        <w:t>. По validation NDCG@10 выбран гибрид: 25% E5 + 25% co-sales + 25% адаптер + 25% LightGCN. Это ранговый приоритет, не вероятность. CatBoost сохранён как обученный альтернативный ранжировщик. Cross-encoder и GraphSAGE — дальнейшие эксперименты.</w:t>
      </w:r>
    </w:p>
    <w:p>
      <w:pPr>
        <w:jc w:val="both"/>
      </w:pPr>
      <w:r>
        <w:t>Контур: подготовка → поиск → обучение → validation → диагностика и ablation → отдельный refit → товарный отсев → review. Структура: 9 ML-модулей в src, один модуль материалов tools/defense.py, config.json и requirements.txt. Материалы собираются через .venv/bin/python -m tools.defense note; личный гайд — через .venv/bin/python -m tools.defense guide.</w:t>
      </w:r>
    </w:p>
    <w:p>
      <w:pPr>
        <w:jc w:val="both"/>
      </w:pPr>
      <w:r>
        <w:t>Единый запуск: .venv/bin/python src/recommender.py run --config config.json.</w:t>
      </w:r>
    </w:p>
    <w:p>
      <w:pPr>
        <w:jc w:val="both"/>
      </w:pPr>
      <w:r>
        <w:t>Проверка: .venv/bin/python src/recommender.py verify --config config.json.</w:t>
      </w:r>
    </w:p>
    <w:p>
      <w:pPr>
        <w:jc w:val="both"/>
      </w:pPr>
      <w:r>
        <w:t>Готовая выдача без переобучения: .venv/bin/python src/recommender.py recommend --release reports/stage3_release --as-of 2026-10-11T01:28:00Z --output reports/recommendations_new.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5. Обучение и критерии оценки</w:t>
      </w:r>
    </w:p>
    <w:p>
      <w:pPr>
        <w:jc w:val="both"/>
      </w:pPr>
      <w:r>
        <w:t>CatBoost решает две задачи: новый заказ малотрафиковой связи в следующие 14 дней и восстановление скрытого продающего кластера. При скрытии удаляется вся собственная связь SKU из истории, просмотров и исходного графа; прошлые продажи у других SKU допустимы. На решение формируются две задачи восстановления.</w:t>
      </w:r>
    </w:p>
    <w:p>
      <w:pPr>
        <w:jc w:val="both"/>
      </w:pPr>
      <w:r>
        <w:t xml:space="preserve">Положительные цели не внедряются в пул принудительно. На найденный positive берётся до 12 неизвестных сравнений: сложных близких и seeded-случайных. PairLogit поднимает наблюдаемый positive выше unknown; это эвристическое positive–unlabelled ранжирование. Вес пары </w:t>
      </w:r>
      <w:r>
        <w:rPr>
          <w:rFonts w:ascii="Courier New" w:hAnsi="Courier New"/>
        </w:rPr>
        <w:t>1 / (число positives × число сравнений)</w:t>
      </w:r>
      <w:r>
        <w:t xml:space="preserve"> нормирует группу SKU–задача.</w:t>
      </w:r>
    </w:p>
    <w:p>
      <w:pPr>
        <w:jc w:val="both"/>
      </w:pPr>
      <w:r>
        <w:t>Признаки CatBoost: текстовая/E5-близость, co-sales, глобальные продажи и спрос, ранги каналов. Собственные просмотры, поиски и дни активности не задают приоритет. Проверочная модель: 37 245 строк, 334 SKU, 2 504 группы; из 100/300/600 выбрано 600 итераций на validation. Финальный refit: 46 787 строк, 413 SKU, 3 053 группы.</w:t>
      </w:r>
    </w:p>
    <w:p>
      <w:pPr>
        <w:jc w:val="both"/>
      </w:pPr>
      <w:r>
        <w:t xml:space="preserve">Адаптер: </w:t>
      </w:r>
      <w:r>
        <w:rPr>
          <w:rFonts w:ascii="Courier New" w:hAnsi="Courier New"/>
        </w:rPr>
        <w:t>normalize(x + 0,1 × MLP(x))</w:t>
      </w:r>
      <w:r>
        <w:t>, 384 → 128 → 384, ReLU, InfoNCE, 15 эпох. Positive — co-sale пара, до 64 пар/SKU с нормированным весом. Одинаковые фразы и известные co-sale пары исключены из слабых batch-сравнений. Готовые веса E5 фиксированы; обучается MLP-поправка. Финальный refit: 23 569 пар, 589 SKU.</w:t>
      </w:r>
    </w:p>
    <w:p>
      <w:pPr>
        <w:jc w:val="both"/>
      </w:pPr>
      <w:r>
        <w:t>LightGCN: 32 измерения, 2 слоя нормированной передачи сообщений, BPR и L2, 30 эпох; 9 525 проверочных и 10 742 финальных продающих рёбер. Обученные представления проверяются по будущим заказам, не по скрытым ранее виденным рёбрам. Mask-and-recover относится к исходному контуру со скрытой историей.</w:t>
      </w:r>
    </w:p>
    <w:p>
      <w:pPr>
        <w:jc w:val="both"/>
      </w:pPr>
      <w:r>
        <w:t xml:space="preserve">Метрики — macro по SKU с положительными ответами, включая пустую выдачу. </w:t>
      </w:r>
      <w:r>
        <w:rPr>
          <w:rFonts w:ascii="Courier New" w:hAnsi="Courier New"/>
        </w:rPr>
        <w:t>Recall@K = H/P</w:t>
      </w:r>
      <w:r>
        <w:t xml:space="preserve">; </w:t>
      </w:r>
      <w:r>
        <w:rPr>
          <w:rFonts w:ascii="Courier New" w:hAnsi="Courier New"/>
        </w:rPr>
        <w:t>Precision@K = H/K</w:t>
      </w:r>
      <w:r>
        <w:t xml:space="preserve">, короткая выдача тоже делится на K. </w:t>
      </w:r>
      <w:r>
        <w:rPr>
          <w:rFonts w:ascii="Courier New" w:hAnsi="Courier New"/>
        </w:rPr>
        <w:t>NDCG@K = DCG/IDCG</w:t>
      </w:r>
      <w:r>
        <w:t xml:space="preserve">, </w:t>
      </w:r>
      <w:r>
        <w:rPr>
          <w:rFonts w:ascii="Courier New" w:hAnsi="Courier New"/>
        </w:rPr>
        <w:t>DCG = Σ rᵢ/log₂(i+1)</w:t>
      </w:r>
      <w:r>
        <w:t>. Пропущенные поиском цели остаются в знаменателе Recall; полнота пула измеряется отдельно.</w:t>
      </w:r>
    </w:p>
    <w:p>
      <w:pPr>
        <w:jc w:val="both"/>
      </w:pPr>
      <w:r>
        <w:t>Seed 7 фиксирует случайные сравнения. Контрольные суммы связывают входы и результаты восьми этапов; verify пересчитывает метрики по сохранённым прогнозам. Проверки на синтетике обучают настоящие модели и проверяют работоспособность, не бизнес-качество.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6. Результаты и практическое применение</w:t>
      </w:r>
    </w:p>
    <w:p>
      <w:pPr>
        <w:jc w:val="both"/>
      </w:pPr>
      <w:r>
        <w:t>Диагностический test: одинаковая популяция 121 SKU, 260 будущих положительных связей, один расширенный пул 166 291 кандидатов. Полнота поиска пула — 73,13%; пропущенные цели сохранены в знаменателях.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701"/>
        <w:gridCol w:w="2438"/>
        <w:gridCol w:w="1814"/>
      </w:tblGrid>
      <w:tr>
        <w:trPr>
          <w:cantSplit/>
          <w:tblHeader/>
        </w:trPr>
        <w:tc>
          <w:tcPr>
            <w:tcW w:type="dxa" w:w="368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1701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Recall@10</w:t>
            </w:r>
          </w:p>
        </w:tc>
        <w:tc>
          <w:tcPr>
            <w:tcW w:type="dxa" w:w="2438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Precision@10, proxy</w:t>
            </w:r>
          </w:p>
        </w:tc>
        <w:tc>
          <w:tcPr>
            <w:tcW w:type="dxa" w:w="1814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NDCG@10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TF-IDF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9,11%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1,74%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0,0520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Co-sales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12,87%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3,14%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0,0976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Предобученная E5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11,90%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2,56%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0,0767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Обученный адаптер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12,89%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2,81%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0,0932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LightGCN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15,17%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3,72%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0,1024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CatBoost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15,29%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3,64%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0,0964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after="40" w:before="40"/>
              <w:jc w:val="left"/>
            </w:pPr>
            <w:r>
              <w:t>Гибрид четырёх</w:t>
            </w:r>
          </w:p>
        </w:tc>
        <w:tc>
          <w:tcPr>
            <w:tcW w:type="dxa" w:w="1701"/>
          </w:tcPr>
          <w:p>
            <w:pPr>
              <w:spacing w:after="40" w:before="40"/>
              <w:jc w:val="left"/>
            </w:pPr>
            <w:r>
              <w:t>22,85%</w:t>
            </w:r>
          </w:p>
        </w:tc>
        <w:tc>
          <w:tcPr>
            <w:tcW w:type="dxa" w:w="2438"/>
          </w:tcPr>
          <w:p>
            <w:pPr>
              <w:spacing w:after="40" w:before="40"/>
              <w:jc w:val="left"/>
            </w:pPr>
            <w:r>
              <w:t>4,96%</w:t>
            </w:r>
          </w:p>
        </w:tc>
        <w:tc>
          <w:tcPr>
            <w:tcW w:type="dxa" w:w="1814"/>
          </w:tcPr>
          <w:p>
            <w:pPr>
              <w:spacing w:after="40" w:before="40"/>
              <w:jc w:val="left"/>
            </w:pPr>
            <w:r>
              <w:t>0,1622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jc w:val="both"/>
      </w:pPr>
      <w:r>
        <w:t>На срезе нулевых прошлых просмотров: 94 SKU, 180 положительных целей, гибрид Recall@10 16,83%. Новые 04–07.10: 96 SKU, 132 цели; контроль 15,14%, гибрид 17,95%.</w:t>
      </w:r>
    </w:p>
    <w:p>
      <w:pPr>
        <w:jc w:val="both"/>
      </w:pPr>
      <w:r>
        <w:t>Текущая очередь после отдельного refit: 3 530 review-связей для 353 SKU из 212 787 кандидатов, максимум 10 на товар. Во всём пуле заблокированы 27 055 явных конфликтов, 907 фраз уже найдены в тексте. Это не измерение качества top-10. Дата выдачи — 11.10, трафик по 07.10, текст — снимок 06.10.2026.</w:t>
      </w:r>
    </w:p>
    <w:p>
      <w:pPr>
        <w:jc w:val="both"/>
      </w:pPr>
      <w:r>
        <w:t>Товарная политика — объяснимые правила для человека, не прогноз заказа и не список исключений по SKU. Проверяются непрерывная фраза и явные противоречия по ограниченному словарю. Нет конфликта означает not_verified; автоматическое add_candidate не создаётся. Основание и свидетельства помогают специалисту принять решение.</w:t>
      </w:r>
    </w:p>
    <w:p>
      <w:pPr>
        <w:jc w:val="both"/>
      </w:pPr>
      <w:r>
        <w:t>Стресс ранжирования выполнен без обучения и подбора весов. Три повтора, seed 7/8/9: Recall@10 исходно 22,85%; шум оценок 5% — 23,03%, 15% — 22,41%; счётчики ×100 у 1% кандидатов — 21,47%; случайная потеря 10%/30% пула — 20,26%/17,61%. Шум масштабирован стандартным отклонением оценок внутри SKU; правильные ответы неизменны, потерянные цели остаются в знаменателе. Расчёт: src/recommender.py results; агрегаты — reports/stage4_results/metrics.json.</w:t>
      </w:r>
    </w:p>
    <w:p>
      <w:pPr>
        <w:jc w:val="both"/>
      </w:pPr>
      <w:r>
        <w:t>Практический результат — короткая воспроизводимая очередь. Специалист проверяет карточку, выбирает подходящие фразы и доступные SEO-поля, фиксирует решение. Поиск и подготовка очереди уже выполнены программой.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7. Заключение и направления развития</w:t>
      </w:r>
    </w:p>
    <w:p>
      <w:pPr>
        <w:jc w:val="both"/>
      </w:pPr>
      <w:r>
        <w:t>Цель достигнута: создана работоспособная воспроизводимая гибридная рекомендательная система. По продающим ориентирам SKU она находит отдельные малотрафиковые normquery. Обучены CatBoost, адаптер и LightGCN; гибрид выбран на validation. Сохранённые модели воспроизводят выдачу: 3 530 приоритетных предложений для 353 товаров.</w:t>
      </w:r>
    </w:p>
    <w:p>
      <w:pPr>
        <w:jc w:val="both"/>
      </w:pPr>
      <w:r>
        <w:t>Вклад обучения на одном пуле: E5 + co-sales — 19,06% Recall@10; + адаптер — 21,59%; + LightGCN — 20,90%; все четыре — 22,85%. Прирост +3,79 п.п., или +19,89% относительно контроля по точным агрегатам; парный SKU-bootstrap, 2 000 повторов, seed 7, 95%: +0,20…+7,57 п.п. Обученные каналы дали измеримый выигрыш. Границы оценки собраны в разделе «Что измеряет эксперимент».</w:t>
      </w:r>
    </w:p>
    <w:p>
      <w:pPr>
        <w:jc w:val="both"/>
      </w:pPr>
      <w:r>
        <w:t>Результат готов для следующего бизнес-решения: зафиксировать версию, провести товарный аудит приоритетной очереди и проверить выпуск на новом полном периоде. Специалист получает не весь словарь, а объяснимый короткий список; команда сохраняет проверяемое сравнение версий.</w:t>
      </w:r>
    </w:p>
    <w:p>
      <w:pPr>
        <w:jc w:val="both"/>
      </w:pPr>
      <w:r>
        <w:t>Потери: 22,85% целей — в десятке, 23,02% — на местах 11–50, 27,26% — ниже 50, 26,87% не найдены. Это macro-доли по 121 SKU, не доли от 260 связей. При шуме 15% сохраняется 67,36% десятки: список чувствителен к сигналам.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2665"/>
        <w:gridCol w:w="3969"/>
      </w:tblGrid>
      <w:tr>
        <w:trPr>
          <w:cantSplit/>
          <w:tblHeader/>
        </w:trPr>
        <w:tc>
          <w:tcPr>
            <w:tcW w:type="dxa" w:w="300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Приоритет</w:t>
            </w:r>
          </w:p>
        </w:tc>
        <w:tc>
          <w:tcPr>
            <w:tcW w:type="dxa" w:w="2665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Следующий эксперимент</w:t>
            </w:r>
          </w:p>
        </w:tc>
        <w:tc>
          <w:tcPr>
            <w:tcW w:type="dxa" w:w="3969"/>
            <w:shd w:fill="EAF5F0"/>
          </w:tcPr>
          <w:p>
            <w:pPr>
              <w:spacing w:after="40" w:before="40"/>
              <w:jc w:val="left"/>
            </w:pPr>
            <w:r>
              <w:rPr>
                <w:b/>
              </w:rPr>
              <w:t>Как оценить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1. Независимость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Зафиксировать версию; проверить новый полный период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Recall, NDCG, интервал разницы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2. Поиск и порядок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Расширить поиск; испытать точное ранжирование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Полнота пула, NDCG, вклад изменений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40" w:before="40"/>
              <w:jc w:val="left"/>
            </w:pPr>
            <w:r>
              <w:t>3. Совместимость</w:t>
            </w:r>
          </w:p>
        </w:tc>
        <w:tc>
          <w:tcPr>
            <w:tcW w:type="dxa" w:w="2665"/>
          </w:tcPr>
          <w:p>
            <w:pPr>
              <w:spacing w:after="40" w:before="40"/>
              <w:jc w:val="left"/>
            </w:pPr>
            <w:r>
              <w:t>Расширить проверку свойств; провести аудит</w:t>
            </w:r>
          </w:p>
        </w:tc>
        <w:tc>
          <w:tcPr>
            <w:tcW w:type="dxa" w:w="3969"/>
          </w:tcPr>
          <w:p>
            <w:pPr>
              <w:spacing w:after="40" w:before="40"/>
              <w:jc w:val="left"/>
            </w:pPr>
            <w:r>
              <w:t>Подходящие фразы, конфликты и неизвестные отдельно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pPr>
        <w:jc w:val="both"/>
      </w:pPr>
      <w:r>
        <w:t>Дальнейшая работа привязана к измеренным потерям: повысить полноту поиска, поднять найденные цели в десятку, расширить проверку свойств и сохранить человеческий контроль. Отдельный A/B-пилот изменений карточек позволит оценить бизнес-эффект. Новые архитектуры исследуются после фиксации контрольного результата.</w:t>
      </w:r>
    </w:p>
    <w:p>
      <w:pPr>
        <w:jc w:val="both"/>
      </w:pPr>
      <w:r>
        <w:t xml:space="preserve">Для сдачи заполните реквизиты и зафиксируйте ссылку на конкретный коммит </w:t>
      </w:r>
      <w:hyperlink r:id="rId11">
        <w:r>
          <w:rPr>
            <w:color w:val="226655"/>
            <w:u w:val="single"/>
          </w:rPr>
          <w:t xml:space="preserve">репозитория</w:t>
        </w:r>
      </w:hyperlink>
      <w:r>
        <w:t>. Публичная копия не содержит .env, приватных данных и весов.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p>
      <w:pPr>
        <w:pStyle w:val="Heading1"/>
      </w:pPr>
      <w:r>
        <w:t>8. Список литературы</w:t>
      </w:r>
    </w:p>
    <w:p>
      <w:pPr>
        <w:jc w:val="both"/>
      </w:pPr>
      <w:r>
        <w:t xml:space="preserve">1. Prokhorenkova L. et al. CatBoost: unbiased boosting with categorical features. 2018. </w:t>
      </w:r>
      <w:hyperlink r:id="rId12">
        <w:r>
          <w:rPr>
            <w:color w:val="226655"/>
            <w:u w:val="single"/>
          </w:rPr>
          <w:t xml:space="preserve">Статья</w:t>
        </w:r>
      </w:hyperlink>
      <w:r>
        <w:t>. Семейство градиентного бустинга; PairLogit описан в документации.</w:t>
      </w:r>
    </w:p>
    <w:p>
      <w:pPr>
        <w:jc w:val="both"/>
      </w:pPr>
      <w:r>
        <w:t xml:space="preserve">2. Wang L. et al. Text Embeddings by Weakly-Supervised Contrastive Pre-training. 2022. </w:t>
      </w:r>
      <w:hyperlink r:id="rId13">
        <w:r>
          <w:rPr>
            <w:color w:val="226655"/>
            <w:u w:val="single"/>
          </w:rPr>
          <w:t xml:space="preserve">Статья E5</w:t>
        </w:r>
      </w:hyperlink>
      <w:r>
        <w:t>. Подход к предобучению текстовых векторов.</w:t>
      </w:r>
    </w:p>
    <w:p>
      <w:pPr>
        <w:jc w:val="both"/>
      </w:pPr>
      <w:r>
        <w:t xml:space="preserve">3. Reimers N., Gurevych I. Sentence-BERT: Sentence Embeddings using Siamese BERT-Networks. 2019. </w:t>
      </w:r>
      <w:hyperlink r:id="rId14">
        <w:r>
          <w:rPr>
            <w:color w:val="226655"/>
            <w:u w:val="single"/>
          </w:rPr>
          <w:t xml:space="preserve">Статья</w:t>
        </w:r>
      </w:hyperlink>
      <w:r>
        <w:t>. Семантический поиск; библиотека Sentence Transformers.</w:t>
      </w:r>
    </w:p>
    <w:p>
      <w:pPr>
        <w:jc w:val="both"/>
      </w:pPr>
      <w:r>
        <w:t xml:space="preserve">4. Cormack G. V., Clarke C. L. A., Büttcher S. Reciprocal Rank Fusion outperforms Condorcet and individual Rank Learning Methods. SIGIR, 2009. </w:t>
      </w:r>
      <w:hyperlink r:id="rId15">
        <w:r>
          <w:rPr>
            <w:color w:val="226655"/>
            <w:u w:val="single"/>
          </w:rPr>
          <w:t xml:space="preserve">DOI</w:t>
        </w:r>
      </w:hyperlink>
      <w:r>
        <w:t>. Гибрид рангов RRF.</w:t>
      </w:r>
    </w:p>
    <w:p>
      <w:pPr>
        <w:jc w:val="both"/>
      </w:pPr>
      <w:r>
        <w:t xml:space="preserve">5. Järvelin K., Kekäläinen J. Cumulated gain-based evaluation of IR techniques. ACM TOIS, 2002. </w:t>
      </w:r>
      <w:hyperlink r:id="rId16">
        <w:r>
          <w:rPr>
            <w:color w:val="226655"/>
            <w:u w:val="single"/>
          </w:rPr>
          <w:t xml:space="preserve">DOI</w:t>
        </w:r>
      </w:hyperlink>
      <w:r>
        <w:t>. Дисконтированная оценка NDCG.</w:t>
      </w:r>
    </w:p>
    <w:p>
      <w:pPr>
        <w:jc w:val="both"/>
      </w:pPr>
      <w:r>
        <w:t xml:space="preserve">6. He X. et al. LightGCN: Simplifying and Powering Graph Convolution Network for Recommendation. SIGIR, 2020. </w:t>
      </w:r>
      <w:hyperlink r:id="rId17">
        <w:r>
          <w:rPr>
            <w:color w:val="226655"/>
            <w:u w:val="single"/>
          </w:rPr>
          <w:t xml:space="preserve">Статья</w:t>
        </w:r>
      </w:hyperlink>
      <w:r>
        <w:t>. Архитектура обученного графа.</w:t>
      </w:r>
    </w:p>
    <w:p>
      <w:pPr>
        <w:jc w:val="both"/>
      </w:pPr>
      <w:r>
        <w:t xml:space="preserve">7. Rendle S., Freudenthaler C., Gantner Z., Schmidt-Thieme L. BPR: Bayesian Personalized Ranking from Implicit Feedback. UAI, 2009. </w:t>
      </w:r>
      <w:hyperlink r:id="rId18">
        <w:r>
          <w:rPr>
            <w:color w:val="226655"/>
            <w:u w:val="single"/>
          </w:rPr>
          <w:t xml:space="preserve">Статья</w:t>
        </w:r>
      </w:hyperlink>
      <w:r>
        <w:t>. Цель обучения графа; arXiv-версия — 2012.</w:t>
      </w:r>
    </w:p>
    <w:p>
      <w:pPr>
        <w:jc w:val="both"/>
      </w:pPr>
      <w:r>
        <w:t xml:space="preserve">8. CatBoost. Objectives and metrics: PairLogit. </w:t>
      </w:r>
      <w:hyperlink r:id="rId19">
        <w:r>
          <w:rPr>
            <w:color w:val="226655"/>
            <w:u w:val="single"/>
          </w:rPr>
          <w:t xml:space="preserve">Документация</w:t>
        </w:r>
      </w:hyperlink>
      <w:r>
        <w:t>. Цель попарного ранжирования.</w:t>
      </w:r>
    </w:p>
    <w:p>
      <w:pPr>
        <w:jc w:val="both"/>
      </w:pPr>
      <w:r>
        <w:t xml:space="preserve">9. ClickHouse. </w:t>
      </w:r>
      <w:hyperlink r:id="rId20">
        <w:r>
          <w:rPr>
            <w:color w:val="226655"/>
            <w:u w:val="single"/>
          </w:rPr>
          <w:t xml:space="preserve">Документация</w:t>
        </w:r>
      </w:hyperlink>
      <w:r>
        <w:t>. Чтение и агрегация истории.</w:t>
      </w:r>
    </w:p>
    <w:p>
      <w:pPr>
        <w:jc w:val="both"/>
      </w:pPr>
      <w:r>
        <w:t xml:space="preserve">10. pandas. </w:t>
      </w:r>
      <w:hyperlink r:id="rId21">
        <w:r>
          <w:rPr>
            <w:color w:val="226655"/>
            <w:u w:val="single"/>
          </w:rPr>
          <w:t xml:space="preserve">Документация</w:t>
        </w:r>
      </w:hyperlink>
      <w:r>
        <w:t>. Табличная обработка и проверка схемы.</w:t>
      </w:r>
    </w:p>
    <w:p>
      <w:pPr>
        <w:jc w:val="both"/>
      </w:pPr>
      <w:r>
        <w:t xml:space="preserve">11. intfloat. </w:t>
      </w:r>
      <w:hyperlink r:id="rId22">
        <w:r>
          <w:rPr>
            <w:color w:val="226655"/>
            <w:u w:val="single"/>
          </w:rPr>
          <w:t xml:space="preserve">Карточка multilingual-e5-small</w:t>
        </w:r>
      </w:hyperlink>
      <w:r>
        <w:t>. Использованные замороженные веса, размер вектора и префиксы входов.</w:t>
      </w:r>
    </w:p>
    <w:p>
      <w:pPr>
        <w:jc w:val="both"/>
      </w:pPr>
      <w:r>
        <w:t xml:space="preserve">12. van den Oord A., Li Y., Vinyals O. Representation Learning with Contrastive Predictive Coding. 2018. </w:t>
      </w:r>
      <w:hyperlink r:id="rId23">
        <w:r>
          <w:rPr>
            <w:color w:val="226655"/>
            <w:u w:val="single"/>
          </w:rPr>
          <w:t xml:space="preserve">Статья</w:t>
        </w:r>
      </w:hyperlink>
      <w:r>
        <w:t>. InfoNCE для адаптера; полная архитектура CPC не воспроизводится.</w:t>
      </w:r>
    </w:p>
    <w:p>
      <w:pPr>
        <w:jc w:val="both"/>
      </w:pPr>
      <w:r>
        <w:t>Внутренние источники чисел: docs/recommender_methodology.md, reports/stage3_20261011.md, оценочные metrics.json и манифесты этапов 3–4. Статьи объясняют методы, а не подтверждают качество данного запуска. Список составлен 11.10.2026; доступность всех веб-ссылок не подтверждена.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Малотрафиковые поисковые кластеры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before="0"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4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eugiv/ozon_card_query_model" TargetMode="External"/><Relationship Id="rId12" Type="http://schemas.openxmlformats.org/officeDocument/2006/relationships/hyperlink" Target="https://arxiv.org/abs/1706.09516" TargetMode="External"/><Relationship Id="rId13" Type="http://schemas.openxmlformats.org/officeDocument/2006/relationships/hyperlink" Target="https://arxiv.org/abs/2212.03533" TargetMode="External"/><Relationship Id="rId14" Type="http://schemas.openxmlformats.org/officeDocument/2006/relationships/hyperlink" Target="https://arxiv.org/abs/1908.10084" TargetMode="External"/><Relationship Id="rId15" Type="http://schemas.openxmlformats.org/officeDocument/2006/relationships/hyperlink" Target="https://doi.org/10.1145/1571941.1572114" TargetMode="External"/><Relationship Id="rId16" Type="http://schemas.openxmlformats.org/officeDocument/2006/relationships/hyperlink" Target="https://doi.org/10.1145/582415.582418" TargetMode="External"/><Relationship Id="rId17" Type="http://schemas.openxmlformats.org/officeDocument/2006/relationships/hyperlink" Target="https://arxiv.org/abs/2002.02126" TargetMode="External"/><Relationship Id="rId18" Type="http://schemas.openxmlformats.org/officeDocument/2006/relationships/hyperlink" Target="https://arxiv.org/abs/1205.2618" TargetMode="External"/><Relationship Id="rId19" Type="http://schemas.openxmlformats.org/officeDocument/2006/relationships/hyperlink" Target="https://catboost.ai/en/docs/concepts/loss-functions-ranking#pairlogit" TargetMode="External"/><Relationship Id="rId20" Type="http://schemas.openxmlformats.org/officeDocument/2006/relationships/hyperlink" Target="https://clickhouse.com/docs" TargetMode="External"/><Relationship Id="rId21" Type="http://schemas.openxmlformats.org/officeDocument/2006/relationships/hyperlink" Target="https://pandas.pydata.org/docs/" TargetMode="External"/><Relationship Id="rId22" Type="http://schemas.openxmlformats.org/officeDocument/2006/relationships/hyperlink" Target="https://huggingface.co/intfloat/multilingual-e5-small" TargetMode="External"/><Relationship Id="rId23" Type="http://schemas.openxmlformats.org/officeDocument/2006/relationships/hyperlink" Target="https://arxiv.org/abs/1807.037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>Дипломный проект: обученная гибридная рекомендательная система</dc:subject>
  <dc:creator>[ФИО автора]</dc:creator>
  <cp:keywords/>
  <dc:description>generated by python-docx</dc:description>
  <cp:lastModifiedBy/>
  <cp:revision>1</cp:revision>
  <dcterms:created xsi:type="dcterms:W3CDTF">2026-10-11T00:00:00Z</dcterms:created>
  <dcterms:modified xsi:type="dcterms:W3CDTF">2026-10-11T00:00:00Z</dcterms:modified>
  <cp:category/>
</cp:coreProperties>
</file>