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Apple Inc. Financial Analysis Report</w:t>
      </w:r>
    </w:p>
    <w:p>
      <w:pPr>
        <w:jc w:val="center"/>
      </w:pPr>
      <w:r>
        <w:rPr>
          <w:i/>
          <w:sz w:val="28"/>
        </w:rPr>
        <w:t>FY25 Q2 - Consolidated Financial Statements Analysis</w:t>
      </w:r>
    </w:p>
    <w:p>
      <w:pPr>
        <w:jc w:val="center"/>
      </w:pPr>
      <w:r>
        <w:t>Report Generated: December 27, 2025</w:t>
      </w:r>
    </w:p>
    <w:p/>
    <w:p>
      <w:pPr>
        <w:pStyle w:val="Heading1"/>
      </w:pPr>
      <w:r>
        <w:t>Executive Summary</w:t>
      </w:r>
    </w:p>
    <w:p>
      <w:r>
        <w:t>Apple Inc. demonstrates strong financial performance in FY25 Q2 with solid revenue growth, excellent profitability margins, and strategic diversification into high-growth services. The company maintains a robust balance sheet with substantial liquid assets despite aggressive working capital management. This report provides a comprehensive analysis of key performance indicators (KPIs) and investment recommendations.</w:t>
      </w:r>
    </w:p>
    <w:p>
      <w:pPr>
        <w:pStyle w:val="Heading1"/>
      </w:pPr>
      <w:r>
        <w:t>Key Performance Indicators (KPIs)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 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Rating</w:t>
            </w:r>
          </w:p>
        </w:tc>
      </w:tr>
      <w:tr>
        <w:tc>
          <w:tcPr>
            <w:tcW w:type="dxa" w:w="2880"/>
          </w:tcPr>
          <w:p>
            <w:r>
              <w:t>Revenue Growth (YoY)</w:t>
            </w:r>
          </w:p>
        </w:tc>
        <w:tc>
          <w:tcPr>
            <w:tcW w:type="dxa" w:w="2880"/>
          </w:tcPr>
          <w:p>
            <w:r>
              <w:t>4.44%</w:t>
            </w:r>
          </w:p>
        </w:tc>
        <w:tc>
          <w:tcPr>
            <w:tcW w:type="dxa" w:w="2880"/>
          </w:tcPr>
          <w:p>
            <w:r>
              <w:t>Healthy</w:t>
            </w:r>
          </w:p>
        </w:tc>
      </w:tr>
      <w:tr>
        <w:tc>
          <w:tcPr>
            <w:tcW w:type="dxa" w:w="2880"/>
          </w:tcPr>
          <w:p>
            <w:r>
              <w:t>Gross Margin</w:t>
            </w:r>
          </w:p>
        </w:tc>
        <w:tc>
          <w:tcPr>
            <w:tcW w:type="dxa" w:w="2880"/>
          </w:tcPr>
          <w:p>
            <w:r>
              <w:t>46.96%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Operating Margin</w:t>
            </w:r>
          </w:p>
        </w:tc>
        <w:tc>
          <w:tcPr>
            <w:tcW w:type="dxa" w:w="2880"/>
          </w:tcPr>
          <w:p>
            <w:r>
              <w:t>32.97%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</w:tr>
      <w:tr>
        <w:tc>
          <w:tcPr>
            <w:tcW w:type="dxa" w:w="2880"/>
          </w:tcPr>
          <w:p>
            <w:r>
              <w:t>Net Profit Margin</w:t>
            </w:r>
          </w:p>
        </w:tc>
        <w:tc>
          <w:tcPr>
            <w:tcW w:type="dxa" w:w="2880"/>
          </w:tcPr>
          <w:p>
            <w:r>
              <w:t>27.82%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Return on Equity (Annualized)</w:t>
            </w:r>
          </w:p>
        </w:tc>
        <w:tc>
          <w:tcPr>
            <w:tcW w:type="dxa" w:w="2880"/>
          </w:tcPr>
          <w:p>
            <w:r>
              <w:t>113.07%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</w:tr>
      <w:tr>
        <w:tc>
          <w:tcPr>
            <w:tcW w:type="dxa" w:w="2880"/>
          </w:tcPr>
          <w:p>
            <w:r>
              <w:t>Debt-to-Equity Ratio</w:t>
            </w:r>
          </w:p>
        </w:tc>
        <w:tc>
          <w:tcPr>
            <w:tcW w:type="dxa" w:w="2880"/>
          </w:tcPr>
          <w:p>
            <w:r>
              <w:t>2.06x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Current Ratio</w:t>
            </w:r>
          </w:p>
        </w:tc>
        <w:tc>
          <w:tcPr>
            <w:tcW w:type="dxa" w:w="2880"/>
          </w:tcPr>
          <w:p>
            <w:r>
              <w:t>0.82x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</w:tr>
    </w:tbl>
    <w:p/>
    <w:p>
      <w:pPr>
        <w:pStyle w:val="Heading1"/>
      </w:pPr>
      <w:r>
        <w:t>Detailed Financial Analysis</w:t>
      </w:r>
    </w:p>
    <w:p>
      <w:pPr>
        <w:pStyle w:val="Heading2"/>
      </w:pPr>
      <w:r>
        <w:t>1. Income Statement Metrics (6-Month Period)</w:t>
      </w:r>
    </w:p>
    <w:p>
      <w:r>
        <w:rPr>
          <w:i/>
        </w:rPr>
        <w:t>Period: March 29, 2025 vs March 30, 2024</w:t>
      </w:r>
    </w:p>
    <w:p>
      <w:r>
        <w:rPr>
          <w:b/>
        </w:rPr>
        <w:t>Revenue Metrics:</w:t>
      </w:r>
    </w:p>
    <w:p>
      <w:pPr>
        <w:pStyle w:val="ListBullet"/>
      </w:pPr>
      <w:r>
        <w:rPr>
          <w:b/>
        </w:rPr>
        <w:t xml:space="preserve">Total Net Sales (6M 2025): </w:t>
      </w:r>
      <w:r>
        <w:t>$219,659 Million</w:t>
      </w:r>
    </w:p>
    <w:p>
      <w:pPr>
        <w:pStyle w:val="ListBullet"/>
      </w:pPr>
      <w:r>
        <w:rPr>
          <w:b/>
        </w:rPr>
        <w:t xml:space="preserve">Total Net Sales (6M 2024): </w:t>
      </w:r>
      <w:r>
        <w:t>$210,328 Million</w:t>
      </w:r>
    </w:p>
    <w:p>
      <w:pPr>
        <w:pStyle w:val="ListBullet"/>
      </w:pPr>
      <w:r>
        <w:rPr>
          <w:b/>
        </w:rPr>
        <w:t xml:space="preserve">Year-over-Year Growth: </w:t>
      </w:r>
      <w:r>
        <w:t>4.44%</w:t>
      </w:r>
    </w:p>
    <w:p>
      <w:pPr>
        <w:pStyle w:val="ListBullet"/>
      </w:pPr>
      <w:r>
        <w:rPr>
          <w:b/>
        </w:rPr>
        <w:t xml:space="preserve">Products Revenue (6M 2025): </w:t>
      </w:r>
      <w:r>
        <w:t>$166,674 Million</w:t>
      </w:r>
    </w:p>
    <w:p>
      <w:pPr>
        <w:pStyle w:val="ListBullet"/>
      </w:pPr>
      <w:r>
        <w:rPr>
          <w:b/>
        </w:rPr>
        <w:t xml:space="preserve">Services Revenue (6M 2025): </w:t>
      </w:r>
      <w:r>
        <w:t>$52,985 Million</w:t>
      </w:r>
    </w:p>
    <w:p>
      <w:pPr>
        <w:pStyle w:val="ListBullet"/>
      </w:pPr>
      <w:r>
        <w:rPr>
          <w:b/>
        </w:rPr>
        <w:t xml:space="preserve">Product Growth (YoY): </w:t>
      </w:r>
      <w:r>
        <w:t>2.04%</w:t>
      </w:r>
    </w:p>
    <w:p>
      <w:pPr>
        <w:pStyle w:val="ListBullet"/>
      </w:pPr>
      <w:r>
        <w:rPr>
          <w:b/>
        </w:rPr>
        <w:t xml:space="preserve">Services Growth (YoY): </w:t>
      </w:r>
      <w:r>
        <w:t>12.77%</w:t>
      </w:r>
    </w:p>
    <w:p>
      <w:r>
        <w:rPr>
          <w:b/>
        </w:rPr>
        <w:t>Profitability Metrics:</w:t>
      </w:r>
    </w:p>
    <w:p>
      <w:pPr>
        <w:pStyle w:val="ListBullet"/>
      </w:pPr>
      <w:r>
        <w:rPr>
          <w:b/>
        </w:rPr>
        <w:t xml:space="preserve">Gross Profit (6M 2025): </w:t>
      </w:r>
      <w:r>
        <w:t>$103,142 Million</w:t>
      </w:r>
    </w:p>
    <w:p>
      <w:pPr>
        <w:pStyle w:val="ListBullet"/>
      </w:pPr>
      <w:r>
        <w:rPr>
          <w:b/>
        </w:rPr>
        <w:t xml:space="preserve">Gross Margin (6M 2025): </w:t>
      </w:r>
      <w:r>
        <w:t>46.96%</w:t>
      </w:r>
    </w:p>
    <w:p>
      <w:pPr>
        <w:pStyle w:val="ListBullet"/>
      </w:pPr>
      <w:r>
        <w:rPr>
          <w:b/>
        </w:rPr>
        <w:t xml:space="preserve">Gross Margin (6M 2024): </w:t>
      </w:r>
      <w:r>
        <w:t>46.18%</w:t>
      </w:r>
    </w:p>
    <w:p>
      <w:pPr>
        <w:pStyle w:val="ListBullet"/>
      </w:pPr>
      <w:r>
        <w:rPr>
          <w:b/>
        </w:rPr>
        <w:t xml:space="preserve">Margin Improvement: </w:t>
      </w:r>
      <w:r>
        <w:t>+0.78%</w:t>
      </w:r>
    </w:p>
    <w:p>
      <w:pPr>
        <w:pStyle w:val="ListBullet"/>
      </w:pPr>
      <w:r>
        <w:rPr>
          <w:b/>
        </w:rPr>
        <w:t xml:space="preserve">Operating Income (6M 2025): </w:t>
      </w:r>
      <w:r>
        <w:t>$72,421 Million</w:t>
      </w:r>
    </w:p>
    <w:p>
      <w:pPr>
        <w:pStyle w:val="ListBullet"/>
      </w:pPr>
      <w:r>
        <w:rPr>
          <w:b/>
        </w:rPr>
        <w:t xml:space="preserve">Operating Margin (6M 2025): </w:t>
      </w:r>
      <w:r>
        <w:t>32.97%</w:t>
      </w:r>
    </w:p>
    <w:p>
      <w:pPr>
        <w:pStyle w:val="ListBullet"/>
      </w:pPr>
      <w:r>
        <w:rPr>
          <w:b/>
        </w:rPr>
        <w:t xml:space="preserve">Net Income (6M 2025): </w:t>
      </w:r>
      <w:r>
        <w:t>$61,110 Million</w:t>
      </w:r>
    </w:p>
    <w:p>
      <w:pPr>
        <w:pStyle w:val="ListBullet"/>
      </w:pPr>
      <w:r>
        <w:rPr>
          <w:b/>
        </w:rPr>
        <w:t xml:space="preserve">Net Profit Margin (6M 2025): </w:t>
      </w:r>
      <w:r>
        <w:t>27.82%</w:t>
      </w:r>
    </w:p>
    <w:p>
      <w:pPr>
        <w:pStyle w:val="Heading2"/>
      </w:pPr>
      <w:r>
        <w:t>2. Balance Sheet Metrics (As of March 29, 2025)</w:t>
      </w:r>
    </w:p>
    <w:p>
      <w:r>
        <w:rPr>
          <w:b/>
        </w:rPr>
        <w:t>Asset Metrics:</w:t>
      </w:r>
    </w:p>
    <w:p>
      <w:pPr>
        <w:pStyle w:val="ListBullet"/>
      </w:pPr>
      <w:r>
        <w:rPr>
          <w:b/>
        </w:rPr>
        <w:t xml:space="preserve">Total Assets: </w:t>
      </w:r>
      <w:r>
        <w:t>$331,233 Million</w:t>
      </w:r>
    </w:p>
    <w:p>
      <w:pPr>
        <w:pStyle w:val="ListBullet"/>
      </w:pPr>
      <w:r>
        <w:rPr>
          <w:b/>
        </w:rPr>
        <w:t xml:space="preserve">Current Assets: </w:t>
      </w:r>
      <w:r>
        <w:t>$118,674 Million</w:t>
      </w:r>
    </w:p>
    <w:p>
      <w:pPr>
        <w:pStyle w:val="ListBullet"/>
      </w:pPr>
      <w:r>
        <w:rPr>
          <w:b/>
        </w:rPr>
        <w:t xml:space="preserve">Cash &amp; Cash Equivalents: </w:t>
      </w:r>
      <w:r>
        <w:t>$28,162 Million</w:t>
      </w:r>
    </w:p>
    <w:p>
      <w:pPr>
        <w:pStyle w:val="ListBullet"/>
      </w:pPr>
      <w:r>
        <w:rPr>
          <w:b/>
        </w:rPr>
        <w:t xml:space="preserve">Marketable Securities: </w:t>
      </w:r>
      <w:r>
        <w:t>$104,760 Million</w:t>
      </w:r>
    </w:p>
    <w:p>
      <w:pPr>
        <w:pStyle w:val="ListBullet"/>
      </w:pPr>
      <w:r>
        <w:rPr>
          <w:b/>
        </w:rPr>
        <w:t xml:space="preserve">Total Liquid Assets: </w:t>
      </w:r>
      <w:r>
        <w:t>$132,922 Million</w:t>
      </w:r>
    </w:p>
    <w:p>
      <w:pPr>
        <w:pStyle w:val="ListBullet"/>
      </w:pPr>
      <w:r>
        <w:rPr>
          <w:b/>
        </w:rPr>
        <w:t xml:space="preserve">Non-Current Assets: </w:t>
      </w:r>
      <w:r>
        <w:t>$212,559 Million</w:t>
      </w:r>
    </w:p>
    <w:p>
      <w:r>
        <w:rPr>
          <w:b/>
        </w:rPr>
        <w:t>Liability &amp; Equity Metrics:</w:t>
      </w:r>
    </w:p>
    <w:p>
      <w:pPr>
        <w:pStyle w:val="ListBullet"/>
      </w:pPr>
      <w:r>
        <w:rPr>
          <w:b/>
        </w:rPr>
        <w:t xml:space="preserve">Total Liabilities: </w:t>
      </w:r>
      <w:r>
        <w:t>$223,137 Million</w:t>
      </w:r>
    </w:p>
    <w:p>
      <w:pPr>
        <w:pStyle w:val="ListBullet"/>
      </w:pPr>
      <w:r>
        <w:rPr>
          <w:b/>
        </w:rPr>
        <w:t xml:space="preserve">Current Liabilities: </w:t>
      </w:r>
      <w:r>
        <w:t>$144,571 Million</w:t>
      </w:r>
    </w:p>
    <w:p>
      <w:pPr>
        <w:pStyle w:val="ListBullet"/>
      </w:pPr>
      <w:r>
        <w:rPr>
          <w:b/>
        </w:rPr>
        <w:t xml:space="preserve">Non-Current Liabilities: </w:t>
      </w:r>
      <w:r>
        <w:t>$78,566 Million</w:t>
      </w:r>
    </w:p>
    <w:p>
      <w:pPr>
        <w:pStyle w:val="ListBullet"/>
      </w:pPr>
      <w:r>
        <w:rPr>
          <w:b/>
        </w:rPr>
        <w:t xml:space="preserve">Shareholders' Equity: </w:t>
      </w:r>
      <w:r>
        <w:t>$108,096 Million</w:t>
      </w:r>
    </w:p>
    <w:p>
      <w:pPr>
        <w:pStyle w:val="ListBullet"/>
      </w:pPr>
      <w:r>
        <w:rPr>
          <w:b/>
        </w:rPr>
        <w:t xml:space="preserve">Debt-to-Equity Ratio: </w:t>
      </w:r>
      <w:r>
        <w:t>2.06x</w:t>
      </w:r>
    </w:p>
    <w:p>
      <w:r>
        <w:rPr>
          <w:b/>
        </w:rPr>
        <w:t>Liquidity Analysis:</w:t>
      </w:r>
    </w:p>
    <w:p>
      <w:pPr>
        <w:pStyle w:val="ListBullet"/>
      </w:pPr>
      <w:r>
        <w:rPr>
          <w:b/>
        </w:rPr>
        <w:t xml:space="preserve">Current Ratio: </w:t>
      </w:r>
      <w:r>
        <w:t>0.82x</w:t>
      </w:r>
    </w:p>
    <w:p>
      <w:pPr>
        <w:pStyle w:val="ListBullet"/>
      </w:pPr>
      <w:r>
        <w:rPr>
          <w:b/>
        </w:rPr>
        <w:t xml:space="preserve">Quick Ratio: </w:t>
      </w:r>
      <w:r>
        <w:t>0.78x</w:t>
      </w:r>
    </w:p>
    <w:p>
      <w:pPr>
        <w:pStyle w:val="ListBullet"/>
      </w:pPr>
      <w:r>
        <w:rPr>
          <w:b/>
        </w:rPr>
        <w:t xml:space="preserve">Working Capital: </w:t>
      </w:r>
      <w:r>
        <w:t>-$25,897 Million</w:t>
      </w:r>
    </w:p>
    <w:p>
      <w:pPr>
        <w:pStyle w:val="Heading2"/>
      </w:pPr>
      <w:r>
        <w:t>3. Return &amp; Efficiency Metrics</w:t>
      </w:r>
    </w:p>
    <w:p>
      <w:r>
        <w:rPr>
          <w:b/>
        </w:rPr>
        <w:t>Return Metrics (6-Month Annualized):</w:t>
      </w:r>
    </w:p>
    <w:p>
      <w:pPr>
        <w:pStyle w:val="ListBullet"/>
      </w:pPr>
      <w:r>
        <w:rPr>
          <w:b/>
        </w:rPr>
        <w:t xml:space="preserve">Return on Assets (ROA): </w:t>
      </w:r>
      <w:r>
        <w:t>36.90%</w:t>
      </w:r>
    </w:p>
    <w:p>
      <w:pPr>
        <w:pStyle w:val="ListBullet"/>
      </w:pPr>
      <w:r>
        <w:rPr>
          <w:b/>
        </w:rPr>
        <w:t xml:space="preserve">Return on Equity (ROE): </w:t>
      </w:r>
      <w:r>
        <w:t>113.07%</w:t>
      </w:r>
    </w:p>
    <w:p>
      <w:pPr>
        <w:pStyle w:val="ListBullet"/>
      </w:pPr>
      <w:r>
        <w:rPr>
          <w:b/>
        </w:rPr>
        <w:t xml:space="preserve">Asset Turnover Ratio: </w:t>
      </w:r>
      <w:r>
        <w:t>0.66x</w:t>
      </w:r>
    </w:p>
    <w:p>
      <w:r>
        <w:rPr>
          <w:b/>
        </w:rPr>
        <w:t>Operating Efficiency:</w:t>
      </w:r>
    </w:p>
    <w:p>
      <w:pPr>
        <w:pStyle w:val="ListBullet"/>
      </w:pPr>
      <w:r>
        <w:rPr>
          <w:b/>
        </w:rPr>
        <w:t xml:space="preserve">R&amp;D Expense Ratio: </w:t>
      </w:r>
      <w:r>
        <w:t>7.66%</w:t>
      </w:r>
    </w:p>
    <w:p>
      <w:pPr>
        <w:pStyle w:val="ListBullet"/>
      </w:pPr>
      <w:r>
        <w:rPr>
          <w:b/>
        </w:rPr>
        <w:t xml:space="preserve">SG&amp;A Expense Ratio: </w:t>
      </w:r>
      <w:r>
        <w:t>6.33%</w:t>
      </w:r>
    </w:p>
    <w:p>
      <w:pPr>
        <w:pStyle w:val="ListBullet"/>
      </w:pPr>
      <w:r>
        <w:rPr>
          <w:b/>
        </w:rPr>
        <w:t xml:space="preserve">Total Operating Expense Ratio: </w:t>
      </w:r>
      <w:r>
        <w:t>13.99%</w:t>
      </w:r>
    </w:p>
    <w:p/>
    <w:p>
      <w:pPr>
        <w:pStyle w:val="Heading1"/>
      </w:pPr>
      <w:r>
        <w:t>Strengths</w:t>
      </w:r>
    </w:p>
    <w:p>
      <w:pPr>
        <w:pStyle w:val="ListNumber"/>
      </w:pPr>
      <w:r>
        <w:rPr>
          <w:b/>
        </w:rPr>
        <w:t xml:space="preserve">Strong Revenue Growth: </w:t>
      </w:r>
      <w:r>
        <w:t>4.44% year-over-year growth with services accelerating at 12.77%, demonstrating successful business model diversification away from hardware dependence.</w:t>
      </w:r>
    </w:p>
    <w:p>
      <w:pPr>
        <w:pStyle w:val="ListNumber"/>
      </w:pPr>
      <w:r>
        <w:rPr>
          <w:b/>
        </w:rPr>
        <w:t xml:space="preserve">Excellent Profitability Margins: </w:t>
      </w:r>
      <w:r>
        <w:t>Gross margin of 46.96%, operating margin of 32.97%, and net margin of 27.82% represent industry-leading profitability. All margins expanded year-over-year.</w:t>
      </w:r>
    </w:p>
    <w:p>
      <w:pPr>
        <w:pStyle w:val="ListNumber"/>
      </w:pPr>
      <w:r>
        <w:rPr>
          <w:b/>
        </w:rPr>
        <w:t xml:space="preserve">Strong Operational Performance: </w:t>
      </w:r>
      <w:r>
        <w:t>Operating income increased 6.04% YoY to $72.4B, and net income grew 6.20% YoY to $61.1B, demonstrating consistent earnings growth.</w:t>
      </w:r>
    </w:p>
    <w:p>
      <w:pPr>
        <w:pStyle w:val="ListNumber"/>
      </w:pPr>
      <w:r>
        <w:rPr>
          <w:b/>
        </w:rPr>
        <w:t xml:space="preserve">Solid Balance Sheet: </w:t>
      </w:r>
      <w:r>
        <w:t>Strong liquid position with $132.9B in cash and marketable securities provides flexibility for R&amp;D investment, dividends, and strategic acquisitions.</w:t>
      </w:r>
    </w:p>
    <w:p>
      <w:pPr>
        <w:pStyle w:val="ListNumber"/>
      </w:pPr>
      <w:r>
        <w:rPr>
          <w:b/>
        </w:rPr>
        <w:t xml:space="preserve">High Capital Efficiency: </w:t>
      </w:r>
      <w:r>
        <w:t>Annualized ROE of 113.07% and ROA of 36.90% demonstrate exceptional capital efficiency and value creation for shareholders.</w:t>
      </w:r>
    </w:p>
    <w:p>
      <w:pPr>
        <w:pStyle w:val="ListNumber"/>
      </w:pPr>
      <w:r>
        <w:rPr>
          <w:b/>
        </w:rPr>
        <w:t xml:space="preserve">Controlled Debt Levels: </w:t>
      </w:r>
      <w:r>
        <w:t>Debt-to-equity ratio of 2.06x, while moderate, is sustainable given strong cash flows and excellent profitability metrics.</w:t>
      </w:r>
    </w:p>
    <w:p/>
    <w:p>
      <w:pPr>
        <w:pStyle w:val="Heading1"/>
      </w:pPr>
      <w:r>
        <w:t>Areas of Concern</w:t>
      </w:r>
    </w:p>
    <w:p>
      <w:pPr>
        <w:pStyle w:val="ListNumber"/>
      </w:pPr>
      <w:r>
        <w:rPr>
          <w:b/>
        </w:rPr>
        <w:t xml:space="preserve">Product Revenue Growth Slowing: </w:t>
      </w:r>
      <w:r>
        <w:t>Core product revenue growth of only 2.04% suggests potential market saturation. Close monitoring of hardware category performance is essential to identify emerging trends.</w:t>
      </w:r>
    </w:p>
    <w:p>
      <w:pPr>
        <w:pStyle w:val="ListNumber"/>
      </w:pPr>
      <w:r>
        <w:rPr>
          <w:b/>
        </w:rPr>
        <w:t xml:space="preserve">Declining Total Assets: </w:t>
      </w:r>
      <w:r>
        <w:t>Total assets decreased 9.25% from September 2024 ($365B) to March 2025 ($331B). While likely due to intentional capital redeployment, the trend warrants monitoring.</w:t>
      </w:r>
    </w:p>
    <w:p>
      <w:pPr>
        <w:pStyle w:val="ListNumber"/>
      </w:pPr>
      <w:r>
        <w:rPr>
          <w:b/>
        </w:rPr>
        <w:t xml:space="preserve">Current Ratio Below 1.0: </w:t>
      </w:r>
      <w:r>
        <w:t>Current ratio of 0.82x indicates current liabilities exceed current assets. This is common for tech companies but requires careful working capital management.</w:t>
      </w:r>
    </w:p>
    <w:p>
      <w:pPr>
        <w:pStyle w:val="ListNumber"/>
      </w:pPr>
      <w:r>
        <w:rPr>
          <w:b/>
        </w:rPr>
        <w:t xml:space="preserve">Services Profitability Metrics Unclear: </w:t>
      </w:r>
      <w:r>
        <w:t>While services revenue is growing rapidly at 12.77%, the profitability metrics of this segment are not separately disclosed in the financial statements.</w:t>
      </w:r>
    </w:p>
    <w:p/>
    <w:p>
      <w:pPr>
        <w:pStyle w:val="Heading1"/>
      </w:pPr>
      <w:r>
        <w:t>Investment Recommendations</w:t>
      </w:r>
    </w:p>
    <w:p>
      <w:pPr>
        <w:pStyle w:val="Heading2"/>
      </w:pPr>
      <w:r>
        <w:t>Overall Recommendation: BUY</w:t>
      </w:r>
    </w:p>
    <w:p>
      <w:r>
        <w:rPr>
          <w:b/>
          <w:color w:val="008000"/>
        </w:rPr>
        <w:t>Based on the comprehensive financial analysis, Apple Inc. presents a compelling investment opportunity for long-term investors seeking exposure to a mature technology company with strong profitability and growth potential.</w:t>
      </w:r>
    </w:p>
    <w:p>
      <w:pPr>
        <w:pStyle w:val="Heading2"/>
      </w:pPr>
      <w:r>
        <w:t>1. For Long-Term Investors</w:t>
      </w:r>
    </w:p>
    <w:p>
      <w:r>
        <w:rPr>
          <w:i/>
        </w:rPr>
        <w:t>Apple demonstrates operational excellence with improving margins, strong cash generation, and strategic diversification into high-growth services. The company's strong balance sheet and cash generation capability support sustainable dividends and growth investments.</w:t>
      </w:r>
    </w:p>
    <w:p>
      <w:pPr>
        <w:pStyle w:val="ListBullet"/>
      </w:pPr>
      <w:r>
        <w:t>Strong fundamentals with industry-leading profit margins (46.96% gross margin)</w:t>
      </w:r>
    </w:p>
    <w:p>
      <w:pPr>
        <w:pStyle w:val="ListBullet"/>
      </w:pPr>
      <w:r>
        <w:t>Consistent revenue growth and profitability improvements year-over-year</w:t>
      </w:r>
    </w:p>
    <w:p>
      <w:pPr>
        <w:pStyle w:val="ListBullet"/>
      </w:pPr>
      <w:r>
        <w:t>Services revenue acceleration (12.77%) suggests successful business model evolution</w:t>
      </w:r>
    </w:p>
    <w:p>
      <w:pPr>
        <w:pStyle w:val="ListBullet"/>
      </w:pPr>
      <w:r>
        <w:t>High ROE (113.07%) indicates efficient capital deployment</w:t>
      </w:r>
    </w:p>
    <w:p>
      <w:pPr>
        <w:pStyle w:val="ListBullet"/>
      </w:pPr>
      <w:r>
        <w:t>Ample cash reserves ($132.9B liquid assets) for R&amp;D, dividends, and buybacks</w:t>
      </w:r>
    </w:p>
    <w:p>
      <w:pPr>
        <w:pStyle w:val="ListBullet"/>
      </w:pPr>
      <w:r>
        <w:t>History of returning capital to shareholders through dividends and buybacks</w:t>
      </w:r>
    </w:p>
    <w:p>
      <w:pPr>
        <w:pStyle w:val="Heading2"/>
      </w:pPr>
      <w:r>
        <w:t>2. For Growth Investors</w:t>
      </w:r>
    </w:p>
    <w:p>
      <w:r>
        <w:rPr>
          <w:i/>
        </w:rPr>
        <w:t>While total revenue growth of 4.44% is moderate, the acceleration in services (12.77%) provides a growth vector. The 2.04% product growth suggests potential market maturity requiring careful valuation assessment.</w:t>
      </w:r>
    </w:p>
    <w:p>
      <w:pPr>
        <w:pStyle w:val="Heading2"/>
      </w:pPr>
      <w:r>
        <w:t>3. For Value Investors</w:t>
      </w:r>
    </w:p>
    <w:p>
      <w:r>
        <w:rPr>
          <w:i/>
        </w:rPr>
        <w:t>Valuation assessment requires comparison of current P/E ratio against historical averages and industry peers. The exceptional profitability metrics and cash generation support investment at reasonable valuations.</w:t>
      </w:r>
    </w:p>
    <w:p/>
    <w:p>
      <w:pPr>
        <w:pStyle w:val="Heading1"/>
      </w:pPr>
      <w:r>
        <w:t>Critical Areas to Monitor</w:t>
      </w:r>
    </w:p>
    <w:p>
      <w:pPr>
        <w:pStyle w:val="ListNumber"/>
      </w:pPr>
      <w:r>
        <w:rPr>
          <w:b/>
        </w:rPr>
        <w:t xml:space="preserve">Product Revenue Trajectory: </w:t>
      </w:r>
      <w:r>
        <w:t>Track quarterly product revenue growth to detect potential market saturation. Look for stabilization or acceleration as key metrics.</w:t>
      </w:r>
    </w:p>
    <w:p>
      <w:pPr>
        <w:pStyle w:val="ListNumber"/>
      </w:pPr>
      <w:r>
        <w:rPr>
          <w:b/>
        </w:rPr>
        <w:t xml:space="preserve">Services Segment Performance: </w:t>
      </w:r>
      <w:r>
        <w:t>Request or identify separate services profitability metrics. Ensure growth is profitable and not cannibalizing hardware margins.</w:t>
      </w:r>
    </w:p>
    <w:p>
      <w:pPr>
        <w:pStyle w:val="ListNumber"/>
      </w:pPr>
      <w:r>
        <w:rPr>
          <w:b/>
        </w:rPr>
        <w:t xml:space="preserve">Capital Allocation Decisions: </w:t>
      </w:r>
      <w:r>
        <w:t>Monitor management's capital deployment strategies. Track dividend/buyback activity, R&amp;D spending, and potential acquisitions.</w:t>
      </w:r>
    </w:p>
    <w:p>
      <w:pPr>
        <w:pStyle w:val="ListNumber"/>
      </w:pPr>
      <w:r>
        <w:rPr>
          <w:b/>
        </w:rPr>
        <w:t xml:space="preserve">Macroeconomic Headwinds: </w:t>
      </w:r>
      <w:r>
        <w:t>Watch for impacts of consumer spending slowdowns, currency fluctuations (significant international presence), and inflation on margins.</w:t>
      </w:r>
    </w:p>
    <w:p>
      <w:pPr>
        <w:pStyle w:val="ListNumber"/>
      </w:pPr>
      <w:r>
        <w:rPr>
          <w:b/>
        </w:rPr>
        <w:t xml:space="preserve">Regulatory Developments: </w:t>
      </w:r>
      <w:r>
        <w:t>Monitor antitrust investigations and App Store policy challenges, particularly in key markets like EU.</w:t>
      </w:r>
    </w:p>
    <w:p>
      <w:pPr>
        <w:pStyle w:val="ListNumber"/>
      </w:pPr>
      <w:r>
        <w:rPr>
          <w:b/>
        </w:rPr>
        <w:t xml:space="preserve">Working Capital Management: </w:t>
      </w:r>
      <w:r>
        <w:t>Track the current ratio trend. While current ratio of 0.82x is manageable, monitor for deterioration.</w:t>
      </w:r>
    </w:p>
    <w:p/>
    <w:p>
      <w:pPr>
        <w:pStyle w:val="Heading1"/>
      </w:pPr>
      <w:r>
        <w:t>Recommended Action Items</w:t>
      </w:r>
    </w:p>
    <w:p>
      <w:pPr>
        <w:pStyle w:val="ListNumber"/>
      </w:pPr>
      <w:r>
        <w:t>Compare Apple's P/E ratio (price-to-earnings) with S&amp;P 500 average (~20-22x) and industry peers</w:t>
      </w:r>
    </w:p>
    <w:p>
      <w:pPr>
        <w:pStyle w:val="ListNumber"/>
      </w:pPr>
      <w:r>
        <w:t>Review Apple's latest quarterly guidance and management commentary on product/services outlook</w:t>
      </w:r>
    </w:p>
    <w:p>
      <w:pPr>
        <w:pStyle w:val="ListNumber"/>
      </w:pPr>
      <w:r>
        <w:t>Analyze historical dividend yield and capital return history to assess shareholder-friendly policies</w:t>
      </w:r>
    </w:p>
    <w:p>
      <w:pPr>
        <w:pStyle w:val="ListNumber"/>
      </w:pPr>
      <w:r>
        <w:t>Compare gross and operating margins with key competitors (Microsoft, Google, Samsung, etc.)</w:t>
      </w:r>
    </w:p>
    <w:p>
      <w:pPr>
        <w:pStyle w:val="ListNumber"/>
      </w:pPr>
      <w:r>
        <w:t>Evaluate iPhone, Mac, Services, and Wearables segment performance separately</w:t>
      </w:r>
    </w:p>
    <w:p>
      <w:pPr>
        <w:pStyle w:val="ListNumber"/>
      </w:pPr>
      <w:r>
        <w:t>Monitor Apple's R&amp;D spending trends and innovation pipeline</w:t>
      </w:r>
    </w:p>
    <w:p>
      <w:pPr>
        <w:pStyle w:val="ListNumber"/>
      </w:pPr>
      <w:r>
        <w:t>Assess macroeconomic indicators (consumer spending, currency trends, interest rates) for impact</w:t>
      </w:r>
    </w:p>
    <w:p>
      <w:pPr>
        <w:pStyle w:val="ListNumber"/>
      </w:pPr>
      <w:r>
        <w:t>Review analyst consensus price targets and earnings estimates for next 2-4 quarters</w:t>
      </w:r>
    </w:p>
    <w:p/>
    <w:p>
      <w:pPr>
        <w:pStyle w:val="Heading1"/>
      </w:pPr>
      <w:r>
        <w:t>Investment Thesis Summary</w:t>
      </w:r>
    </w:p>
    <w:p>
      <w:pPr>
        <w:pStyle w:val="ListNumber"/>
      </w:pPr>
      <w:r>
        <w:rPr>
          <w:b/>
        </w:rPr>
        <w:t xml:space="preserve">Operational Excellence: </w:t>
      </w:r>
      <w:r>
        <w:t>Apple continues to demonstrate superior operational execution with expanding margins despite slower growth.</w:t>
      </w:r>
    </w:p>
    <w:p>
      <w:pPr>
        <w:pStyle w:val="ListNumber"/>
      </w:pPr>
      <w:r>
        <w:rPr>
          <w:b/>
        </w:rPr>
        <w:t xml:space="preserve">Business Model Diversification: </w:t>
      </w:r>
      <w:r>
        <w:t>Services growth at 12.77% provides earnings diversification and reduces hardware dependency.</w:t>
      </w:r>
    </w:p>
    <w:p>
      <w:pPr>
        <w:pStyle w:val="ListNumber"/>
      </w:pPr>
      <w:r>
        <w:rPr>
          <w:b/>
        </w:rPr>
        <w:t xml:space="preserve">Capital Efficiency: </w:t>
      </w:r>
      <w:r>
        <w:t>ROE of 113.07% and ROA of 36.90% demonstrate exceptional capital efficiency.</w:t>
      </w:r>
    </w:p>
    <w:p>
      <w:pPr>
        <w:pStyle w:val="ListNumber"/>
      </w:pPr>
      <w:r>
        <w:rPr>
          <w:b/>
        </w:rPr>
        <w:t xml:space="preserve">Financial Strength: </w:t>
      </w:r>
      <w:r>
        <w:t>Robust balance sheet with $132.9B in liquid assets supports sustainable operations and shareholder returns.</w:t>
      </w:r>
    </w:p>
    <w:p>
      <w:pPr>
        <w:pStyle w:val="ListNumber"/>
      </w:pPr>
      <w:r>
        <w:rPr>
          <w:b/>
        </w:rPr>
        <w:t xml:space="preserve">Strategic Positioning: </w:t>
      </w:r>
      <w:r>
        <w:t>Strong brand value, customer loyalty, and ecosystem lock-in provide competitive moat.</w:t>
      </w:r>
    </w:p>
    <w:p/>
    <w:p>
      <w:pPr>
        <w:pStyle w:val="Heading1"/>
      </w:pPr>
      <w:r>
        <w:t>Risk Assessment</w:t>
      </w:r>
    </w:p>
    <w:p>
      <w:r>
        <w:rPr>
          <w:b/>
        </w:rPr>
        <w:t xml:space="preserve">Overall Risk Level: </w:t>
      </w:r>
      <w:r>
        <w:rPr>
          <w:b/>
          <w:color w:val="FFA500"/>
        </w:rPr>
        <w:t>MODERATE</w:t>
      </w:r>
    </w:p>
    <w:p>
      <w:pPr>
        <w:pStyle w:val="ListNumber"/>
      </w:pPr>
      <w:r>
        <w:rPr>
          <w:b/>
        </w:rPr>
        <w:t xml:space="preserve">Product Market Maturity: </w:t>
      </w:r>
      <w:r>
        <w:t>Slower product growth (2.04%) suggests potential market saturation, particularly in developed markets.</w:t>
      </w:r>
    </w:p>
    <w:p>
      <w:pPr>
        <w:pStyle w:val="ListNumber"/>
      </w:pPr>
      <w:r>
        <w:rPr>
          <w:b/>
        </w:rPr>
        <w:t xml:space="preserve">Macroeconomic Sensitivity: </w:t>
      </w:r>
      <w:r>
        <w:t>Consumer discretionary spending vulnerability to economic downturns affects hardware sales.</w:t>
      </w:r>
    </w:p>
    <w:p>
      <w:pPr>
        <w:pStyle w:val="ListNumber"/>
      </w:pPr>
      <w:r>
        <w:rPr>
          <w:b/>
        </w:rPr>
        <w:t xml:space="preserve">Currency Risk: </w:t>
      </w:r>
      <w:r>
        <w:t>Significant international revenue exposure creates currency fluctuation risk.</w:t>
      </w:r>
    </w:p>
    <w:p>
      <w:pPr>
        <w:pStyle w:val="ListNumber"/>
      </w:pPr>
      <w:r>
        <w:rPr>
          <w:b/>
        </w:rPr>
        <w:t xml:space="preserve">Regulatory Risk: </w:t>
      </w:r>
      <w:r>
        <w:t>Antitrust investigations and App Store policy challenges could impact profitability.</w:t>
      </w:r>
    </w:p>
    <w:p>
      <w:pPr>
        <w:pStyle w:val="ListNumber"/>
      </w:pPr>
      <w:r>
        <w:rPr>
          <w:b/>
        </w:rPr>
        <w:t xml:space="preserve">Competitive Pressure: </w:t>
      </w:r>
      <w:r>
        <w:t>Intense competition in smartphones, wearables, and services from Samsung, Google, Amazon, etc.</w:t>
      </w:r>
    </w:p>
    <w:p/>
    <w:p>
      <w:pPr>
        <w:pStyle w:val="Heading1"/>
      </w:pPr>
      <w:r>
        <w:t>Conclusion</w:t>
      </w:r>
    </w:p>
    <w:p>
      <w:r>
        <w:t xml:space="preserve">Apple Inc. demonstrates strong financial fundamentals with excellent profitability metrics, solid revenue growth, and strategic business model diversification through services. The company's $132.9B in liquid assets, exceptional ROE of 113.07%, and consistent margin expansion provide confidence in financial strength. </w:t>
        <w:br/>
        <w:br/>
        <w:t>While product revenue growth is moderating at 2.04%, the acceleration in services at 12.77% suggests successful diversification. The moderate risk profile, combined with strong operational performance, makes Apple an attractive investment for long-term investors at reasonable valuations.</w:t>
        <w:br/>
        <w:br/>
        <w:t>Key success factors to monitor include: (1) product revenue stabilization, (2) services profitability verification, (3) capital allocation strategy, and (4) macroeconomic headwinds.</w:t>
        <w:br/>
        <w:br/>
        <w:t>Recommendation: BUY for long-term investors seeking quality, profitability, and growth with moderate risk exposure.</w:t>
      </w:r>
    </w:p>
    <w:p/>
    <w:p>
      <w:pPr>
        <w:jc w:val="center"/>
      </w:pPr>
      <w:r>
        <w:t>__________________________________________________________________________________________</w:t>
      </w:r>
    </w:p>
    <w:p>
      <w:pPr>
        <w:jc w:val="center"/>
      </w:pPr>
      <w:r>
        <w:rPr>
          <w:color w:val="808080"/>
          <w:sz w:val="18"/>
        </w:rPr>
        <w:t>Report Generated: December 27, 2025 at 08:05 PM</w:t>
        <w:br/>
        <w:t>Company: Apple Inc. | Period: FY25 Q2 (6 months ended March 29, 2025)</w:t>
        <w:br/>
        <w:t>Source: FY25 Q2 Consolidated Financial Statements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