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7"/>
        <w:gridCol w:w="1113"/>
        <w:gridCol w:w="1113"/>
        <w:gridCol w:w="1198"/>
        <w:gridCol w:w="1198"/>
        <w:gridCol w:w="1198"/>
        <w:gridCol w:w="1218"/>
      </w:tblGrid>
      <w:tr w:rsidR="00E078C1" w14:paraId="3A79173F" w14:textId="77777777" w:rsidTr="00E078C1">
        <w:tc>
          <w:tcPr>
            <w:tcW w:w="1077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vAlign w:val="center"/>
          </w:tcPr>
          <w:p w14:paraId="58194188" w14:textId="77777777" w:rsidR="00E078C1" w:rsidRDefault="00E078C1" w:rsidP="00E078C1">
            <w:pPr>
              <w:jc w:val="center"/>
            </w:pPr>
          </w:p>
        </w:tc>
        <w:tc>
          <w:tcPr>
            <w:tcW w:w="3424" w:type="dxa"/>
            <w:gridSpan w:val="3"/>
            <w:vAlign w:val="center"/>
          </w:tcPr>
          <w:p w14:paraId="4850EACB" w14:textId="38B21DF0" w:rsidR="00E078C1" w:rsidRPr="00E078C1" w:rsidRDefault="00E078C1" w:rsidP="00E078C1">
            <w:pPr>
              <w:jc w:val="center"/>
              <w:rPr>
                <w:u w:val="single"/>
              </w:rPr>
            </w:pPr>
            <w:r>
              <w:t>Rendimiento</w:t>
            </w:r>
          </w:p>
        </w:tc>
        <w:tc>
          <w:tcPr>
            <w:tcW w:w="3614" w:type="dxa"/>
            <w:gridSpan w:val="3"/>
            <w:vAlign w:val="center"/>
          </w:tcPr>
          <w:p w14:paraId="74BAB9DC" w14:textId="683535BA" w:rsidR="00E078C1" w:rsidRDefault="00E078C1" w:rsidP="00E078C1">
            <w:pPr>
              <w:jc w:val="center"/>
            </w:pPr>
            <w:r>
              <w:t>Precios</w:t>
            </w:r>
          </w:p>
        </w:tc>
      </w:tr>
      <w:tr w:rsidR="00E078C1" w14:paraId="366499A2" w14:textId="77777777" w:rsidTr="00E078C1">
        <w:tc>
          <w:tcPr>
            <w:tcW w:w="1077" w:type="dxa"/>
            <w:vAlign w:val="center"/>
          </w:tcPr>
          <w:p w14:paraId="5C25137A" w14:textId="77777777" w:rsidR="00E078C1" w:rsidRDefault="00E078C1" w:rsidP="00E078C1">
            <w:pPr>
              <w:jc w:val="center"/>
            </w:pPr>
          </w:p>
        </w:tc>
        <w:tc>
          <w:tcPr>
            <w:tcW w:w="1113" w:type="dxa"/>
            <w:vAlign w:val="center"/>
          </w:tcPr>
          <w:p w14:paraId="156919CC" w14:textId="60AAFF2D" w:rsidR="00E078C1" w:rsidRDefault="00E078C1" w:rsidP="00E078C1">
            <w:pPr>
              <w:jc w:val="center"/>
            </w:pPr>
            <w:proofErr w:type="spellStart"/>
            <w:r>
              <w:t>Sugar</w:t>
            </w:r>
            <w:proofErr w:type="spellEnd"/>
          </w:p>
        </w:tc>
        <w:tc>
          <w:tcPr>
            <w:tcW w:w="1113" w:type="dxa"/>
            <w:vAlign w:val="center"/>
          </w:tcPr>
          <w:p w14:paraId="74B6D6CA" w14:textId="1EF2B8DF" w:rsidR="00E078C1" w:rsidRDefault="00E078C1" w:rsidP="00E078C1">
            <w:pPr>
              <w:jc w:val="center"/>
            </w:pPr>
            <w:r>
              <w:t>FTSE</w:t>
            </w:r>
          </w:p>
        </w:tc>
        <w:tc>
          <w:tcPr>
            <w:tcW w:w="1198" w:type="dxa"/>
            <w:vAlign w:val="center"/>
          </w:tcPr>
          <w:p w14:paraId="327CA756" w14:textId="5E8B3EBD" w:rsidR="00E078C1" w:rsidRDefault="00E078C1" w:rsidP="00E078C1">
            <w:pPr>
              <w:jc w:val="center"/>
            </w:pPr>
            <w:r>
              <w:t>Iberdrola</w:t>
            </w:r>
          </w:p>
        </w:tc>
        <w:tc>
          <w:tcPr>
            <w:tcW w:w="1198" w:type="dxa"/>
            <w:vAlign w:val="center"/>
          </w:tcPr>
          <w:p w14:paraId="3EA73B73" w14:textId="04A94878" w:rsidR="00E078C1" w:rsidRDefault="00E078C1" w:rsidP="00E078C1">
            <w:pPr>
              <w:jc w:val="center"/>
            </w:pPr>
            <w:proofErr w:type="spellStart"/>
            <w:r>
              <w:t>Sugar</w:t>
            </w:r>
            <w:proofErr w:type="spellEnd"/>
          </w:p>
        </w:tc>
        <w:tc>
          <w:tcPr>
            <w:tcW w:w="1198" w:type="dxa"/>
            <w:vAlign w:val="center"/>
          </w:tcPr>
          <w:p w14:paraId="255AFE7E" w14:textId="57B81E02" w:rsidR="00E078C1" w:rsidRDefault="00E078C1" w:rsidP="00E078C1">
            <w:pPr>
              <w:jc w:val="center"/>
            </w:pPr>
            <w:r>
              <w:t>FTSE</w:t>
            </w:r>
          </w:p>
        </w:tc>
        <w:tc>
          <w:tcPr>
            <w:tcW w:w="1218" w:type="dxa"/>
            <w:vAlign w:val="center"/>
          </w:tcPr>
          <w:p w14:paraId="2C28DAF4" w14:textId="1AFFB338" w:rsidR="00E078C1" w:rsidRDefault="00E078C1" w:rsidP="00E078C1">
            <w:pPr>
              <w:jc w:val="center"/>
            </w:pPr>
            <w:r>
              <w:t>Iberdrola</w:t>
            </w:r>
          </w:p>
        </w:tc>
      </w:tr>
      <w:tr w:rsidR="00E078C1" w14:paraId="3554B955" w14:textId="77777777" w:rsidTr="00E078C1">
        <w:tc>
          <w:tcPr>
            <w:tcW w:w="1077" w:type="dxa"/>
            <w:vAlign w:val="center"/>
          </w:tcPr>
          <w:p w14:paraId="4C66B145" w14:textId="078110B3" w:rsidR="00E078C1" w:rsidRDefault="00E078C1" w:rsidP="00E078C1">
            <w:pPr>
              <w:jc w:val="center"/>
            </w:pPr>
            <w:r>
              <w:t>RMSE</w:t>
            </w:r>
          </w:p>
        </w:tc>
        <w:tc>
          <w:tcPr>
            <w:tcW w:w="1113" w:type="dxa"/>
            <w:vAlign w:val="center"/>
          </w:tcPr>
          <w:p w14:paraId="1AAB809B" w14:textId="601A7C36" w:rsidR="00E078C1" w:rsidRDefault="00E078C1" w:rsidP="00E078C1">
            <w:pPr>
              <w:jc w:val="center"/>
            </w:pPr>
            <w:r>
              <w:t>0.0248</w:t>
            </w:r>
          </w:p>
        </w:tc>
        <w:tc>
          <w:tcPr>
            <w:tcW w:w="1113" w:type="dxa"/>
            <w:vAlign w:val="center"/>
          </w:tcPr>
          <w:p w14:paraId="5C6D9418" w14:textId="11369082" w:rsidR="00E078C1" w:rsidRDefault="00E078C1" w:rsidP="00E078C1">
            <w:pPr>
              <w:jc w:val="center"/>
            </w:pPr>
            <w:r w:rsidRPr="00996BBB">
              <w:t>0.0075</w:t>
            </w:r>
          </w:p>
        </w:tc>
        <w:tc>
          <w:tcPr>
            <w:tcW w:w="1198" w:type="dxa"/>
            <w:vAlign w:val="center"/>
          </w:tcPr>
          <w:p w14:paraId="0FF9DC16" w14:textId="0365AE3D" w:rsidR="00E078C1" w:rsidRDefault="00E078C1" w:rsidP="00E078C1">
            <w:pPr>
              <w:jc w:val="center"/>
            </w:pPr>
            <w:r w:rsidRPr="000C03D0">
              <w:t>0.0248</w:t>
            </w:r>
          </w:p>
        </w:tc>
        <w:tc>
          <w:tcPr>
            <w:tcW w:w="1198" w:type="dxa"/>
            <w:vAlign w:val="center"/>
          </w:tcPr>
          <w:p w14:paraId="0DA3CDF8" w14:textId="0B7B3055" w:rsidR="00E078C1" w:rsidRPr="00120AC9" w:rsidRDefault="00E078C1" w:rsidP="00E078C1">
            <w:pPr>
              <w:jc w:val="center"/>
            </w:pPr>
            <w:r>
              <w:t>3.7893</w:t>
            </w:r>
          </w:p>
        </w:tc>
        <w:tc>
          <w:tcPr>
            <w:tcW w:w="1198" w:type="dxa"/>
            <w:vAlign w:val="center"/>
          </w:tcPr>
          <w:p w14:paraId="72D7386E" w14:textId="0E23C75C" w:rsidR="00E078C1" w:rsidRDefault="00E078C1" w:rsidP="00E078C1">
            <w:pPr>
              <w:jc w:val="center"/>
            </w:pPr>
            <w:r w:rsidRPr="00120AC9">
              <w:t>3.6464</w:t>
            </w:r>
          </w:p>
        </w:tc>
        <w:tc>
          <w:tcPr>
            <w:tcW w:w="1218" w:type="dxa"/>
            <w:vAlign w:val="center"/>
          </w:tcPr>
          <w:p w14:paraId="28A74D7F" w14:textId="5A38638E" w:rsidR="00E078C1" w:rsidRDefault="00E078C1" w:rsidP="00E078C1">
            <w:pPr>
              <w:jc w:val="center"/>
            </w:pPr>
            <w:r w:rsidRPr="00E078C1">
              <w:t>3.5174</w:t>
            </w:r>
          </w:p>
        </w:tc>
      </w:tr>
      <w:tr w:rsidR="00E078C1" w14:paraId="2B6CCA51" w14:textId="77777777" w:rsidTr="00E078C1">
        <w:tc>
          <w:tcPr>
            <w:tcW w:w="1077" w:type="dxa"/>
            <w:vAlign w:val="center"/>
          </w:tcPr>
          <w:p w14:paraId="0E56D490" w14:textId="2DB263A4" w:rsidR="00E078C1" w:rsidRDefault="00E078C1" w:rsidP="00E078C1">
            <w:pPr>
              <w:jc w:val="center"/>
            </w:pPr>
            <w:r>
              <w:t>MAE</w:t>
            </w:r>
          </w:p>
        </w:tc>
        <w:tc>
          <w:tcPr>
            <w:tcW w:w="1113" w:type="dxa"/>
            <w:vAlign w:val="center"/>
          </w:tcPr>
          <w:p w14:paraId="34255442" w14:textId="57882274" w:rsidR="00E078C1" w:rsidRDefault="00E078C1" w:rsidP="00E078C1">
            <w:pPr>
              <w:jc w:val="center"/>
            </w:pPr>
            <w:r>
              <w:t>1.9338</w:t>
            </w:r>
          </w:p>
        </w:tc>
        <w:tc>
          <w:tcPr>
            <w:tcW w:w="1113" w:type="dxa"/>
            <w:vAlign w:val="center"/>
          </w:tcPr>
          <w:p w14:paraId="7ADBEE1E" w14:textId="59782280" w:rsidR="00E078C1" w:rsidRDefault="00E078C1" w:rsidP="00E078C1">
            <w:pPr>
              <w:jc w:val="center"/>
            </w:pPr>
            <w:r w:rsidRPr="00D344DA">
              <w:t>0.5719</w:t>
            </w:r>
          </w:p>
        </w:tc>
        <w:tc>
          <w:tcPr>
            <w:tcW w:w="1198" w:type="dxa"/>
            <w:vAlign w:val="center"/>
          </w:tcPr>
          <w:p w14:paraId="7BA92208" w14:textId="6EDA114E" w:rsidR="00E078C1" w:rsidRDefault="00E078C1" w:rsidP="00E078C1">
            <w:pPr>
              <w:jc w:val="center"/>
            </w:pPr>
            <w:r w:rsidRPr="000C03D0">
              <w:t>1.9402</w:t>
            </w:r>
          </w:p>
        </w:tc>
        <w:tc>
          <w:tcPr>
            <w:tcW w:w="1198" w:type="dxa"/>
            <w:vAlign w:val="center"/>
          </w:tcPr>
          <w:p w14:paraId="411C306F" w14:textId="5058D9D2" w:rsidR="00E078C1" w:rsidRPr="007F6871" w:rsidRDefault="00E078C1" w:rsidP="00E078C1">
            <w:pPr>
              <w:jc w:val="center"/>
            </w:pPr>
            <w:r>
              <w:t>358.8444</w:t>
            </w:r>
          </w:p>
        </w:tc>
        <w:tc>
          <w:tcPr>
            <w:tcW w:w="1198" w:type="dxa"/>
            <w:vAlign w:val="center"/>
          </w:tcPr>
          <w:p w14:paraId="624AED75" w14:textId="24433385" w:rsidR="00E078C1" w:rsidRDefault="00E078C1" w:rsidP="00E078C1">
            <w:pPr>
              <w:jc w:val="center"/>
            </w:pPr>
            <w:r w:rsidRPr="007F6871">
              <w:t>344.9365</w:t>
            </w:r>
          </w:p>
        </w:tc>
        <w:tc>
          <w:tcPr>
            <w:tcW w:w="1218" w:type="dxa"/>
            <w:vAlign w:val="center"/>
          </w:tcPr>
          <w:p w14:paraId="49FDDF50" w14:textId="62113D52" w:rsidR="00E078C1" w:rsidRPr="00E078C1" w:rsidRDefault="00E078C1" w:rsidP="00E078C1">
            <w:pPr>
              <w:jc w:val="center"/>
              <w:rPr>
                <w:u w:val="single"/>
              </w:rPr>
            </w:pPr>
            <w:r w:rsidRPr="00E078C1">
              <w:t>332.3824</w:t>
            </w:r>
          </w:p>
        </w:tc>
      </w:tr>
    </w:tbl>
    <w:p w14:paraId="45EB2F61" w14:textId="6EDF764A" w:rsidR="00960E19" w:rsidRDefault="00960E19"/>
    <w:p w14:paraId="7A3625C9" w14:textId="3014E809" w:rsidR="00193D35" w:rsidRDefault="00193D35"/>
    <w:p w14:paraId="43BD6956" w14:textId="4169AB81" w:rsidR="004E258F" w:rsidRDefault="00AA0868">
      <w:r w:rsidRPr="00AA0868">
        <w:rPr>
          <w:noProof/>
        </w:rPr>
        <w:drawing>
          <wp:inline distT="0" distB="0" distL="0" distR="0" wp14:anchorId="010DAAF8" wp14:editId="02DA5E31">
            <wp:extent cx="5328920" cy="398843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077A" w:rsidRPr="00FB077A">
        <w:rPr>
          <w:noProof/>
        </w:rPr>
        <w:drawing>
          <wp:inline distT="0" distB="0" distL="0" distR="0" wp14:anchorId="00FC4A03" wp14:editId="2403D0B0">
            <wp:extent cx="5328920" cy="39884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39176D" w14:textId="0C2D5FB5" w:rsidR="00193D35" w:rsidRDefault="008C689B">
      <w:r>
        <w:br w:type="column"/>
      </w:r>
    </w:p>
    <w:p w14:paraId="365FA17B" w14:textId="01C19322" w:rsidR="00861714" w:rsidRPr="00BF4A63" w:rsidRDefault="00861714">
      <w:pPr>
        <w:rPr>
          <w:u w:val="single"/>
        </w:rPr>
      </w:pPr>
      <w:r w:rsidRPr="00861714">
        <w:rPr>
          <w:noProof/>
        </w:rPr>
        <w:drawing>
          <wp:inline distT="0" distB="0" distL="0" distR="0" wp14:anchorId="67C80CFD" wp14:editId="653C1D09">
            <wp:extent cx="5328920" cy="40043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0D96B" w14:textId="24AD5D1D" w:rsidR="00C62123" w:rsidRDefault="006D1CB8">
      <w:r w:rsidRPr="006D1CB8">
        <w:rPr>
          <w:noProof/>
        </w:rPr>
        <w:drawing>
          <wp:inline distT="0" distB="0" distL="0" distR="0" wp14:anchorId="7973E634" wp14:editId="0E9FD4A4">
            <wp:extent cx="5328920" cy="39884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2123">
        <w:br w:type="page"/>
      </w:r>
    </w:p>
    <w:p w14:paraId="7952A663" w14:textId="77777777" w:rsidR="00C64635" w:rsidRDefault="00C64635"/>
    <w:p w14:paraId="5AEC40EC" w14:textId="4C207943" w:rsidR="00EC51BA" w:rsidRDefault="00616FCB">
      <w:r w:rsidRPr="00616FCB">
        <w:rPr>
          <w:noProof/>
        </w:rPr>
        <w:drawing>
          <wp:inline distT="0" distB="0" distL="0" distR="0" wp14:anchorId="1D3DFFF9" wp14:editId="3033BE83">
            <wp:extent cx="5328920" cy="39884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3CBE1" w14:textId="14877602" w:rsidR="0064263A" w:rsidRDefault="0094412B">
      <w:r w:rsidRPr="0094412B">
        <w:rPr>
          <w:noProof/>
        </w:rPr>
        <w:drawing>
          <wp:inline distT="0" distB="0" distL="0" distR="0" wp14:anchorId="5F51C916" wp14:editId="5290B04F">
            <wp:extent cx="5328920" cy="398843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4263A">
        <w:br/>
      </w:r>
    </w:p>
    <w:p w14:paraId="2BC6F462" w14:textId="77777777" w:rsidR="0064263A" w:rsidRDefault="0064263A">
      <w:r>
        <w:br w:type="page"/>
      </w:r>
    </w:p>
    <w:p w14:paraId="7841EF55" w14:textId="3AA86180" w:rsidR="00B42B67" w:rsidRDefault="0064263A">
      <w:r w:rsidRPr="0064263A">
        <w:rPr>
          <w:noProof/>
        </w:rPr>
        <w:drawing>
          <wp:inline distT="0" distB="0" distL="0" distR="0" wp14:anchorId="73C0EEA2" wp14:editId="7C62677C">
            <wp:extent cx="5334000" cy="40005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13E72" w14:textId="4D2AC8CE" w:rsidR="00006657" w:rsidRDefault="00006657">
      <w:r w:rsidRPr="00006657">
        <w:rPr>
          <w:noProof/>
        </w:rPr>
        <w:drawing>
          <wp:inline distT="0" distB="0" distL="0" distR="0" wp14:anchorId="6B17BBB8" wp14:editId="034B75A6">
            <wp:extent cx="5324475" cy="39909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66DB6" w14:textId="5D8BC804" w:rsidR="00546968" w:rsidRDefault="00546968"/>
    <w:p w14:paraId="568526AE" w14:textId="4D29CA43" w:rsidR="00546968" w:rsidRDefault="00546968"/>
    <w:p w14:paraId="7FB13B95" w14:textId="35D82183" w:rsidR="005A371F" w:rsidRDefault="00524B4B" w:rsidP="009216F3">
      <w:pPr>
        <w:jc w:val="both"/>
      </w:pPr>
      <w:r>
        <w:t xml:space="preserve">Dos </w:t>
      </w:r>
      <w:r w:rsidR="00DD58DB">
        <w:t>estadísticos</w:t>
      </w:r>
      <w:r>
        <w:t xml:space="preserve"> de bondad de </w:t>
      </w:r>
      <w:r w:rsidR="005A371F">
        <w:t>p</w:t>
      </w:r>
      <w:r w:rsidR="00F9129C">
        <w:t>redicción</w:t>
      </w:r>
      <w:r w:rsidR="00DD58DB">
        <w:t xml:space="preserve"> altamente utilizados son </w:t>
      </w:r>
      <w:r w:rsidR="00697DF8">
        <w:t>la raíz d</w:t>
      </w:r>
      <w:r w:rsidR="00DD58DB">
        <w:t>el e</w:t>
      </w:r>
      <w:r w:rsidR="00697DF8">
        <w:t xml:space="preserve">rror cuadrático medio (RMSE) y el error absoluto medio (MAE). </w:t>
      </w:r>
      <w:r w:rsidR="00DF2EB2">
        <w:t>Ambos se pueden obtener en su forma porcentual o estándar, dependiendo del tipo de datos.</w:t>
      </w:r>
    </w:p>
    <w:p w14:paraId="3F8A7BCD" w14:textId="75DABE1B" w:rsidR="00E04B67" w:rsidRDefault="00E04B67" w:rsidP="009216F3">
      <w:pPr>
        <w:jc w:val="both"/>
      </w:pPr>
      <w:r>
        <w:t>En cuanto a la preferencia de un método sobre el otro (RMSE vs MAE), el estimador RMSE es más sensible a predicciones extremadamente erróneas. Esto a su vez implica que el estimador MAE está sesgado hacia métodos cuyas predicciones sean más bajas.</w:t>
      </w:r>
    </w:p>
    <w:p w14:paraId="57413924" w14:textId="7F58E05A" w:rsidR="00546968" w:rsidRDefault="00DF2EB2" w:rsidP="009216F3">
      <w:pPr>
        <w:jc w:val="both"/>
      </w:pPr>
      <w:r>
        <w:t xml:space="preserve">Si se trabaja sobre rentabilidades será correcto aplicar </w:t>
      </w:r>
      <w:r w:rsidR="00C045FB">
        <w:t>la forma estándar</w:t>
      </w:r>
      <w:r w:rsidR="00E04B67">
        <w:t xml:space="preserve"> de los estimadores</w:t>
      </w:r>
      <w:r w:rsidR="00C045FB">
        <w:t xml:space="preserve">, pues la porcentual no puede aplicarse ya que el cociente </w:t>
      </w:r>
      <w:r w:rsidR="00783728">
        <w:t>diverge si el rendimiento es nulo en un periodo, mientras que si se trabaja sobre precios será más correcto aplicar la porcentual pues se obtiene un resultado más fácilmente interpretable</w:t>
      </w:r>
      <w:r w:rsidR="009216F3">
        <w:t xml:space="preserve"> (</w:t>
      </w:r>
      <w:r w:rsidR="00D37D32">
        <w:t>porcentaje de desviación en los errores de la predicción).</w:t>
      </w:r>
      <w:r w:rsidR="005220C0">
        <w:t xml:space="preserve"> Además, si se aplica la forma estándar de los estadísticos a los precios se obtienen resultados</w:t>
      </w:r>
      <w:r w:rsidR="00435DD2">
        <w:t xml:space="preserve"> que dependerán de la escala de la serie, por lo </w:t>
      </w:r>
      <w:proofErr w:type="gramStart"/>
      <w:r w:rsidR="00435DD2">
        <w:t>tanto</w:t>
      </w:r>
      <w:proofErr w:type="gramEnd"/>
      <w:r w:rsidR="00435DD2">
        <w:t xml:space="preserve"> no se puede deducir </w:t>
      </w:r>
      <w:r w:rsidR="006A3858">
        <w:t>qué modelo ajustará mejor solamente a partir d</w:t>
      </w:r>
      <w:r w:rsidR="005C3BB6">
        <w:t xml:space="preserve">el valor del estadístico. </w:t>
      </w:r>
      <w:r w:rsidR="00B92F2D">
        <w:t>Es decir, para el caso d</w:t>
      </w:r>
      <w:r w:rsidR="00685627">
        <w:t xml:space="preserve">e los rendimientos ambos estadísticos son </w:t>
      </w:r>
      <w:proofErr w:type="gramStart"/>
      <w:r w:rsidR="00685627">
        <w:t>un medida correcta</w:t>
      </w:r>
      <w:proofErr w:type="gramEnd"/>
      <w:r w:rsidR="007C2DDD">
        <w:t xml:space="preserve"> del error en la predicción, mientras que no lo será </w:t>
      </w:r>
      <w:r w:rsidR="005459F1">
        <w:t>para la estimación de los precios.</w:t>
      </w:r>
    </w:p>
    <w:p w14:paraId="364B5677" w14:textId="1E29C6AD" w:rsidR="005459F1" w:rsidRDefault="002F787F" w:rsidP="009216F3">
      <w:pPr>
        <w:jc w:val="both"/>
      </w:pPr>
      <w:r>
        <w:t xml:space="preserve">En el caso de los precios, </w:t>
      </w:r>
      <w:r w:rsidR="00E363D0">
        <w:t xml:space="preserve">sabemos que el FTSE está </w:t>
      </w:r>
      <w:r w:rsidR="003E793D">
        <w:t xml:space="preserve">alrededor de los 5000 puntos, mientras que el azúcar sobre los 15. Esto implicará que los estimadores estándar </w:t>
      </w:r>
      <w:r w:rsidR="009B49B4">
        <w:t>darán, en general, menor error en la predicción al modelo del azúcar</w:t>
      </w:r>
      <w:r w:rsidR="005376FF">
        <w:t xml:space="preserve">, puesto que es varios órdenes de magnitud menor. Observando el gráfico se observa que ambos tienen un RMSE y un MAE similares, lo cual podría llevar erróneamente a deducir que </w:t>
      </w:r>
      <w:r w:rsidR="00CF23C3">
        <w:t>ambas estimaciones son igual de (in)correctas</w:t>
      </w:r>
      <w:r w:rsidR="00D50844">
        <w:t xml:space="preserve">, sin embargo si se observan los estimadores porcentuales </w:t>
      </w:r>
      <w:r w:rsidR="003A43AB">
        <w:t xml:space="preserve">es menor el correspondiente al FTSE que el del azúcar, lo cual indica que </w:t>
      </w:r>
      <w:r w:rsidR="00267C81">
        <w:t>el modelo que mejor predice los precios futuros es del FTSE, demostrando</w:t>
      </w:r>
      <w:r w:rsidR="00E2191C">
        <w:t xml:space="preserve"> que los estimadores estándar están sesgados por la escala de los valores de la serie.</w:t>
      </w:r>
      <w:bookmarkStart w:id="0" w:name="_GoBack"/>
      <w:bookmarkEnd w:id="0"/>
    </w:p>
    <w:sectPr w:rsidR="005459F1" w:rsidSect="00664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90"/>
    <w:rsid w:val="00006657"/>
    <w:rsid w:val="000C03D0"/>
    <w:rsid w:val="001155D4"/>
    <w:rsid w:val="00120AC9"/>
    <w:rsid w:val="001377AA"/>
    <w:rsid w:val="00193D35"/>
    <w:rsid w:val="001D5C2C"/>
    <w:rsid w:val="00267C81"/>
    <w:rsid w:val="002A7FEC"/>
    <w:rsid w:val="002F787F"/>
    <w:rsid w:val="003548F5"/>
    <w:rsid w:val="00374C33"/>
    <w:rsid w:val="003A43AB"/>
    <w:rsid w:val="003C3D89"/>
    <w:rsid w:val="003E793D"/>
    <w:rsid w:val="004105DB"/>
    <w:rsid w:val="00435DD2"/>
    <w:rsid w:val="004E258F"/>
    <w:rsid w:val="005220C0"/>
    <w:rsid w:val="00524B4B"/>
    <w:rsid w:val="005376FF"/>
    <w:rsid w:val="005459F1"/>
    <w:rsid w:val="00546968"/>
    <w:rsid w:val="005A371F"/>
    <w:rsid w:val="005C3BB6"/>
    <w:rsid w:val="00616FCB"/>
    <w:rsid w:val="0064263A"/>
    <w:rsid w:val="0066452F"/>
    <w:rsid w:val="00685627"/>
    <w:rsid w:val="00697DF8"/>
    <w:rsid w:val="00697EA3"/>
    <w:rsid w:val="006A3858"/>
    <w:rsid w:val="006D1CB8"/>
    <w:rsid w:val="00783728"/>
    <w:rsid w:val="007C2DDD"/>
    <w:rsid w:val="007F6871"/>
    <w:rsid w:val="00844BB0"/>
    <w:rsid w:val="00861714"/>
    <w:rsid w:val="008C689B"/>
    <w:rsid w:val="009216F3"/>
    <w:rsid w:val="009368B1"/>
    <w:rsid w:val="0094412B"/>
    <w:rsid w:val="00960E19"/>
    <w:rsid w:val="0096662F"/>
    <w:rsid w:val="00976415"/>
    <w:rsid w:val="00981764"/>
    <w:rsid w:val="009852C3"/>
    <w:rsid w:val="00996BBB"/>
    <w:rsid w:val="009A3DBD"/>
    <w:rsid w:val="009A7F4C"/>
    <w:rsid w:val="009B49B4"/>
    <w:rsid w:val="009F0CDE"/>
    <w:rsid w:val="00AA0868"/>
    <w:rsid w:val="00AD0E99"/>
    <w:rsid w:val="00AE1278"/>
    <w:rsid w:val="00B257FA"/>
    <w:rsid w:val="00B42B67"/>
    <w:rsid w:val="00B60F90"/>
    <w:rsid w:val="00B92923"/>
    <w:rsid w:val="00B92F2D"/>
    <w:rsid w:val="00BC3EAF"/>
    <w:rsid w:val="00BD1439"/>
    <w:rsid w:val="00BF4A63"/>
    <w:rsid w:val="00C045FB"/>
    <w:rsid w:val="00C071B3"/>
    <w:rsid w:val="00C33041"/>
    <w:rsid w:val="00C62123"/>
    <w:rsid w:val="00C64635"/>
    <w:rsid w:val="00CF23C3"/>
    <w:rsid w:val="00D344DA"/>
    <w:rsid w:val="00D3543C"/>
    <w:rsid w:val="00D37D32"/>
    <w:rsid w:val="00D50844"/>
    <w:rsid w:val="00DD58DB"/>
    <w:rsid w:val="00DF2EB2"/>
    <w:rsid w:val="00E04B67"/>
    <w:rsid w:val="00E078C1"/>
    <w:rsid w:val="00E2191C"/>
    <w:rsid w:val="00E222AF"/>
    <w:rsid w:val="00E363D0"/>
    <w:rsid w:val="00EC51BA"/>
    <w:rsid w:val="00EC558E"/>
    <w:rsid w:val="00F9129C"/>
    <w:rsid w:val="00FB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B6EBD"/>
  <w15:chartTrackingRefBased/>
  <w15:docId w15:val="{576A2B27-F714-4286-ADC1-F819FDCD3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3E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6</Pages>
  <Words>343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eugmargal</dc:creator>
  <cp:keywords/>
  <dc:description/>
  <cp:lastModifiedBy>eugmargal</cp:lastModifiedBy>
  <cp:revision>81</cp:revision>
  <dcterms:created xsi:type="dcterms:W3CDTF">2018-11-09T19:23:00Z</dcterms:created>
  <dcterms:modified xsi:type="dcterms:W3CDTF">2018-11-11T19:32:00Z</dcterms:modified>
</cp:coreProperties>
</file>