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SOFTWARE SOLUTION DESIGN</w:t>
      </w:r>
    </w:p>
    <w:p>
      <w:pPr>
        <w:pStyle w:val="Title"/>
        <w:pBdr>
          <w:bottom w:val="single" w:sz="28" w:space="6" w:color="C74634"/>
        </w:pBdr>
      </w:pPr>
      <w:r>
        <w:t>OEM MCP Streamlit</w:t>
        <w:br/>
        <w:t>Operations Client</w:t>
      </w:r>
    </w:p>
    <w:p>
      <w:r>
        <w:rPr>
          <w:b/>
          <w:color w:val="174A5B"/>
          <w:sz w:val="32"/>
        </w:rPr>
        <w:t>OCI deployment architecture and operator workspace design</w:t>
      </w:r>
    </w:p>
    <w:p/>
    <w:p>
      <w:r>
        <w:drawing>
          <wp:inline xmlns:a="http://schemas.openxmlformats.org/drawingml/2006/main" xmlns:pic="http://schemas.openxmlformats.org/drawingml/2006/picture">
            <wp:extent cx="6172200" cy="3691952"/>
            <wp:docPr id="1" name="Picture 1" descr="OCI architecture showing the Streamlit client in a private subnet, optional OCI services, and secure connectivity to OEM."/>
            <wp:cNvGraphicFramePr>
              <a:graphicFrameLocks noChangeAspect="1"/>
            </wp:cNvGraphicFramePr>
            <a:graphic>
              <a:graphicData uri="http://schemas.openxmlformats.org/drawingml/2006/picture">
                <pic:pic>
                  <pic:nvPicPr>
                    <pic:cNvPr id="0" name="oem-mcp-streamlit-oci-architecture.png"/>
                    <pic:cNvPicPr/>
                  </pic:nvPicPr>
                  <pic:blipFill>
                    <a:blip r:embed="rId11"/>
                    <a:stretch>
                      <a:fillRect/>
                    </a:stretch>
                  </pic:blipFill>
                  <pic:spPr>
                    <a:xfrm>
                      <a:off x="0" y="0"/>
                      <a:ext cx="6172200" cy="3691952"/>
                    </a:xfrm>
                    <a:prstGeom prst="rect"/>
                  </pic:spPr>
                </pic:pic>
              </a:graphicData>
            </a:graphic>
          </wp:inline>
        </w:drawing>
      </w:r>
    </w:p>
    <w:p>
      <w:pPr>
        <w:pStyle w:val="Caption"/>
        <w:keepNext w:val="0"/>
        <w:jc w:val="center"/>
      </w:pPr>
      <w:r>
        <w:t>Reference architecture rendered from the editable draw.io source using Oracle OCI Architecture Diagram Toolkit v24.2 stencils.</w:t>
      </w:r>
    </w:p>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016"/>
            <w:vAlign w:val="center"/>
            <w:tcMar>
              <w:top w:w="80" w:type="dxa"/>
              <w:start w:w="120" w:type="dxa"/>
              <w:bottom w:w="80" w:type="dxa"/>
              <w:end w:w="120" w:type="dxa"/>
            </w:tcMar>
            <w:shd w:fill="E8EEF5"/>
          </w:tcPr>
          <w:p>
            <w:r>
              <w:rPr>
                <w:b/>
                <w:color w:val="174A5B"/>
              </w:rPr>
            </w:r>
            <w:r>
              <w:rPr>
                <w:rFonts w:ascii="Calibri" w:hAnsi="Calibri"/>
                <w:b/>
                <w:color w:val="174A5B"/>
                <w:sz w:val="18"/>
              </w:rPr>
              <w:t>Document</w:t>
            </w:r>
          </w:p>
        </w:tc>
        <w:tc>
          <w:tcPr>
            <w:tcW w:type="dxa" w:w="7200"/>
            <w:vAlign w:val="center"/>
            <w:tcMar>
              <w:top w:w="80" w:type="dxa"/>
              <w:start w:w="120" w:type="dxa"/>
              <w:bottom w:w="80" w:type="dxa"/>
              <w:end w:w="120" w:type="dxa"/>
            </w:tcMar>
            <w:shd w:fill="E8EEF5"/>
          </w:tcPr>
          <w:p>
            <w:r>
              <w:rPr>
                <w:b/>
                <w:color w:val="174A5B"/>
              </w:rPr>
            </w:r>
            <w:r>
              <w:rPr>
                <w:rFonts w:ascii="Calibri" w:hAnsi="Calibri"/>
                <w:b/>
                <w:color w:val="174A5B"/>
                <w:sz w:val="18"/>
              </w:rPr>
              <w:t>Value</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Version</w:t>
            </w:r>
          </w:p>
        </w:tc>
        <w:tc>
          <w:tcPr>
            <w:tcW w:type="dxa" w:w="7200"/>
            <w:vAlign w:val="center"/>
            <w:tcMar>
              <w:top w:w="80" w:type="dxa"/>
              <w:start w:w="120" w:type="dxa"/>
              <w:bottom w:w="80" w:type="dxa"/>
              <w:end w:w="120" w:type="dxa"/>
            </w:tcMar>
          </w:tcPr>
          <w:p>
            <w:r/>
            <w:r>
              <w:rPr>
                <w:rFonts w:ascii="Calibri" w:hAnsi="Calibri"/>
                <w:b w:val="0"/>
                <w:color w:val="161513"/>
                <w:sz w:val="18"/>
              </w:rPr>
              <w:t>1.0.0</w:t>
            </w:r>
          </w:p>
        </w:tc>
      </w:tr>
      <w:tr>
        <w:trPr>
          <w:cantSplit w:val="true"/>
        </w:trPr>
        <w:tc>
          <w:tcPr>
            <w:tcW w:type="dxa" w:w="2016"/>
            <w:vAlign w:val="center"/>
            <w:tcMar>
              <w:top w:w="80" w:type="dxa"/>
              <w:start w:w="120" w:type="dxa"/>
              <w:bottom w:w="80" w:type="dxa"/>
              <w:end w:w="120" w:type="dxa"/>
            </w:tcMar>
            <w:shd w:fill="F7F9FA"/>
          </w:tcPr>
          <w:p>
            <w:r/>
            <w:r>
              <w:rPr>
                <w:rFonts w:ascii="Calibri" w:hAnsi="Calibri"/>
                <w:b w:val="0"/>
                <w:color w:val="161513"/>
                <w:sz w:val="18"/>
              </w:rPr>
              <w:t>Status</w:t>
            </w:r>
          </w:p>
        </w:tc>
        <w:tc>
          <w:tcPr>
            <w:tcW w:type="dxa" w:w="7200"/>
            <w:vAlign w:val="center"/>
            <w:tcMar>
              <w:top w:w="80" w:type="dxa"/>
              <w:start w:w="120" w:type="dxa"/>
              <w:bottom w:w="80" w:type="dxa"/>
              <w:end w:w="120" w:type="dxa"/>
            </w:tcMar>
            <w:shd w:fill="F7F9FA"/>
          </w:tcPr>
          <w:p>
            <w:r/>
            <w:r>
              <w:rPr>
                <w:rFonts w:ascii="Calibri" w:hAnsi="Calibri"/>
                <w:b w:val="0"/>
                <w:color w:val="161513"/>
                <w:sz w:val="18"/>
              </w:rPr>
              <w:t>Implementation baseline</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Date</w:t>
            </w:r>
          </w:p>
        </w:tc>
        <w:tc>
          <w:tcPr>
            <w:tcW w:type="dxa" w:w="7200"/>
            <w:vAlign w:val="center"/>
            <w:tcMar>
              <w:top w:w="80" w:type="dxa"/>
              <w:start w:w="120" w:type="dxa"/>
              <w:bottom w:w="80" w:type="dxa"/>
              <w:end w:w="120" w:type="dxa"/>
            </w:tcMar>
          </w:tcPr>
          <w:p>
            <w:r/>
            <w:r>
              <w:rPr>
                <w:rFonts w:ascii="Calibri" w:hAnsi="Calibri"/>
                <w:b w:val="0"/>
                <w:color w:val="161513"/>
                <w:sz w:val="18"/>
              </w:rPr>
              <w:t>27 August 2026</w:t>
            </w:r>
          </w:p>
        </w:tc>
      </w:tr>
      <w:tr>
        <w:trPr>
          <w:cantSplit w:val="true"/>
        </w:trPr>
        <w:tc>
          <w:tcPr>
            <w:tcW w:type="dxa" w:w="2016"/>
            <w:vAlign w:val="center"/>
            <w:tcMar>
              <w:top w:w="80" w:type="dxa"/>
              <w:start w:w="120" w:type="dxa"/>
              <w:bottom w:w="80" w:type="dxa"/>
              <w:end w:w="120" w:type="dxa"/>
            </w:tcMar>
            <w:shd w:fill="F7F9FA"/>
          </w:tcPr>
          <w:p>
            <w:r/>
            <w:r>
              <w:rPr>
                <w:rFonts w:ascii="Calibri" w:hAnsi="Calibri"/>
                <w:b w:val="0"/>
                <w:color w:val="161513"/>
                <w:sz w:val="18"/>
              </w:rPr>
              <w:t>Audience</w:t>
            </w:r>
          </w:p>
        </w:tc>
        <w:tc>
          <w:tcPr>
            <w:tcW w:type="dxa" w:w="7200"/>
            <w:vAlign w:val="center"/>
            <w:tcMar>
              <w:top w:w="80" w:type="dxa"/>
              <w:start w:w="120" w:type="dxa"/>
              <w:bottom w:w="80" w:type="dxa"/>
              <w:end w:w="120" w:type="dxa"/>
            </w:tcMar>
            <w:shd w:fill="F7F9FA"/>
          </w:tcPr>
          <w:p>
            <w:r/>
            <w:r>
              <w:rPr>
                <w:rFonts w:ascii="Calibri" w:hAnsi="Calibri"/>
                <w:b w:val="0"/>
                <w:color w:val="161513"/>
                <w:sz w:val="18"/>
              </w:rPr>
              <w:t>Solution architects, OEM administrators, security reviewers, Linux operators, application maintainers</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Scope</w:t>
            </w:r>
          </w:p>
        </w:tc>
        <w:tc>
          <w:tcPr>
            <w:tcW w:type="dxa" w:w="7200"/>
            <w:vAlign w:val="center"/>
            <w:tcMar>
              <w:top w:w="80" w:type="dxa"/>
              <w:start w:w="120" w:type="dxa"/>
              <w:bottom w:w="80" w:type="dxa"/>
              <w:end w:w="120" w:type="dxa"/>
            </w:tcMar>
          </w:tcPr>
          <w:p>
            <w:r/>
            <w:r>
              <w:rPr>
                <w:rFonts w:ascii="Calibri" w:hAnsi="Calibri"/>
                <w:b w:val="0"/>
                <w:color w:val="161513"/>
                <w:sz w:val="18"/>
              </w:rPr>
              <w:t>Feature priorities 2–13; identity provider integration (priority 1) is out of scope</w:t>
            </w:r>
          </w:p>
        </w:tc>
      </w:tr>
    </w:tbl>
    <w:p>
      <w:pPr>
        <w:pStyle w:val="Heading1"/>
        <w:keepNext/>
        <w:pageBreakBefore/>
      </w:pPr>
      <w:r>
        <w:t>Document control</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152"/>
            <w:vAlign w:val="center"/>
            <w:tcMar>
              <w:top w:w="80" w:type="dxa"/>
              <w:start w:w="120" w:type="dxa"/>
              <w:bottom w:w="80" w:type="dxa"/>
              <w:end w:w="120" w:type="dxa"/>
            </w:tcMar>
            <w:shd w:fill="E8EEF5"/>
          </w:tcPr>
          <w:p>
            <w:r>
              <w:rPr>
                <w:b/>
                <w:color w:val="174A5B"/>
              </w:rPr>
            </w:r>
            <w:r>
              <w:rPr>
                <w:rFonts w:ascii="Calibri" w:hAnsi="Calibri"/>
                <w:b/>
                <w:color w:val="174A5B"/>
                <w:sz w:val="18"/>
              </w:rPr>
              <w:t>Version</w:t>
            </w:r>
          </w:p>
        </w:tc>
        <w:tc>
          <w:tcPr>
            <w:tcW w:type="dxa" w:w="1584"/>
            <w:vAlign w:val="center"/>
            <w:tcMar>
              <w:top w:w="80" w:type="dxa"/>
              <w:start w:w="120" w:type="dxa"/>
              <w:bottom w:w="80" w:type="dxa"/>
              <w:end w:w="120" w:type="dxa"/>
            </w:tcMar>
            <w:shd w:fill="E8EEF5"/>
          </w:tcPr>
          <w:p>
            <w:r>
              <w:rPr>
                <w:b/>
                <w:color w:val="174A5B"/>
              </w:rPr>
            </w:r>
            <w:r>
              <w:rPr>
                <w:rFonts w:ascii="Calibri" w:hAnsi="Calibri"/>
                <w:b/>
                <w:color w:val="174A5B"/>
                <w:sz w:val="18"/>
              </w:rPr>
              <w:t>Date</w:t>
            </w:r>
          </w:p>
        </w:tc>
        <w:tc>
          <w:tcPr>
            <w:tcW w:type="dxa" w:w="5328"/>
            <w:vAlign w:val="center"/>
            <w:tcMar>
              <w:top w:w="80" w:type="dxa"/>
              <w:start w:w="120" w:type="dxa"/>
              <w:bottom w:w="80" w:type="dxa"/>
              <w:end w:w="120" w:type="dxa"/>
            </w:tcMar>
            <w:shd w:fill="E8EEF5"/>
          </w:tcPr>
          <w:p>
            <w:r>
              <w:rPr>
                <w:b/>
                <w:color w:val="174A5B"/>
              </w:rPr>
            </w:r>
            <w:r>
              <w:rPr>
                <w:rFonts w:ascii="Calibri" w:hAnsi="Calibri"/>
                <w:b/>
                <w:color w:val="174A5B"/>
                <w:sz w:val="18"/>
              </w:rPr>
              <w:t>Change</w:t>
            </w:r>
          </w:p>
        </w:tc>
        <w:tc>
          <w:tcPr>
            <w:tcW w:type="dxa" w:w="1440"/>
            <w:vAlign w:val="center"/>
            <w:tcMar>
              <w:top w:w="80" w:type="dxa"/>
              <w:start w:w="120" w:type="dxa"/>
              <w:bottom w:w="80" w:type="dxa"/>
              <w:end w:w="120" w:type="dxa"/>
            </w:tcMar>
            <w:shd w:fill="E8EEF5"/>
          </w:tcPr>
          <w:p>
            <w:r>
              <w:rPr>
                <w:b/>
                <w:color w:val="174A5B"/>
              </w:rPr>
            </w:r>
            <w:r>
              <w:rPr>
                <w:rFonts w:ascii="Calibri" w:hAnsi="Calibri"/>
                <w:b/>
                <w:color w:val="174A5B"/>
                <w:sz w:val="18"/>
              </w:rPr>
              <w:t>Approval state</w:t>
            </w:r>
          </w:p>
        </w:tc>
      </w:tr>
      <w:tr>
        <w:trPr>
          <w:cantSplit w:val="true"/>
        </w:trPr>
        <w:tc>
          <w:tcPr>
            <w:tcW w:type="dxa" w:w="1152"/>
            <w:vAlign w:val="center"/>
            <w:tcMar>
              <w:top w:w="80" w:type="dxa"/>
              <w:start w:w="120" w:type="dxa"/>
              <w:bottom w:w="80" w:type="dxa"/>
              <w:end w:w="120" w:type="dxa"/>
            </w:tcMar>
          </w:tcPr>
          <w:p>
            <w:r/>
            <w:r>
              <w:rPr>
                <w:rFonts w:ascii="Calibri" w:hAnsi="Calibri"/>
                <w:b w:val="0"/>
                <w:color w:val="161513"/>
                <w:sz w:val="18"/>
              </w:rPr>
              <w:t>1.0.0</w:t>
            </w:r>
          </w:p>
        </w:tc>
        <w:tc>
          <w:tcPr>
            <w:tcW w:type="dxa" w:w="1584"/>
            <w:vAlign w:val="center"/>
            <w:tcMar>
              <w:top w:w="80" w:type="dxa"/>
              <w:start w:w="120" w:type="dxa"/>
              <w:bottom w:w="80" w:type="dxa"/>
              <w:end w:w="120" w:type="dxa"/>
            </w:tcMar>
          </w:tcPr>
          <w:p>
            <w:r/>
            <w:r>
              <w:rPr>
                <w:rFonts w:ascii="Calibri" w:hAnsi="Calibri"/>
                <w:b w:val="0"/>
                <w:color w:val="161513"/>
                <w:sz w:val="18"/>
              </w:rPr>
              <w:t>2026-08-27</w:t>
            </w:r>
          </w:p>
        </w:tc>
        <w:tc>
          <w:tcPr>
            <w:tcW w:type="dxa" w:w="5328"/>
            <w:vAlign w:val="center"/>
            <w:tcMar>
              <w:top w:w="80" w:type="dxa"/>
              <w:start w:w="120" w:type="dxa"/>
              <w:bottom w:w="80" w:type="dxa"/>
              <w:end w:w="120" w:type="dxa"/>
            </w:tcMar>
          </w:tcPr>
          <w:p>
            <w:r/>
            <w:r>
              <w:rPr>
                <w:rFonts w:ascii="Calibri" w:hAnsi="Calibri"/>
                <w:b w:val="0"/>
                <w:color w:val="161513"/>
                <w:sz w:val="18"/>
              </w:rPr>
              <w:t>Initial architecture and implementation baseline for priorities 2–13</w:t>
            </w:r>
          </w:p>
        </w:tc>
        <w:tc>
          <w:tcPr>
            <w:tcW w:type="dxa" w:w="1440"/>
            <w:vAlign w:val="center"/>
            <w:tcMar>
              <w:top w:w="80" w:type="dxa"/>
              <w:start w:w="120" w:type="dxa"/>
              <w:bottom w:w="80" w:type="dxa"/>
              <w:end w:w="120" w:type="dxa"/>
            </w:tcMar>
          </w:tcPr>
          <w:p>
            <w:r/>
            <w:r>
              <w:rPr>
                <w:rFonts w:ascii="Calibri" w:hAnsi="Calibri"/>
                <w:b w:val="0"/>
                <w:color w:val="161513"/>
                <w:sz w:val="18"/>
              </w:rPr>
              <w:t>For technical review</w:t>
            </w:r>
          </w:p>
        </w:tc>
      </w:tr>
    </w:tbl>
    <w:p/>
    <w:p>
      <w:pPr>
        <w:pStyle w:val="Heading1"/>
        <w:keepNext/>
      </w:pPr>
      <w:r>
        <w:t>Table of contents</w:t>
      </w:r>
    </w:p>
    <w:p>
      <w:r>
        <w:fldChar w:fldCharType="begin"/>
        <w:instrText xml:space="preserve">TOC \o "1-3" \h \z \u</w:instrText>
        <w:fldChar w:fldCharType="separate"/>
        <w:t>Update this field in Word to populate the table of contents.</w:t>
        <w:fldChar w:fldCharType="end"/>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Reader note. </w:t>
            </w:r>
            <w:r>
              <w:t>Headings, tables, captions and page numbers are structured for navigation and review. Update the TOC field after opening the DOCX.</w:t>
            </w:r>
          </w:p>
        </w:tc>
        <w:trPr>
          <w:tblHeader/>
        </w:trPr>
      </w:tr>
    </w:tbl>
    <w:p/>
    <w:p>
      <w:r>
        <w:br w:type="page"/>
      </w:r>
    </w:p>
    <w:p>
      <w:pPr>
        <w:pStyle w:val="Heading1"/>
        <w:keepNext/>
      </w:pPr>
      <w:r>
        <w:t>1. Executive summary</w:t>
      </w:r>
    </w:p>
    <w:p>
      <w:r>
        <w:t>The OEM MCP Streamlit Operations Client is a security-conscious Oracle Linux 8 application that connects to an Oracle Enterprise Manager 24ai MCP endpoint, discovers the operations authorized for the supplied OEM account, and exposes those operations through an operator workspace. Version 1.0.0 extends the original connection, discovery, request, metrics, history and diagnostics functions with the twelve requested priorities numbered 2 through 13.</w:t>
      </w:r>
    </w:p>
    <w:p>
      <w:r>
        <w:t>The design uses a synchronous HTTP/JSON-RPC OEM client, a Streamlit presentation tier, local redacted SQLite stores, bounded in-process workers and deny-first policy enforcement. Optional OCI services—Load Balancer, Vault, Generative AI, Logging, Monitoring, Notifications and Object Storage—are shown as deployment integrations, not mandatory runtime dependencies.</w:t>
      </w:r>
    </w:p>
    <w:p>
      <w:pPr>
        <w:pStyle w:val="ListBullet"/>
        <w:keepLines/>
      </w:pPr>
      <w:r>
        <w:t>Default posture: HTTPS, TLS verification, loopback listener, read-only tool classification and one-statement SELECT/WITH validation.</w:t>
      </w:r>
    </w:p>
    <w:p>
      <w:pPr>
        <w:pStyle w:val="ListBullet"/>
        <w:keepLines/>
      </w:pPr>
      <w:r>
        <w:t>Controlled changes: explicit policy allow rule, administrator mutating-tools gate and an unexpired approval from a different operator.</w:t>
      </w:r>
    </w:p>
    <w:p>
      <w:pPr>
        <w:pStyle w:val="ListBullet"/>
        <w:keepLines/>
      </w:pPr>
      <w:r>
        <w:t>AI boundary: deterministic or OCI Generative AI planning proposes one discovered tool; execution remains a separate, policy-checked action.</w:t>
      </w:r>
    </w:p>
    <w:p>
      <w:pPr>
        <w:pStyle w:val="ListBullet"/>
        <w:keepLines/>
      </w:pPr>
      <w:r>
        <w:t>Persistence boundary: non-secret profiles, redacted arguments, incidents, approvals, jobs, schedules, dashboards, runbooks and usage records are stored locally.</w:t>
      </w:r>
    </w:p>
    <w:p>
      <w:pPr>
        <w:pStyle w:val="ListBullet"/>
        <w:keepLines/>
      </w:pPr>
      <w:r>
        <w:t>Authority boundary: OEM determines available tools and target access; the client cannot elevate privileges.</w:t>
      </w:r>
    </w:p>
    <w:p>
      <w:pPr>
        <w:pStyle w:val="Heading1"/>
        <w:keepNext/>
      </w:pPr>
      <w:r>
        <w:t>2. Objectives, scope and constraints</w:t>
      </w:r>
    </w:p>
    <w:p>
      <w:pPr>
        <w:pStyle w:val="Heading2"/>
        <w:keepNext/>
      </w:pPr>
      <w:r>
        <w:t>2.1 Objectives</w:t>
      </w:r>
    </w:p>
    <w:p>
      <w:pPr>
        <w:pStyle w:val="ListBullet"/>
        <w:keepLines/>
      </w:pPr>
      <w:r>
        <w:t>Provide one operator interface for discovery, live observation, analysis, governed execution and evidence capture.</w:t>
      </w:r>
    </w:p>
    <w:p>
      <w:pPr>
        <w:pStyle w:val="ListBullet"/>
        <w:keepLines/>
      </w:pPr>
      <w:r>
        <w:t>Avoid hard-coding OEM tool names where server releases and account privileges can change the advertised surface.</w:t>
      </w:r>
    </w:p>
    <w:p>
      <w:pPr>
        <w:pStyle w:val="ListBullet"/>
        <w:keepLines/>
      </w:pPr>
      <w:r>
        <w:t>Keep credentials out of Git, profiles, history, application logs and generated reports.</w:t>
      </w:r>
    </w:p>
    <w:p>
      <w:pPr>
        <w:pStyle w:val="ListBullet"/>
        <w:keepLines/>
      </w:pPr>
      <w:r>
        <w:t>Support manual standalone and systemd service deployment with configurable listener ports.</w:t>
      </w:r>
    </w:p>
    <w:p>
      <w:pPr>
        <w:pStyle w:val="ListBullet"/>
        <w:keepLines/>
      </w:pPr>
      <w:r>
        <w:t>Make the solution testable without a live OEM server through fake transports and pure feature modules.</w:t>
      </w:r>
    </w:p>
    <w:p>
      <w:pPr>
        <w:pStyle w:val="Heading2"/>
        <w:keepNext/>
      </w:pPr>
      <w:r>
        <w:t>2.2 In scope</w:t>
      </w:r>
    </w:p>
    <w:p>
      <w:r>
        <w:t>Priorities 2–13, the editable OCI architecture diagram, Linux deployment controls, local data model, testing, operations and documentation are in scope.</w:t>
      </w:r>
    </w:p>
    <w:p>
      <w:pPr>
        <w:pStyle w:val="Heading2"/>
        <w:keepNext/>
      </w:pPr>
      <w:r>
        <w:t>2.3 Out of scope</w:t>
      </w:r>
    </w:p>
    <w:p>
      <w:pPr>
        <w:pStyle w:val="ListBullet"/>
        <w:keepLines/>
      </w:pPr>
      <w:r>
        <w:t>Priority 1 identity-provider/OIDC implementation. Shared deployments still require an authenticated TLS reverse proxy or equivalent gateway.</w:t>
      </w:r>
    </w:p>
    <w:p>
      <w:pPr>
        <w:pStyle w:val="ListBullet"/>
        <w:keepLines/>
      </w:pPr>
      <w:r>
        <w:t>Replacement of OEM authorization, audit, incident management or repository data.</w:t>
      </w:r>
    </w:p>
    <w:p>
      <w:pPr>
        <w:pStyle w:val="ListBullet"/>
        <w:keepLines/>
      </w:pPr>
      <w:r>
        <w:t>Long-running distributed job execution across multiple application nodes.</w:t>
      </w:r>
    </w:p>
    <w:p>
      <w:pPr>
        <w:pStyle w:val="ListBullet"/>
        <w:keepLines/>
      </w:pPr>
      <w:r>
        <w:t>Automatic persistence of OEM passwords or OCI AI API keys.</w:t>
      </w:r>
    </w:p>
    <w:p>
      <w:pPr>
        <w:pStyle w:val="ListBullet"/>
        <w:keepLines/>
      </w:pPr>
      <w:r>
        <w:t>Direct alert delivery code. OCI Notifications or an allow-listed enterprise integration is a platform-layer extension.</w:t>
      </w:r>
    </w:p>
    <w:p>
      <w:pPr>
        <w:pStyle w:val="Heading2"/>
        <w:keepNext/>
      </w:pPr>
      <w:r>
        <w:t>2.4 Constraints and assumptions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456"/>
            <w:vAlign w:val="center"/>
            <w:tcMar>
              <w:top w:w="80" w:type="dxa"/>
              <w:start w:w="120" w:type="dxa"/>
              <w:bottom w:w="80" w:type="dxa"/>
              <w:end w:w="120" w:type="dxa"/>
            </w:tcMar>
            <w:shd w:fill="E8EEF5"/>
          </w:tcPr>
          <w:p>
            <w:r>
              <w:rPr>
                <w:b/>
                <w:color w:val="174A5B"/>
              </w:rPr>
            </w:r>
            <w:r>
              <w:rPr>
                <w:rFonts w:ascii="Calibri" w:hAnsi="Calibri"/>
                <w:b/>
                <w:color w:val="174A5B"/>
                <w:sz w:val="18"/>
              </w:rPr>
              <w:t>Constraint / assumption</w:t>
            </w:r>
          </w:p>
        </w:tc>
        <w:tc>
          <w:tcPr>
            <w:tcW w:type="dxa" w:w="5760"/>
            <w:vAlign w:val="center"/>
            <w:tcMar>
              <w:top w:w="80" w:type="dxa"/>
              <w:start w:w="120" w:type="dxa"/>
              <w:bottom w:w="80" w:type="dxa"/>
              <w:end w:w="120" w:type="dxa"/>
            </w:tcMar>
            <w:shd w:fill="E8EEF5"/>
          </w:tcPr>
          <w:p>
            <w:r>
              <w:rPr>
                <w:b/>
                <w:color w:val="174A5B"/>
              </w:rPr>
            </w:r>
            <w:r>
              <w:rPr>
                <w:rFonts w:ascii="Calibri" w:hAnsi="Calibri"/>
                <w:b/>
                <w:color w:val="174A5B"/>
                <w:sz w:val="18"/>
              </w:rPr>
              <w:t>Design response</w:t>
            </w:r>
          </w:p>
        </w:tc>
      </w:tr>
      <w:tr>
        <w:trPr>
          <w:cantSplit w:val="true"/>
        </w:trPr>
        <w:tc>
          <w:tcPr>
            <w:tcW w:type="dxa" w:w="3456"/>
            <w:vAlign w:val="center"/>
            <w:tcMar>
              <w:top w:w="80" w:type="dxa"/>
              <w:start w:w="120" w:type="dxa"/>
              <w:bottom w:w="80" w:type="dxa"/>
              <w:end w:w="120" w:type="dxa"/>
            </w:tcMar>
          </w:tcPr>
          <w:p>
            <w:r/>
            <w:r>
              <w:rPr>
                <w:rFonts w:ascii="Calibri" w:hAnsi="Calibri"/>
                <w:b w:val="0"/>
                <w:color w:val="161513"/>
                <w:sz w:val="18"/>
              </w:rPr>
              <w:t>OEM 24.1.0.12+ exposes HTTP JSON-RPC MCP</w:t>
            </w:r>
          </w:p>
        </w:tc>
        <w:tc>
          <w:tcPr>
            <w:tcW w:type="dxa" w:w="5760"/>
            <w:vAlign w:val="center"/>
            <w:tcMar>
              <w:top w:w="80" w:type="dxa"/>
              <w:start w:w="120" w:type="dxa"/>
              <w:bottom w:w="80" w:type="dxa"/>
              <w:end w:w="120" w:type="dxa"/>
            </w:tcMar>
          </w:tcPr>
          <w:p>
            <w:r/>
            <w:r>
              <w:rPr>
                <w:rFonts w:ascii="Calibri" w:hAnsi="Calibri"/>
                <w:b w:val="0"/>
                <w:color w:val="161513"/>
                <w:sz w:val="18"/>
              </w:rPr>
              <w:t>Use initialize, initialized notification, discovery and tools/call over POST.</w:t>
            </w:r>
          </w:p>
        </w:tc>
      </w:tr>
      <w:tr>
        <w:trPr>
          <w:cantSplit w:val="true"/>
        </w:trPr>
        <w:tc>
          <w:tcPr>
            <w:tcW w:type="dxa" w:w="3456"/>
            <w:vAlign w:val="center"/>
            <w:tcMar>
              <w:top w:w="80" w:type="dxa"/>
              <w:start w:w="120" w:type="dxa"/>
              <w:bottom w:w="80" w:type="dxa"/>
              <w:end w:w="120" w:type="dxa"/>
            </w:tcMar>
            <w:shd w:fill="F7F9FA"/>
          </w:tcPr>
          <w:p>
            <w:r/>
            <w:r>
              <w:rPr>
                <w:rFonts w:ascii="Calibri" w:hAnsi="Calibri"/>
                <w:b w:val="0"/>
                <w:color w:val="161513"/>
                <w:sz w:val="18"/>
              </w:rPr>
              <w:t>OEM uses HTTP Basic Authentication</w:t>
            </w:r>
          </w:p>
        </w:tc>
        <w:tc>
          <w:tcPr>
            <w:tcW w:type="dxa" w:w="5760"/>
            <w:vAlign w:val="center"/>
            <w:tcMar>
              <w:top w:w="80" w:type="dxa"/>
              <w:start w:w="120" w:type="dxa"/>
              <w:bottom w:w="80" w:type="dxa"/>
              <w:end w:w="120" w:type="dxa"/>
            </w:tcMar>
            <w:shd w:fill="F7F9FA"/>
          </w:tcPr>
          <w:p>
            <w:r/>
            <w:r>
              <w:rPr>
                <w:rFonts w:ascii="Calibri" w:hAnsi="Calibri"/>
                <w:b w:val="0"/>
                <w:color w:val="161513"/>
                <w:sz w:val="18"/>
              </w:rPr>
              <w:t>Keep password in process session memory; never persist or log it.</w:t>
            </w:r>
          </w:p>
        </w:tc>
      </w:tr>
      <w:tr>
        <w:trPr>
          <w:cantSplit w:val="true"/>
        </w:trPr>
        <w:tc>
          <w:tcPr>
            <w:tcW w:type="dxa" w:w="3456"/>
            <w:vAlign w:val="center"/>
            <w:tcMar>
              <w:top w:w="80" w:type="dxa"/>
              <w:start w:w="120" w:type="dxa"/>
              <w:bottom w:w="80" w:type="dxa"/>
              <w:end w:w="120" w:type="dxa"/>
            </w:tcMar>
          </w:tcPr>
          <w:p>
            <w:r/>
            <w:r>
              <w:rPr>
                <w:rFonts w:ascii="Calibri" w:hAnsi="Calibri"/>
                <w:b w:val="0"/>
                <w:color w:val="161513"/>
                <w:sz w:val="18"/>
              </w:rPr>
              <w:t>Prompt/resource lists may be empty</w:t>
            </w:r>
          </w:p>
        </w:tc>
        <w:tc>
          <w:tcPr>
            <w:tcW w:type="dxa" w:w="5760"/>
            <w:vAlign w:val="center"/>
            <w:tcMar>
              <w:top w:w="80" w:type="dxa"/>
              <w:start w:w="120" w:type="dxa"/>
              <w:bottom w:w="80" w:type="dxa"/>
              <w:end w:w="120" w:type="dxa"/>
            </w:tcMar>
          </w:tcPr>
          <w:p>
            <w:r/>
            <w:r>
              <w:rPr>
                <w:rFonts w:ascii="Calibri" w:hAnsi="Calibri"/>
                <w:b w:val="0"/>
                <w:color w:val="161513"/>
                <w:sz w:val="18"/>
              </w:rPr>
              <w:t>Discover and display all capability classes but center workflows on tools.</w:t>
            </w:r>
          </w:p>
        </w:tc>
      </w:tr>
      <w:tr>
        <w:trPr>
          <w:cantSplit w:val="true"/>
        </w:trPr>
        <w:tc>
          <w:tcPr>
            <w:tcW w:type="dxa" w:w="3456"/>
            <w:vAlign w:val="center"/>
            <w:tcMar>
              <w:top w:w="80" w:type="dxa"/>
              <w:start w:w="120" w:type="dxa"/>
              <w:bottom w:w="80" w:type="dxa"/>
              <w:end w:w="120" w:type="dxa"/>
            </w:tcMar>
            <w:shd w:fill="F7F9FA"/>
          </w:tcPr>
          <w:p>
            <w:r/>
            <w:r>
              <w:rPr>
                <w:rFonts w:ascii="Calibri" w:hAnsi="Calibri"/>
                <w:b w:val="0"/>
                <w:color w:val="161513"/>
                <w:sz w:val="18"/>
              </w:rPr>
              <w:t>Python 3.9–3.13 supported</w:t>
            </w:r>
          </w:p>
        </w:tc>
        <w:tc>
          <w:tcPr>
            <w:tcW w:type="dxa" w:w="5760"/>
            <w:vAlign w:val="center"/>
            <w:tcMar>
              <w:top w:w="80" w:type="dxa"/>
              <w:start w:w="120" w:type="dxa"/>
              <w:bottom w:w="80" w:type="dxa"/>
              <w:end w:w="120" w:type="dxa"/>
            </w:tcMar>
            <w:shd w:fill="F7F9FA"/>
          </w:tcPr>
          <w:p>
            <w:r/>
            <w:r>
              <w:rPr>
                <w:rFonts w:ascii="Calibri" w:hAnsi="Calibri"/>
                <w:b w:val="0"/>
                <w:color w:val="161513"/>
                <w:sz w:val="18"/>
              </w:rPr>
              <w:t>Pin Streamlit 1.55+ and test on Python 3.11 in CI.</w:t>
            </w:r>
          </w:p>
        </w:tc>
      </w:tr>
      <w:tr>
        <w:trPr>
          <w:cantSplit w:val="true"/>
        </w:trPr>
        <w:tc>
          <w:tcPr>
            <w:tcW w:type="dxa" w:w="3456"/>
            <w:vAlign w:val="center"/>
            <w:tcMar>
              <w:top w:w="80" w:type="dxa"/>
              <w:start w:w="120" w:type="dxa"/>
              <w:bottom w:w="80" w:type="dxa"/>
              <w:end w:w="120" w:type="dxa"/>
            </w:tcMar>
          </w:tcPr>
          <w:p>
            <w:r/>
            <w:r>
              <w:rPr>
                <w:rFonts w:ascii="Calibri" w:hAnsi="Calibri"/>
                <w:b w:val="0"/>
                <w:color w:val="161513"/>
                <w:sz w:val="18"/>
              </w:rPr>
              <w:t>Single Streamlit process</w:t>
            </w:r>
          </w:p>
        </w:tc>
        <w:tc>
          <w:tcPr>
            <w:tcW w:type="dxa" w:w="5760"/>
            <w:vAlign w:val="center"/>
            <w:tcMar>
              <w:top w:w="80" w:type="dxa"/>
              <w:start w:w="120" w:type="dxa"/>
              <w:bottom w:w="80" w:type="dxa"/>
              <w:end w:w="120" w:type="dxa"/>
            </w:tcMar>
          </w:tcPr>
          <w:p>
            <w:r/>
            <w:r>
              <w:rPr>
                <w:rFonts w:ascii="Calibri" w:hAnsi="Calibri"/>
                <w:b w:val="0"/>
                <w:color w:val="161513"/>
                <w:sz w:val="18"/>
              </w:rPr>
              <w:t>Use bounded in-process workers and SQLite WAL; document scale-out limitations.</w:t>
            </w:r>
          </w:p>
        </w:tc>
      </w:tr>
    </w:tbl>
    <w:p/>
    <w:p>
      <w:pPr>
        <w:pStyle w:val="Heading1"/>
        <w:keepNext/>
      </w:pPr>
      <w:r>
        <w:t>3. Architecture</w:t>
      </w:r>
    </w:p>
    <w:p>
      <w:pPr>
        <w:pStyle w:val="Heading2"/>
        <w:keepNext/>
      </w:pPr>
      <w:r>
        <w:t>3.1 Logical view</w:t>
      </w:r>
    </w:p>
    <w:p>
      <w:r>
        <w:drawing>
          <wp:inline xmlns:a="http://schemas.openxmlformats.org/drawingml/2006/main" xmlns:pic="http://schemas.openxmlformats.org/drawingml/2006/picture">
            <wp:extent cx="6172200" cy="3691952"/>
            <wp:docPr id="2" name="Picture 2" descr="OCI architecture showing the Streamlit client in a private subnet, optional OCI services, and secure connectivity to OEM."/>
            <wp:cNvGraphicFramePr>
              <a:graphicFrameLocks noChangeAspect="1"/>
            </wp:cNvGraphicFramePr>
            <a:graphic>
              <a:graphicData uri="http://schemas.openxmlformats.org/drawingml/2006/picture">
                <pic:pic>
                  <pic:nvPicPr>
                    <pic:cNvPr id="0" name="oem-mcp-streamlit-oci-architecture.png"/>
                    <pic:cNvPicPr/>
                  </pic:nvPicPr>
                  <pic:blipFill>
                    <a:blip r:embed="rId11"/>
                    <a:stretch>
                      <a:fillRect/>
                    </a:stretch>
                  </pic:blipFill>
                  <pic:spPr>
                    <a:xfrm>
                      <a:off x="0" y="0"/>
                      <a:ext cx="6172200" cy="3691952"/>
                    </a:xfrm>
                    <a:prstGeom prst="rect"/>
                  </pic:spPr>
                </pic:pic>
              </a:graphicData>
            </a:graphic>
          </wp:inline>
        </w:drawing>
      </w:r>
    </w:p>
    <w:p>
      <w:pPr>
        <w:pStyle w:val="Caption"/>
        <w:keepNext w:val="0"/>
        <w:jc w:val="center"/>
      </w:pPr>
      <w:r>
        <w:t>Figure 1 — OCI deployment and OEM hybrid connectivity reference architecture.</w:t>
      </w:r>
    </w:p>
    <w:p>
      <w:pPr>
        <w:pStyle w:val="Heading2"/>
        <w:keepNext/>
      </w:pPr>
      <w:r>
        <w:t>3.2 Runtime flow</w:t>
      </w:r>
    </w:p>
    <w:p>
      <w:pPr>
        <w:pStyle w:val="ListNumber"/>
        <w:keepLines/>
      </w:pPr>
      <w:r>
        <w:t>The operator reaches Streamlit through an authenticated TLS ingress. Loopback remains the application default.</w:t>
      </w:r>
    </w:p>
    <w:p>
      <w:pPr>
        <w:pStyle w:val="ListNumber"/>
        <w:keepLines/>
      </w:pPr>
      <w:r>
        <w:t>The client builds a validated connection profile and retains the OEM password only in Streamlit session memory.</w:t>
      </w:r>
    </w:p>
    <w:p>
      <w:pPr>
        <w:pStyle w:val="ListNumber"/>
        <w:keepLines/>
      </w:pPr>
      <w:r>
        <w:t>MCP initialize negotiates a supported protocol version; discovery retrieves the account-authorized server surface.</w:t>
      </w:r>
    </w:p>
    <w:p>
      <w:pPr>
        <w:pStyle w:val="ListNumber"/>
        <w:keepLines/>
      </w:pPr>
      <w:r>
        <w:t>Every invocation passes policy, approval and tool/SQL safety gates before tools/call reaches OEM.</w:t>
      </w:r>
    </w:p>
    <w:p>
      <w:pPr>
        <w:pStyle w:val="ListNumber"/>
        <w:keepLines/>
      </w:pPr>
      <w:r>
        <w:t>Redacted local events and workspace state are committed to SQLite; transport logs exclude request bodies and credentials.</w:t>
      </w:r>
    </w:p>
    <w:p>
      <w:pPr>
        <w:pStyle w:val="ListNumber"/>
        <w:keepLines/>
      </w:pPr>
      <w:r>
        <w:t>Optional OCI services provide secret retrieval, AI planning, centralized observability, alarm delivery and report archival.</w:t>
      </w:r>
    </w:p>
    <w:p>
      <w:pPr>
        <w:pStyle w:val="Heading2"/>
        <w:keepNext/>
      </w:pPr>
      <w:r>
        <w:t>3.3 Deployment zones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800"/>
            <w:vAlign w:val="center"/>
            <w:tcMar>
              <w:top w:w="80" w:type="dxa"/>
              <w:start w:w="120" w:type="dxa"/>
              <w:bottom w:w="80" w:type="dxa"/>
              <w:end w:w="120" w:type="dxa"/>
            </w:tcMar>
            <w:shd w:fill="E8EEF5"/>
          </w:tcPr>
          <w:p>
            <w:r>
              <w:rPr>
                <w:b/>
                <w:color w:val="174A5B"/>
              </w:rPr>
            </w:r>
            <w:r>
              <w:rPr>
                <w:rFonts w:ascii="Calibri" w:hAnsi="Calibri"/>
                <w:b/>
                <w:color w:val="174A5B"/>
                <w:sz w:val="18"/>
              </w:rPr>
              <w:t>Zone</w:t>
            </w:r>
          </w:p>
        </w:tc>
        <w:tc>
          <w:tcPr>
            <w:tcW w:type="dxa" w:w="3096"/>
            <w:vAlign w:val="center"/>
            <w:tcMar>
              <w:top w:w="80" w:type="dxa"/>
              <w:start w:w="120" w:type="dxa"/>
              <w:bottom w:w="80" w:type="dxa"/>
              <w:end w:w="120" w:type="dxa"/>
            </w:tcMar>
            <w:shd w:fill="E8EEF5"/>
          </w:tcPr>
          <w:p>
            <w:r>
              <w:rPr>
                <w:b/>
                <w:color w:val="174A5B"/>
              </w:rPr>
            </w:r>
            <w:r>
              <w:rPr>
                <w:rFonts w:ascii="Calibri" w:hAnsi="Calibri"/>
                <w:b/>
                <w:color w:val="174A5B"/>
                <w:sz w:val="18"/>
              </w:rPr>
              <w:t>Components</w:t>
            </w:r>
          </w:p>
        </w:tc>
        <w:tc>
          <w:tcPr>
            <w:tcW w:type="dxa" w:w="4320"/>
            <w:vAlign w:val="center"/>
            <w:tcMar>
              <w:top w:w="80" w:type="dxa"/>
              <w:start w:w="120" w:type="dxa"/>
              <w:bottom w:w="80" w:type="dxa"/>
              <w:end w:w="120" w:type="dxa"/>
            </w:tcMar>
            <w:shd w:fill="E8EEF5"/>
          </w:tcPr>
          <w:p>
            <w:r>
              <w:rPr>
                <w:b/>
                <w:color w:val="174A5B"/>
              </w:rPr>
            </w:r>
            <w:r>
              <w:rPr>
                <w:rFonts w:ascii="Calibri" w:hAnsi="Calibri"/>
                <w:b/>
                <w:color w:val="174A5B"/>
                <w:sz w:val="18"/>
              </w:rPr>
              <w:t>Required controls</w:t>
            </w:r>
          </w:p>
        </w:tc>
      </w:tr>
      <w:tr>
        <w:trPr>
          <w:cantSplit w:val="true"/>
        </w:trPr>
        <w:tc>
          <w:tcPr>
            <w:tcW w:type="dxa" w:w="1800"/>
            <w:vAlign w:val="center"/>
            <w:tcMar>
              <w:top w:w="80" w:type="dxa"/>
              <w:start w:w="120" w:type="dxa"/>
              <w:bottom w:w="80" w:type="dxa"/>
              <w:end w:w="120" w:type="dxa"/>
            </w:tcMar>
          </w:tcPr>
          <w:p>
            <w:r/>
            <w:r>
              <w:rPr>
                <w:rFonts w:ascii="Calibri" w:hAnsi="Calibri"/>
                <w:b w:val="0"/>
                <w:color w:val="161513"/>
                <w:sz w:val="18"/>
              </w:rPr>
              <w:t>Ingress</w:t>
            </w:r>
          </w:p>
        </w:tc>
        <w:tc>
          <w:tcPr>
            <w:tcW w:type="dxa" w:w="3096"/>
            <w:vAlign w:val="center"/>
            <w:tcMar>
              <w:top w:w="80" w:type="dxa"/>
              <w:start w:w="120" w:type="dxa"/>
              <w:bottom w:w="80" w:type="dxa"/>
              <w:end w:w="120" w:type="dxa"/>
            </w:tcMar>
          </w:tcPr>
          <w:p>
            <w:r/>
            <w:r>
              <w:rPr>
                <w:rFonts w:ascii="Calibri" w:hAnsi="Calibri"/>
                <w:b w:val="0"/>
                <w:color w:val="161513"/>
                <w:sz w:val="18"/>
              </w:rPr>
              <w:t>OCI Load Balancer or enterprise reverse proxy</w:t>
            </w:r>
          </w:p>
        </w:tc>
        <w:tc>
          <w:tcPr>
            <w:tcW w:type="dxa" w:w="4320"/>
            <w:vAlign w:val="center"/>
            <w:tcMar>
              <w:top w:w="80" w:type="dxa"/>
              <w:start w:w="120" w:type="dxa"/>
              <w:bottom w:w="80" w:type="dxa"/>
              <w:end w:w="120" w:type="dxa"/>
            </w:tcMar>
          </w:tcPr>
          <w:p>
            <w:r/>
            <w:r>
              <w:rPr>
                <w:rFonts w:ascii="Calibri" w:hAnsi="Calibri"/>
                <w:b w:val="0"/>
                <w:color w:val="161513"/>
                <w:sz w:val="18"/>
              </w:rPr>
              <w:t>TLS, user authentication, request-size limits, restricted source networks</w:t>
            </w:r>
          </w:p>
        </w:tc>
      </w:tr>
      <w:tr>
        <w:trPr>
          <w:cantSplit w:val="true"/>
        </w:trPr>
        <w:tc>
          <w:tcPr>
            <w:tcW w:type="dxa" w:w="1800"/>
            <w:vAlign w:val="center"/>
            <w:tcMar>
              <w:top w:w="80" w:type="dxa"/>
              <w:start w:w="120" w:type="dxa"/>
              <w:bottom w:w="80" w:type="dxa"/>
              <w:end w:w="120" w:type="dxa"/>
            </w:tcMar>
            <w:shd w:fill="F7F9FA"/>
          </w:tcPr>
          <w:p>
            <w:r/>
            <w:r>
              <w:rPr>
                <w:rFonts w:ascii="Calibri" w:hAnsi="Calibri"/>
                <w:b w:val="0"/>
                <w:color w:val="161513"/>
                <w:sz w:val="18"/>
              </w:rPr>
              <w:t>Private application subnet</w:t>
            </w:r>
          </w:p>
        </w:tc>
        <w:tc>
          <w:tcPr>
            <w:tcW w:type="dxa" w:w="3096"/>
            <w:vAlign w:val="center"/>
            <w:tcMar>
              <w:top w:w="80" w:type="dxa"/>
              <w:start w:w="120" w:type="dxa"/>
              <w:bottom w:w="80" w:type="dxa"/>
              <w:end w:w="120" w:type="dxa"/>
            </w:tcMar>
            <w:shd w:fill="F7F9FA"/>
          </w:tcPr>
          <w:p>
            <w:r/>
            <w:r>
              <w:rPr>
                <w:rFonts w:ascii="Calibri" w:hAnsi="Calibri"/>
                <w:b w:val="0"/>
                <w:color w:val="161513"/>
                <w:sz w:val="18"/>
              </w:rPr>
              <w:t>Oracle Linux 8, Streamlit, worker, SQLite/block volume</w:t>
            </w:r>
          </w:p>
        </w:tc>
        <w:tc>
          <w:tcPr>
            <w:tcW w:type="dxa" w:w="4320"/>
            <w:vAlign w:val="center"/>
            <w:tcMar>
              <w:top w:w="80" w:type="dxa"/>
              <w:start w:w="120" w:type="dxa"/>
              <w:bottom w:w="80" w:type="dxa"/>
              <w:end w:w="120" w:type="dxa"/>
            </w:tcMar>
            <w:shd w:fill="F7F9FA"/>
          </w:tcPr>
          <w:p>
            <w:r/>
            <w:r>
              <w:rPr>
                <w:rFonts w:ascii="Calibri" w:hAnsi="Calibri"/>
                <w:b w:val="0"/>
                <w:color w:val="161513"/>
                <w:sz w:val="18"/>
              </w:rPr>
              <w:t>NSG, host hardening, least privilege, backups, egress allow-list</w:t>
            </w:r>
          </w:p>
        </w:tc>
      </w:tr>
      <w:tr>
        <w:trPr>
          <w:cantSplit w:val="true"/>
        </w:trPr>
        <w:tc>
          <w:tcPr>
            <w:tcW w:type="dxa" w:w="1800"/>
            <w:vAlign w:val="center"/>
            <w:tcMar>
              <w:top w:w="80" w:type="dxa"/>
              <w:start w:w="120" w:type="dxa"/>
              <w:bottom w:w="80" w:type="dxa"/>
              <w:end w:w="120" w:type="dxa"/>
            </w:tcMar>
          </w:tcPr>
          <w:p>
            <w:r/>
            <w:r>
              <w:rPr>
                <w:rFonts w:ascii="Calibri" w:hAnsi="Calibri"/>
                <w:b w:val="0"/>
                <w:color w:val="161513"/>
                <w:sz w:val="18"/>
              </w:rPr>
              <w:t>OCI service plane</w:t>
            </w:r>
          </w:p>
        </w:tc>
        <w:tc>
          <w:tcPr>
            <w:tcW w:type="dxa" w:w="3096"/>
            <w:vAlign w:val="center"/>
            <w:tcMar>
              <w:top w:w="80" w:type="dxa"/>
              <w:start w:w="120" w:type="dxa"/>
              <w:bottom w:w="80" w:type="dxa"/>
              <w:end w:w="120" w:type="dxa"/>
            </w:tcMar>
          </w:tcPr>
          <w:p>
            <w:r/>
            <w:r>
              <w:rPr>
                <w:rFonts w:ascii="Calibri" w:hAnsi="Calibri"/>
                <w:b w:val="0"/>
                <w:color w:val="161513"/>
                <w:sz w:val="18"/>
              </w:rPr>
              <w:t>Vault, AI, Logging, Monitoring, Notifications, Object Storage</w:t>
            </w:r>
          </w:p>
        </w:tc>
        <w:tc>
          <w:tcPr>
            <w:tcW w:type="dxa" w:w="4320"/>
            <w:vAlign w:val="center"/>
            <w:tcMar>
              <w:top w:w="80" w:type="dxa"/>
              <w:start w:w="120" w:type="dxa"/>
              <w:bottom w:w="80" w:type="dxa"/>
              <w:end w:w="120" w:type="dxa"/>
            </w:tcMar>
          </w:tcPr>
          <w:p>
            <w:r/>
            <w:r>
              <w:rPr>
                <w:rFonts w:ascii="Calibri" w:hAnsi="Calibri"/>
                <w:b w:val="0"/>
                <w:color w:val="161513"/>
                <w:sz w:val="18"/>
              </w:rPr>
              <w:t>IAM policies, private endpoints where supported, encryption, retention</w:t>
            </w:r>
          </w:p>
        </w:tc>
      </w:tr>
      <w:tr>
        <w:trPr>
          <w:cantSplit w:val="true"/>
        </w:trPr>
        <w:tc>
          <w:tcPr>
            <w:tcW w:type="dxa" w:w="1800"/>
            <w:vAlign w:val="center"/>
            <w:tcMar>
              <w:top w:w="80" w:type="dxa"/>
              <w:start w:w="120" w:type="dxa"/>
              <w:bottom w:w="80" w:type="dxa"/>
              <w:end w:w="120" w:type="dxa"/>
            </w:tcMar>
            <w:shd w:fill="F7F9FA"/>
          </w:tcPr>
          <w:p>
            <w:r/>
            <w:r>
              <w:rPr>
                <w:rFonts w:ascii="Calibri" w:hAnsi="Calibri"/>
                <w:b w:val="0"/>
                <w:color w:val="161513"/>
                <w:sz w:val="18"/>
              </w:rPr>
              <w:t>OEM / managed estate</w:t>
            </w:r>
          </w:p>
        </w:tc>
        <w:tc>
          <w:tcPr>
            <w:tcW w:type="dxa" w:w="3096"/>
            <w:vAlign w:val="center"/>
            <w:tcMar>
              <w:top w:w="80" w:type="dxa"/>
              <w:start w:w="120" w:type="dxa"/>
              <w:bottom w:w="80" w:type="dxa"/>
              <w:end w:w="120" w:type="dxa"/>
            </w:tcMar>
            <w:shd w:fill="F7F9FA"/>
          </w:tcPr>
          <w:p>
            <w:r/>
            <w:r>
              <w:rPr>
                <w:rFonts w:ascii="Calibri" w:hAnsi="Calibri"/>
                <w:b w:val="0"/>
                <w:color w:val="161513"/>
                <w:sz w:val="18"/>
              </w:rPr>
              <w:t>OMS MCP endpoint, repository, Linux and database targets</w:t>
            </w:r>
          </w:p>
        </w:tc>
        <w:tc>
          <w:tcPr>
            <w:tcW w:type="dxa" w:w="4320"/>
            <w:vAlign w:val="center"/>
            <w:tcMar>
              <w:top w:w="80" w:type="dxa"/>
              <w:start w:w="120" w:type="dxa"/>
              <w:bottom w:w="80" w:type="dxa"/>
              <w:end w:w="120" w:type="dxa"/>
            </w:tcMar>
            <w:shd w:fill="F7F9FA"/>
          </w:tcPr>
          <w:p>
            <w:r/>
            <w:r>
              <w:rPr>
                <w:rFonts w:ascii="Calibri" w:hAnsi="Calibri"/>
                <w:b w:val="0"/>
                <w:color w:val="161513"/>
                <w:sz w:val="18"/>
              </w:rPr>
              <w:t>OEM RBAC, TLS, audit, approved network path</w:t>
            </w:r>
          </w:p>
        </w:tc>
      </w:tr>
    </w:tbl>
    <w:p/>
    <w:p>
      <w:pPr>
        <w:pStyle w:val="Heading1"/>
        <w:keepNext/>
      </w:pPr>
      <w:r>
        <w:t>4. Component design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944"/>
            <w:vAlign w:val="center"/>
            <w:tcMar>
              <w:top w:w="80" w:type="dxa"/>
              <w:start w:w="120" w:type="dxa"/>
              <w:bottom w:w="80" w:type="dxa"/>
              <w:end w:w="120" w:type="dxa"/>
            </w:tcMar>
            <w:shd w:fill="E8EEF5"/>
          </w:tcPr>
          <w:p>
            <w:r>
              <w:rPr>
                <w:b/>
                <w:color w:val="174A5B"/>
              </w:rPr>
            </w:r>
            <w:r>
              <w:rPr>
                <w:rFonts w:ascii="Calibri" w:hAnsi="Calibri"/>
                <w:b/>
                <w:color w:val="174A5B"/>
                <w:sz w:val="18"/>
              </w:rPr>
              <w:t>Component</w:t>
            </w:r>
          </w:p>
        </w:tc>
        <w:tc>
          <w:tcPr>
            <w:tcW w:type="dxa" w:w="3816"/>
            <w:vAlign w:val="center"/>
            <w:tcMar>
              <w:top w:w="80" w:type="dxa"/>
              <w:start w:w="120" w:type="dxa"/>
              <w:bottom w:w="80" w:type="dxa"/>
              <w:end w:w="120" w:type="dxa"/>
            </w:tcMar>
            <w:shd w:fill="E8EEF5"/>
          </w:tcPr>
          <w:p>
            <w:r>
              <w:rPr>
                <w:b/>
                <w:color w:val="174A5B"/>
              </w:rPr>
            </w:r>
            <w:r>
              <w:rPr>
                <w:rFonts w:ascii="Calibri" w:hAnsi="Calibri"/>
                <w:b/>
                <w:color w:val="174A5B"/>
                <w:sz w:val="18"/>
              </w:rPr>
              <w:t>Responsibility</w:t>
            </w:r>
          </w:p>
        </w:tc>
        <w:tc>
          <w:tcPr>
            <w:tcW w:type="dxa" w:w="3456"/>
            <w:vAlign w:val="center"/>
            <w:tcMar>
              <w:top w:w="80" w:type="dxa"/>
              <w:start w:w="120" w:type="dxa"/>
              <w:bottom w:w="80" w:type="dxa"/>
              <w:end w:w="120" w:type="dxa"/>
            </w:tcMar>
            <w:shd w:fill="E8EEF5"/>
          </w:tcPr>
          <w:p>
            <w:r>
              <w:rPr>
                <w:b/>
                <w:color w:val="174A5B"/>
              </w:rPr>
            </w:r>
            <w:r>
              <w:rPr>
                <w:rFonts w:ascii="Calibri" w:hAnsi="Calibri"/>
                <w:b/>
                <w:color w:val="174A5B"/>
                <w:sz w:val="18"/>
              </w:rPr>
              <w:t>State / trust notes</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Streamlit application</w:t>
            </w:r>
          </w:p>
        </w:tc>
        <w:tc>
          <w:tcPr>
            <w:tcW w:type="dxa" w:w="3816"/>
            <w:vAlign w:val="center"/>
            <w:tcMar>
              <w:top w:w="80" w:type="dxa"/>
              <w:start w:w="120" w:type="dxa"/>
              <w:bottom w:w="80" w:type="dxa"/>
              <w:end w:w="120" w:type="dxa"/>
            </w:tcMar>
          </w:tcPr>
          <w:p>
            <w:r/>
            <w:r>
              <w:rPr>
                <w:rFonts w:ascii="Calibri" w:hAnsi="Calibri"/>
                <w:b w:val="0"/>
                <w:color w:val="161513"/>
                <w:sz w:val="18"/>
              </w:rPr>
              <w:t>Operator workflows, form generation, results, topology and dashboards</w:t>
            </w:r>
          </w:p>
        </w:tc>
        <w:tc>
          <w:tcPr>
            <w:tcW w:type="dxa" w:w="3456"/>
            <w:vAlign w:val="center"/>
            <w:tcMar>
              <w:top w:w="80" w:type="dxa"/>
              <w:start w:w="120" w:type="dxa"/>
              <w:bottom w:w="80" w:type="dxa"/>
              <w:end w:w="120" w:type="dxa"/>
            </w:tcMar>
          </w:tcPr>
          <w:p>
            <w:r/>
            <w:r>
              <w:rPr>
                <w:rFonts w:ascii="Calibri" w:hAnsi="Calibri"/>
                <w:b w:val="0"/>
                <w:color w:val="161513"/>
                <w:sz w:val="18"/>
              </w:rPr>
              <w:t>Session state is process-local; shared access requires upstream identity.</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OemMcpClient</w:t>
            </w:r>
          </w:p>
        </w:tc>
        <w:tc>
          <w:tcPr>
            <w:tcW w:type="dxa" w:w="3816"/>
            <w:vAlign w:val="center"/>
            <w:tcMar>
              <w:top w:w="80" w:type="dxa"/>
              <w:start w:w="120" w:type="dxa"/>
              <w:bottom w:w="80" w:type="dxa"/>
              <w:end w:w="120" w:type="dxa"/>
            </w:tcMar>
            <w:shd w:fill="F7F9FA"/>
          </w:tcPr>
          <w:p>
            <w:r/>
            <w:r>
              <w:rPr>
                <w:rFonts w:ascii="Calibri" w:hAnsi="Calibri"/>
                <w:b w:val="0"/>
                <w:color w:val="161513"/>
                <w:sz w:val="18"/>
              </w:rPr>
              <w:t>MCP lifecycle, pagination, session headers, JSON-RPC validation and tool calls</w:t>
            </w:r>
          </w:p>
        </w:tc>
        <w:tc>
          <w:tcPr>
            <w:tcW w:type="dxa" w:w="3456"/>
            <w:vAlign w:val="center"/>
            <w:tcMar>
              <w:top w:w="80" w:type="dxa"/>
              <w:start w:w="120" w:type="dxa"/>
              <w:bottom w:w="80" w:type="dxa"/>
              <w:end w:w="120" w:type="dxa"/>
            </w:tcMar>
            <w:shd w:fill="F7F9FA"/>
          </w:tcPr>
          <w:p>
            <w:r/>
            <w:r>
              <w:rPr>
                <w:rFonts w:ascii="Calibri" w:hAnsi="Calibri"/>
                <w:b w:val="0"/>
                <w:color w:val="161513"/>
                <w:sz w:val="18"/>
              </w:rPr>
              <w:t>Uses OEM Basic Auth and verified HTTPS.</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PolicyEngine</w:t>
            </w:r>
          </w:p>
        </w:tc>
        <w:tc>
          <w:tcPr>
            <w:tcW w:type="dxa" w:w="3816"/>
            <w:vAlign w:val="center"/>
            <w:tcMar>
              <w:top w:w="80" w:type="dxa"/>
              <w:start w:w="120" w:type="dxa"/>
              <w:bottom w:w="80" w:type="dxa"/>
              <w:end w:w="120" w:type="dxa"/>
            </w:tcMar>
          </w:tcPr>
          <w:p>
            <w:r/>
            <w:r>
              <w:rPr>
                <w:rFonts w:ascii="Calibri" w:hAnsi="Calibri"/>
                <w:b w:val="0"/>
                <w:color w:val="161513"/>
                <w:sz w:val="18"/>
              </w:rPr>
              <w:t>Ordered deny-first role/tool/target rules</w:t>
            </w:r>
          </w:p>
        </w:tc>
        <w:tc>
          <w:tcPr>
            <w:tcW w:type="dxa" w:w="3456"/>
            <w:vAlign w:val="center"/>
            <w:tcMar>
              <w:top w:w="80" w:type="dxa"/>
              <w:start w:w="120" w:type="dxa"/>
              <w:bottom w:w="80" w:type="dxa"/>
              <w:end w:w="120" w:type="dxa"/>
            </w:tcMar>
          </w:tcPr>
          <w:p>
            <w:r/>
            <w:r>
              <w:rPr>
                <w:rFonts w:ascii="Calibri" w:hAnsi="Calibri"/>
                <w:b w:val="0"/>
                <w:color w:val="161513"/>
                <w:sz w:val="18"/>
              </w:rPr>
              <w:t>Built-in fallback permits recognized read-only tools and validated ExecuteSql.</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WorkspaceStore</w:t>
            </w:r>
          </w:p>
        </w:tc>
        <w:tc>
          <w:tcPr>
            <w:tcW w:type="dxa" w:w="3816"/>
            <w:vAlign w:val="center"/>
            <w:tcMar>
              <w:top w:w="80" w:type="dxa"/>
              <w:start w:w="120" w:type="dxa"/>
              <w:bottom w:w="80" w:type="dxa"/>
              <w:end w:w="120" w:type="dxa"/>
            </w:tcMar>
            <w:shd w:fill="F7F9FA"/>
          </w:tcPr>
          <w:p>
            <w:r/>
            <w:r>
              <w:rPr>
                <w:rFonts w:ascii="Calibri" w:hAnsi="Calibri"/>
                <w:b w:val="0"/>
                <w:color w:val="161513"/>
                <w:sz w:val="18"/>
              </w:rPr>
              <w:t>Artifacts, incidents, approvals, jobs, schedules, alerts and usage</w:t>
            </w:r>
          </w:p>
        </w:tc>
        <w:tc>
          <w:tcPr>
            <w:tcW w:type="dxa" w:w="3456"/>
            <w:vAlign w:val="center"/>
            <w:tcMar>
              <w:top w:w="80" w:type="dxa"/>
              <w:start w:w="120" w:type="dxa"/>
              <w:bottom w:w="80" w:type="dxa"/>
              <w:end w:w="120" w:type="dxa"/>
            </w:tcMar>
            <w:shd w:fill="F7F9FA"/>
          </w:tcPr>
          <w:p>
            <w:r/>
            <w:r>
              <w:rPr>
                <w:rFonts w:ascii="Calibri" w:hAnsi="Calibri"/>
                <w:b w:val="0"/>
                <w:color w:val="161513"/>
                <w:sz w:val="18"/>
              </w:rPr>
              <w:t>SQLite WAL; secret-key fields are redacted and payloads are capped.</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Background job manager</w:t>
            </w:r>
          </w:p>
        </w:tc>
        <w:tc>
          <w:tcPr>
            <w:tcW w:type="dxa" w:w="3816"/>
            <w:vAlign w:val="center"/>
            <w:tcMar>
              <w:top w:w="80" w:type="dxa"/>
              <w:start w:w="120" w:type="dxa"/>
              <w:bottom w:w="80" w:type="dxa"/>
              <w:end w:w="120" w:type="dxa"/>
            </w:tcMar>
          </w:tcPr>
          <w:p>
            <w:r/>
            <w:r>
              <w:rPr>
                <w:rFonts w:ascii="Calibri" w:hAnsi="Calibri"/>
                <w:b w:val="0"/>
                <w:color w:val="161513"/>
                <w:sz w:val="18"/>
              </w:rPr>
              <w:t>Bounded ThreadPoolExecutor and durable state transitions</w:t>
            </w:r>
          </w:p>
        </w:tc>
        <w:tc>
          <w:tcPr>
            <w:tcW w:type="dxa" w:w="3456"/>
            <w:vAlign w:val="center"/>
            <w:tcMar>
              <w:top w:w="80" w:type="dxa"/>
              <w:start w:w="120" w:type="dxa"/>
              <w:bottom w:w="80" w:type="dxa"/>
              <w:end w:w="120" w:type="dxa"/>
            </w:tcMar>
          </w:tcPr>
          <w:p>
            <w:r/>
            <w:r>
              <w:rPr>
                <w:rFonts w:ascii="Calibri" w:hAnsi="Calibri"/>
                <w:b w:val="0"/>
                <w:color w:val="161513"/>
                <w:sz w:val="18"/>
              </w:rPr>
              <w:t>In-process only; queued/running state requires reconciliation after restart.</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Assistant planner</w:t>
            </w:r>
          </w:p>
        </w:tc>
        <w:tc>
          <w:tcPr>
            <w:tcW w:type="dxa" w:w="3816"/>
            <w:vAlign w:val="center"/>
            <w:tcMar>
              <w:top w:w="80" w:type="dxa"/>
              <w:start w:w="120" w:type="dxa"/>
              <w:bottom w:w="80" w:type="dxa"/>
              <w:end w:w="120" w:type="dxa"/>
            </w:tcMar>
            <w:shd w:fill="F7F9FA"/>
          </w:tcPr>
          <w:p>
            <w:r/>
            <w:r>
              <w:rPr>
                <w:rFonts w:ascii="Calibri" w:hAnsi="Calibri"/>
                <w:b w:val="0"/>
                <w:color w:val="161513"/>
                <w:sz w:val="18"/>
              </w:rPr>
              <w:t>Local lexical ranking or OCI AI OpenAI-compatible proposal</w:t>
            </w:r>
          </w:p>
        </w:tc>
        <w:tc>
          <w:tcPr>
            <w:tcW w:type="dxa" w:w="3456"/>
            <w:vAlign w:val="center"/>
            <w:tcMar>
              <w:top w:w="80" w:type="dxa"/>
              <w:start w:w="120" w:type="dxa"/>
              <w:bottom w:w="80" w:type="dxa"/>
              <w:end w:w="120" w:type="dxa"/>
            </w:tcMar>
            <w:shd w:fill="F7F9FA"/>
          </w:tcPr>
          <w:p>
            <w:r/>
            <w:r>
              <w:rPr>
                <w:rFonts w:ascii="Calibri" w:hAnsi="Calibri"/>
                <w:b w:val="0"/>
                <w:color w:val="161513"/>
                <w:sz w:val="18"/>
              </w:rPr>
              <w:t>Proposes one discovered tool; never calls OEM directly.</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Topology inference</w:t>
            </w:r>
          </w:p>
        </w:tc>
        <w:tc>
          <w:tcPr>
            <w:tcW w:type="dxa" w:w="3816"/>
            <w:vAlign w:val="center"/>
            <w:tcMar>
              <w:top w:w="80" w:type="dxa"/>
              <w:start w:w="120" w:type="dxa"/>
              <w:bottom w:w="80" w:type="dxa"/>
              <w:end w:w="120" w:type="dxa"/>
            </w:tcMar>
          </w:tcPr>
          <w:p>
            <w:r/>
            <w:r>
              <w:rPr>
                <w:rFonts w:ascii="Calibri" w:hAnsi="Calibri"/>
                <w:b w:val="0"/>
                <w:color w:val="161513"/>
                <w:sz w:val="18"/>
              </w:rPr>
              <w:t>Extract common target/host/database fields and produce Graphviz DOT</w:t>
            </w:r>
          </w:p>
        </w:tc>
        <w:tc>
          <w:tcPr>
            <w:tcW w:type="dxa" w:w="3456"/>
            <w:vAlign w:val="center"/>
            <w:tcMar>
              <w:top w:w="80" w:type="dxa"/>
              <w:start w:w="120" w:type="dxa"/>
              <w:bottom w:w="80" w:type="dxa"/>
              <w:end w:w="120" w:type="dxa"/>
            </w:tcMar>
          </w:tcPr>
          <w:p>
            <w:r/>
            <w:r>
              <w:rPr>
                <w:rFonts w:ascii="Calibri" w:hAnsi="Calibri"/>
                <w:b w:val="0"/>
                <w:color w:val="161513"/>
                <w:sz w:val="18"/>
              </w:rPr>
              <w:t>Best effort over live structured content.</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History/logging</w:t>
            </w:r>
          </w:p>
        </w:tc>
        <w:tc>
          <w:tcPr>
            <w:tcW w:type="dxa" w:w="3816"/>
            <w:vAlign w:val="center"/>
            <w:tcMar>
              <w:top w:w="80" w:type="dxa"/>
              <w:start w:w="120" w:type="dxa"/>
              <w:bottom w:w="80" w:type="dxa"/>
              <w:end w:w="120" w:type="dxa"/>
            </w:tcMar>
            <w:shd w:fill="F7F9FA"/>
          </w:tcPr>
          <w:p>
            <w:r/>
            <w:r>
              <w:rPr>
                <w:rFonts w:ascii="Calibri" w:hAnsi="Calibri"/>
                <w:b w:val="0"/>
                <w:color w:val="161513"/>
                <w:sz w:val="18"/>
              </w:rPr>
              <w:t>Connection/execution timelines and rotating operational log</w:t>
            </w:r>
          </w:p>
        </w:tc>
        <w:tc>
          <w:tcPr>
            <w:tcW w:type="dxa" w:w="3456"/>
            <w:vAlign w:val="center"/>
            <w:tcMar>
              <w:top w:w="80" w:type="dxa"/>
              <w:start w:w="120" w:type="dxa"/>
              <w:bottom w:w="80" w:type="dxa"/>
              <w:end w:w="120" w:type="dxa"/>
            </w:tcMar>
            <w:shd w:fill="F7F9FA"/>
          </w:tcPr>
          <w:p>
            <w:r/>
            <w:r>
              <w:rPr>
                <w:rFonts w:ascii="Calibri" w:hAnsi="Calibri"/>
                <w:b w:val="0"/>
                <w:color w:val="161513"/>
                <w:sz w:val="18"/>
              </w:rPr>
              <w:t>Sanitized endpoint, username fingerprint, no request bodies.</w:t>
            </w:r>
          </w:p>
        </w:tc>
      </w:tr>
    </w:tbl>
    <w:p/>
    <w:p>
      <w:pPr>
        <w:pStyle w:val="Heading1"/>
        <w:keepNext/>
      </w:pPr>
      <w:r>
        <w:t>5. Feature implementation traceability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080"/>
            <w:vAlign w:val="center"/>
            <w:tcMar>
              <w:top w:w="80" w:type="dxa"/>
              <w:start w:w="120" w:type="dxa"/>
              <w:bottom w:w="80" w:type="dxa"/>
              <w:end w:w="120" w:type="dxa"/>
            </w:tcMar>
            <w:shd w:fill="E8EEF5"/>
          </w:tcPr>
          <w:p>
            <w:r>
              <w:rPr>
                <w:b/>
                <w:color w:val="174A5B"/>
              </w:rPr>
            </w:r>
            <w:r>
              <w:rPr>
                <w:rFonts w:ascii="Calibri" w:hAnsi="Calibri"/>
                <w:b/>
                <w:color w:val="174A5B"/>
                <w:sz w:val="18"/>
              </w:rPr>
              <w:t>Priority</w:t>
            </w:r>
          </w:p>
        </w:tc>
        <w:tc>
          <w:tcPr>
            <w:tcW w:type="dxa" w:w="2160"/>
            <w:vAlign w:val="center"/>
            <w:tcMar>
              <w:top w:w="80" w:type="dxa"/>
              <w:start w:w="120" w:type="dxa"/>
              <w:bottom w:w="80" w:type="dxa"/>
              <w:end w:w="120" w:type="dxa"/>
            </w:tcMar>
            <w:shd w:fill="E8EEF5"/>
          </w:tcPr>
          <w:p>
            <w:r>
              <w:rPr>
                <w:b/>
                <w:color w:val="174A5B"/>
              </w:rPr>
            </w:r>
            <w:r>
              <w:rPr>
                <w:rFonts w:ascii="Calibri" w:hAnsi="Calibri"/>
                <w:b/>
                <w:color w:val="174A5B"/>
                <w:sz w:val="18"/>
              </w:rPr>
              <w:t>Capability</w:t>
            </w:r>
          </w:p>
        </w:tc>
        <w:tc>
          <w:tcPr>
            <w:tcW w:type="dxa" w:w="4824"/>
            <w:vAlign w:val="center"/>
            <w:tcMar>
              <w:top w:w="80" w:type="dxa"/>
              <w:start w:w="120" w:type="dxa"/>
              <w:bottom w:w="80" w:type="dxa"/>
              <w:end w:w="120" w:type="dxa"/>
            </w:tcMar>
            <w:shd w:fill="E8EEF5"/>
          </w:tcPr>
          <w:p>
            <w:r>
              <w:rPr>
                <w:b/>
                <w:color w:val="174A5B"/>
              </w:rPr>
            </w:r>
            <w:r>
              <w:rPr>
                <w:rFonts w:ascii="Calibri" w:hAnsi="Calibri"/>
                <w:b/>
                <w:color w:val="174A5B"/>
                <w:sz w:val="18"/>
              </w:rPr>
              <w:t>Implemented design</w:t>
            </w:r>
          </w:p>
        </w:tc>
        <w:tc>
          <w:tcPr>
            <w:tcW w:type="dxa" w:w="1296"/>
            <w:vAlign w:val="center"/>
            <w:tcMar>
              <w:top w:w="80" w:type="dxa"/>
              <w:start w:w="120" w:type="dxa"/>
              <w:bottom w:w="80" w:type="dxa"/>
              <w:end w:w="120" w:type="dxa"/>
            </w:tcMar>
            <w:shd w:fill="E8EEF5"/>
          </w:tcPr>
          <w:p>
            <w:r>
              <w:rPr>
                <w:b/>
                <w:color w:val="174A5B"/>
              </w:rPr>
            </w:r>
            <w:r>
              <w:rPr>
                <w:rFonts w:ascii="Calibri" w:hAnsi="Calibri"/>
                <w:b/>
                <w:color w:val="174A5B"/>
                <w:sz w:val="18"/>
              </w:rPr>
              <w:t>GUI location</w:t>
            </w:r>
          </w:p>
        </w:tc>
      </w:tr>
      <w:tr>
        <w:trPr>
          <w:cantSplit w:val="true"/>
        </w:trPr>
        <w:tc>
          <w:tcPr>
            <w:tcW w:type="dxa" w:w="1080"/>
            <w:vAlign w:val="center"/>
            <w:tcMar>
              <w:top w:w="80" w:type="dxa"/>
              <w:start w:w="120" w:type="dxa"/>
              <w:bottom w:w="80" w:type="dxa"/>
              <w:end w:w="120" w:type="dxa"/>
            </w:tcMar>
          </w:tcPr>
          <w:p>
            <w:r/>
            <w:r>
              <w:rPr>
                <w:rFonts w:ascii="Calibri" w:hAnsi="Calibri"/>
                <w:b w:val="0"/>
                <w:color w:val="161513"/>
                <w:sz w:val="18"/>
              </w:rPr>
              <w:t>2</w:t>
            </w:r>
          </w:p>
        </w:tc>
        <w:tc>
          <w:tcPr>
            <w:tcW w:type="dxa" w:w="2160"/>
            <w:vAlign w:val="center"/>
            <w:tcMar>
              <w:top w:w="80" w:type="dxa"/>
              <w:start w:w="120" w:type="dxa"/>
              <w:bottom w:w="80" w:type="dxa"/>
              <w:end w:w="120" w:type="dxa"/>
            </w:tcMar>
          </w:tcPr>
          <w:p>
            <w:r/>
            <w:r>
              <w:rPr>
                <w:rFonts w:ascii="Calibri" w:hAnsi="Calibri"/>
                <w:b w:val="0"/>
                <w:color w:val="161513"/>
                <w:sz w:val="18"/>
              </w:rPr>
              <w:t>Live operations dashboard</w:t>
            </w:r>
          </w:p>
        </w:tc>
        <w:tc>
          <w:tcPr>
            <w:tcW w:type="dxa" w:w="4824"/>
            <w:vAlign w:val="center"/>
            <w:tcMar>
              <w:top w:w="80" w:type="dxa"/>
              <w:start w:w="120" w:type="dxa"/>
              <w:bottom w:w="80" w:type="dxa"/>
              <w:end w:w="120" w:type="dxa"/>
            </w:tcMar>
          </w:tcPr>
          <w:p>
            <w:r/>
            <w:r>
              <w:rPr>
                <w:rFonts w:ascii="Calibri" w:hAnsi="Calibri"/>
                <w:b w:val="0"/>
                <w:color w:val="161513"/>
                <w:sz w:val="18"/>
              </w:rPr>
              <w:t>Five-second local fragment; OEM metric candidate execution; chart/table; saved snapshot</w:t>
            </w:r>
          </w:p>
        </w:tc>
        <w:tc>
          <w:tcPr>
            <w:tcW w:type="dxa" w:w="1296"/>
            <w:vAlign w:val="center"/>
            <w:tcMar>
              <w:top w:w="80" w:type="dxa"/>
              <w:start w:w="120" w:type="dxa"/>
              <w:bottom w:w="80" w:type="dxa"/>
              <w:end w:w="120" w:type="dxa"/>
            </w:tcMar>
          </w:tcPr>
          <w:p>
            <w:r/>
            <w:r>
              <w:rPr>
                <w:rFonts w:ascii="Calibri" w:hAnsi="Calibri"/>
                <w:b w:val="0"/>
                <w:color w:val="161513"/>
                <w:sz w:val="18"/>
              </w:rPr>
              <w:t>Operations</w:t>
            </w:r>
          </w:p>
        </w:tc>
      </w:tr>
      <w:tr>
        <w:trPr>
          <w:cantSplit w:val="true"/>
        </w:trPr>
        <w:tc>
          <w:tcPr>
            <w:tcW w:type="dxa" w:w="1080"/>
            <w:vAlign w:val="center"/>
            <w:tcMar>
              <w:top w:w="80" w:type="dxa"/>
              <w:start w:w="120" w:type="dxa"/>
              <w:bottom w:w="80" w:type="dxa"/>
              <w:end w:w="120" w:type="dxa"/>
            </w:tcMar>
            <w:shd w:fill="F7F9FA"/>
          </w:tcPr>
          <w:p>
            <w:r/>
            <w:r>
              <w:rPr>
                <w:rFonts w:ascii="Calibri" w:hAnsi="Calibri"/>
                <w:b w:val="0"/>
                <w:color w:val="161513"/>
                <w:sz w:val="18"/>
              </w:rPr>
              <w:t>3</w:t>
            </w:r>
          </w:p>
        </w:tc>
        <w:tc>
          <w:tcPr>
            <w:tcW w:type="dxa" w:w="2160"/>
            <w:vAlign w:val="center"/>
            <w:tcMar>
              <w:top w:w="80" w:type="dxa"/>
              <w:start w:w="120" w:type="dxa"/>
              <w:bottom w:w="80" w:type="dxa"/>
              <w:end w:w="120" w:type="dxa"/>
            </w:tcMar>
            <w:shd w:fill="F7F9FA"/>
          </w:tcPr>
          <w:p>
            <w:r/>
            <w:r>
              <w:rPr>
                <w:rFonts w:ascii="Calibri" w:hAnsi="Calibri"/>
                <w:b w:val="0"/>
                <w:color w:val="161513"/>
                <w:sz w:val="18"/>
              </w:rPr>
              <w:t>Saved dashboards and runbooks</w:t>
            </w:r>
          </w:p>
        </w:tc>
        <w:tc>
          <w:tcPr>
            <w:tcW w:type="dxa" w:w="4824"/>
            <w:vAlign w:val="center"/>
            <w:tcMar>
              <w:top w:w="80" w:type="dxa"/>
              <w:start w:w="120" w:type="dxa"/>
              <w:bottom w:w="80" w:type="dxa"/>
              <w:end w:w="120" w:type="dxa"/>
            </w:tcMar>
            <w:shd w:fill="F7F9FA"/>
          </w:tcPr>
          <w:p>
            <w:r/>
            <w:r>
              <w:rPr>
                <w:rFonts w:ascii="Calibri" w:hAnsi="Calibri"/>
                <w:b w:val="0"/>
                <w:color w:val="161513"/>
                <w:sz w:val="18"/>
              </w:rPr>
              <w:t>SQLite artifacts with JSON payloads; runbook checklist and dashboard inspection</w:t>
            </w:r>
          </w:p>
        </w:tc>
        <w:tc>
          <w:tcPr>
            <w:tcW w:type="dxa" w:w="1296"/>
            <w:vAlign w:val="center"/>
            <w:tcMar>
              <w:top w:w="80" w:type="dxa"/>
              <w:start w:w="120" w:type="dxa"/>
              <w:bottom w:w="80" w:type="dxa"/>
              <w:end w:w="120" w:type="dxa"/>
            </w:tcMar>
            <w:shd w:fill="F7F9FA"/>
          </w:tcPr>
          <w:p>
            <w:r/>
            <w:r>
              <w:rPr>
                <w:rFonts w:ascii="Calibri" w:hAnsi="Calibri"/>
                <w:b w:val="0"/>
                <w:color w:val="161513"/>
                <w:sz w:val="18"/>
              </w:rPr>
              <w:t>Workspace</w:t>
            </w:r>
          </w:p>
        </w:tc>
      </w:tr>
      <w:tr>
        <w:trPr>
          <w:cantSplit w:val="true"/>
        </w:trPr>
        <w:tc>
          <w:tcPr>
            <w:tcW w:type="dxa" w:w="1080"/>
            <w:vAlign w:val="center"/>
            <w:tcMar>
              <w:top w:w="80" w:type="dxa"/>
              <w:start w:w="120" w:type="dxa"/>
              <w:bottom w:w="80" w:type="dxa"/>
              <w:end w:w="120" w:type="dxa"/>
            </w:tcMar>
          </w:tcPr>
          <w:p>
            <w:r/>
            <w:r>
              <w:rPr>
                <w:rFonts w:ascii="Calibri" w:hAnsi="Calibri"/>
                <w:b w:val="0"/>
                <w:color w:val="161513"/>
                <w:sz w:val="18"/>
              </w:rPr>
              <w:t>4</w:t>
            </w:r>
          </w:p>
        </w:tc>
        <w:tc>
          <w:tcPr>
            <w:tcW w:type="dxa" w:w="2160"/>
            <w:vAlign w:val="center"/>
            <w:tcMar>
              <w:top w:w="80" w:type="dxa"/>
              <w:start w:w="120" w:type="dxa"/>
              <w:bottom w:w="80" w:type="dxa"/>
              <w:end w:w="120" w:type="dxa"/>
            </w:tcMar>
          </w:tcPr>
          <w:p>
            <w:r/>
            <w:r>
              <w:rPr>
                <w:rFonts w:ascii="Calibri" w:hAnsi="Calibri"/>
                <w:b w:val="0"/>
                <w:color w:val="161513"/>
                <w:sz w:val="18"/>
              </w:rPr>
              <w:t>OEM topology explorer</w:t>
            </w:r>
          </w:p>
        </w:tc>
        <w:tc>
          <w:tcPr>
            <w:tcW w:type="dxa" w:w="4824"/>
            <w:vAlign w:val="center"/>
            <w:tcMar>
              <w:top w:w="80" w:type="dxa"/>
              <w:start w:w="120" w:type="dxa"/>
              <w:bottom w:w="80" w:type="dxa"/>
              <w:end w:w="120" w:type="dxa"/>
            </w:tcMar>
          </w:tcPr>
          <w:p>
            <w:r/>
            <w:r>
              <w:rPr>
                <w:rFonts w:ascii="Calibri" w:hAnsi="Calibri"/>
                <w:b w:val="0"/>
                <w:color w:val="161513"/>
                <w:sz w:val="18"/>
              </w:rPr>
              <w:t>Association tool execution, generic record extraction, node/edge inference and Graphviz</w:t>
            </w:r>
          </w:p>
        </w:tc>
        <w:tc>
          <w:tcPr>
            <w:tcW w:type="dxa" w:w="1296"/>
            <w:vAlign w:val="center"/>
            <w:tcMar>
              <w:top w:w="80" w:type="dxa"/>
              <w:start w:w="120" w:type="dxa"/>
              <w:bottom w:w="80" w:type="dxa"/>
              <w:end w:w="120" w:type="dxa"/>
            </w:tcMar>
          </w:tcPr>
          <w:p>
            <w:r/>
            <w:r>
              <w:rPr>
                <w:rFonts w:ascii="Calibri" w:hAnsi="Calibri"/>
                <w:b w:val="0"/>
                <w:color w:val="161513"/>
                <w:sz w:val="18"/>
              </w:rPr>
              <w:t>Topology</w:t>
            </w:r>
          </w:p>
        </w:tc>
      </w:tr>
      <w:tr>
        <w:trPr>
          <w:cantSplit w:val="true"/>
        </w:trPr>
        <w:tc>
          <w:tcPr>
            <w:tcW w:type="dxa" w:w="1080"/>
            <w:vAlign w:val="center"/>
            <w:tcMar>
              <w:top w:w="80" w:type="dxa"/>
              <w:start w:w="120" w:type="dxa"/>
              <w:bottom w:w="80" w:type="dxa"/>
              <w:end w:w="120" w:type="dxa"/>
            </w:tcMar>
            <w:shd w:fill="F7F9FA"/>
          </w:tcPr>
          <w:p>
            <w:r/>
            <w:r>
              <w:rPr>
                <w:rFonts w:ascii="Calibri" w:hAnsi="Calibri"/>
                <w:b w:val="0"/>
                <w:color w:val="161513"/>
                <w:sz w:val="18"/>
              </w:rPr>
              <w:t>5</w:t>
            </w:r>
          </w:p>
        </w:tc>
        <w:tc>
          <w:tcPr>
            <w:tcW w:type="dxa" w:w="2160"/>
            <w:vAlign w:val="center"/>
            <w:tcMar>
              <w:top w:w="80" w:type="dxa"/>
              <w:start w:w="120" w:type="dxa"/>
              <w:bottom w:w="80" w:type="dxa"/>
              <w:end w:w="120" w:type="dxa"/>
            </w:tcMar>
            <w:shd w:fill="F7F9FA"/>
          </w:tcPr>
          <w:p>
            <w:r/>
            <w:r>
              <w:rPr>
                <w:rFonts w:ascii="Calibri" w:hAnsi="Calibri"/>
                <w:b w:val="0"/>
                <w:color w:val="161513"/>
                <w:sz w:val="18"/>
              </w:rPr>
              <w:t>Read-only SQL workbench</w:t>
            </w:r>
          </w:p>
        </w:tc>
        <w:tc>
          <w:tcPr>
            <w:tcW w:type="dxa" w:w="4824"/>
            <w:vAlign w:val="center"/>
            <w:tcMar>
              <w:top w:w="80" w:type="dxa"/>
              <w:start w:w="120" w:type="dxa"/>
              <w:bottom w:w="80" w:type="dxa"/>
              <w:end w:w="120" w:type="dxa"/>
            </w:tcMar>
            <w:shd w:fill="F7F9FA"/>
          </w:tcPr>
          <w:p>
            <w:r/>
            <w:r>
              <w:rPr>
                <w:rFonts w:ascii="Calibri" w:hAnsi="Calibri"/>
                <w:b w:val="0"/>
                <w:color w:val="161513"/>
                <w:sz w:val="18"/>
              </w:rPr>
              <w:t>ExecuteSql discovery, SELECT/WITH validation, automatic FETCH FIRST cap and query library</w:t>
            </w:r>
          </w:p>
        </w:tc>
        <w:tc>
          <w:tcPr>
            <w:tcW w:type="dxa" w:w="1296"/>
            <w:vAlign w:val="center"/>
            <w:tcMar>
              <w:top w:w="80" w:type="dxa"/>
              <w:start w:w="120" w:type="dxa"/>
              <w:bottom w:w="80" w:type="dxa"/>
              <w:end w:w="120" w:type="dxa"/>
            </w:tcMar>
            <w:shd w:fill="F7F9FA"/>
          </w:tcPr>
          <w:p>
            <w:r/>
            <w:r>
              <w:rPr>
                <w:rFonts w:ascii="Calibri" w:hAnsi="Calibri"/>
                <w:b w:val="0"/>
                <w:color w:val="161513"/>
                <w:sz w:val="18"/>
              </w:rPr>
              <w:t>SQL</w:t>
            </w:r>
          </w:p>
        </w:tc>
      </w:tr>
      <w:tr>
        <w:trPr>
          <w:cantSplit w:val="true"/>
        </w:trPr>
        <w:tc>
          <w:tcPr>
            <w:tcW w:type="dxa" w:w="1080"/>
            <w:vAlign w:val="center"/>
            <w:tcMar>
              <w:top w:w="80" w:type="dxa"/>
              <w:start w:w="120" w:type="dxa"/>
              <w:bottom w:w="80" w:type="dxa"/>
              <w:end w:w="120" w:type="dxa"/>
            </w:tcMar>
          </w:tcPr>
          <w:p>
            <w:r/>
            <w:r>
              <w:rPr>
                <w:rFonts w:ascii="Calibri" w:hAnsi="Calibri"/>
                <w:b w:val="0"/>
                <w:color w:val="161513"/>
                <w:sz w:val="18"/>
              </w:rPr>
              <w:t>6</w:t>
            </w:r>
          </w:p>
        </w:tc>
        <w:tc>
          <w:tcPr>
            <w:tcW w:type="dxa" w:w="2160"/>
            <w:vAlign w:val="center"/>
            <w:tcMar>
              <w:top w:w="80" w:type="dxa"/>
              <w:start w:w="120" w:type="dxa"/>
              <w:bottom w:w="80" w:type="dxa"/>
              <w:end w:w="120" w:type="dxa"/>
            </w:tcMar>
          </w:tcPr>
          <w:p>
            <w:r/>
            <w:r>
              <w:rPr>
                <w:rFonts w:ascii="Calibri" w:hAnsi="Calibri"/>
                <w:b w:val="0"/>
                <w:color w:val="161513"/>
                <w:sz w:val="18"/>
              </w:rPr>
              <w:t>Incident investigation workspace</w:t>
            </w:r>
          </w:p>
        </w:tc>
        <w:tc>
          <w:tcPr>
            <w:tcW w:type="dxa" w:w="4824"/>
            <w:vAlign w:val="center"/>
            <w:tcMar>
              <w:top w:w="80" w:type="dxa"/>
              <w:start w:w="120" w:type="dxa"/>
              <w:bottom w:w="80" w:type="dxa"/>
              <w:end w:w="120" w:type="dxa"/>
            </w:tcMar>
          </w:tcPr>
          <w:p>
            <w:r/>
            <w:r>
              <w:rPr>
                <w:rFonts w:ascii="Calibri" w:hAnsi="Calibri"/>
                <w:b w:val="0"/>
                <w:color w:val="161513"/>
                <w:sz w:val="18"/>
              </w:rPr>
              <w:t>Severity/status, append-only timeline events, result correlation and resolution state</w:t>
            </w:r>
          </w:p>
        </w:tc>
        <w:tc>
          <w:tcPr>
            <w:tcW w:type="dxa" w:w="1296"/>
            <w:vAlign w:val="center"/>
            <w:tcMar>
              <w:top w:w="80" w:type="dxa"/>
              <w:start w:w="120" w:type="dxa"/>
              <w:bottom w:w="80" w:type="dxa"/>
              <w:end w:w="120" w:type="dxa"/>
            </w:tcMar>
          </w:tcPr>
          <w:p>
            <w:r/>
            <w:r>
              <w:rPr>
                <w:rFonts w:ascii="Calibri" w:hAnsi="Calibri"/>
                <w:b w:val="0"/>
                <w:color w:val="161513"/>
                <w:sz w:val="18"/>
              </w:rPr>
              <w:t>Incidents</w:t>
            </w:r>
          </w:p>
        </w:tc>
      </w:tr>
      <w:tr>
        <w:trPr>
          <w:cantSplit w:val="true"/>
        </w:trPr>
        <w:tc>
          <w:tcPr>
            <w:tcW w:type="dxa" w:w="1080"/>
            <w:vAlign w:val="center"/>
            <w:tcMar>
              <w:top w:w="80" w:type="dxa"/>
              <w:start w:w="120" w:type="dxa"/>
              <w:bottom w:w="80" w:type="dxa"/>
              <w:end w:w="120" w:type="dxa"/>
            </w:tcMar>
            <w:shd w:fill="F7F9FA"/>
          </w:tcPr>
          <w:p>
            <w:r/>
            <w:r>
              <w:rPr>
                <w:rFonts w:ascii="Calibri" w:hAnsi="Calibri"/>
                <w:b w:val="0"/>
                <w:color w:val="161513"/>
                <w:sz w:val="18"/>
              </w:rPr>
              <w:t>7</w:t>
            </w:r>
          </w:p>
        </w:tc>
        <w:tc>
          <w:tcPr>
            <w:tcW w:type="dxa" w:w="2160"/>
            <w:vAlign w:val="center"/>
            <w:tcMar>
              <w:top w:w="80" w:type="dxa"/>
              <w:start w:w="120" w:type="dxa"/>
              <w:bottom w:w="80" w:type="dxa"/>
              <w:end w:w="120" w:type="dxa"/>
            </w:tcMar>
            <w:shd w:fill="F7F9FA"/>
          </w:tcPr>
          <w:p>
            <w:r/>
            <w:r>
              <w:rPr>
                <w:rFonts w:ascii="Calibri" w:hAnsi="Calibri"/>
                <w:b w:val="0"/>
                <w:color w:val="161513"/>
                <w:sz w:val="18"/>
              </w:rPr>
              <w:t>Natural-language assistant</w:t>
            </w:r>
          </w:p>
        </w:tc>
        <w:tc>
          <w:tcPr>
            <w:tcW w:type="dxa" w:w="4824"/>
            <w:vAlign w:val="center"/>
            <w:tcMar>
              <w:top w:w="80" w:type="dxa"/>
              <w:start w:w="120" w:type="dxa"/>
              <w:bottom w:w="80" w:type="dxa"/>
              <w:end w:w="120" w:type="dxa"/>
            </w:tcMar>
            <w:shd w:fill="F7F9FA"/>
          </w:tcPr>
          <w:p>
            <w:r/>
            <w:r>
              <w:rPr>
                <w:rFonts w:ascii="Calibri" w:hAnsi="Calibri"/>
                <w:b w:val="0"/>
                <w:color w:val="161513"/>
                <w:sz w:val="18"/>
              </w:rPr>
              <w:t>Deterministic ranking and optional OCI AI proposal with explicit reviewed execution</w:t>
            </w:r>
          </w:p>
        </w:tc>
        <w:tc>
          <w:tcPr>
            <w:tcW w:type="dxa" w:w="1296"/>
            <w:vAlign w:val="center"/>
            <w:tcMar>
              <w:top w:w="80" w:type="dxa"/>
              <w:start w:w="120" w:type="dxa"/>
              <w:bottom w:w="80" w:type="dxa"/>
              <w:end w:w="120" w:type="dxa"/>
            </w:tcMar>
            <w:shd w:fill="F7F9FA"/>
          </w:tcPr>
          <w:p>
            <w:r/>
            <w:r>
              <w:rPr>
                <w:rFonts w:ascii="Calibri" w:hAnsi="Calibri"/>
                <w:b w:val="0"/>
                <w:color w:val="161513"/>
                <w:sz w:val="18"/>
              </w:rPr>
              <w:t>Assistant</w:t>
            </w:r>
          </w:p>
        </w:tc>
      </w:tr>
      <w:tr>
        <w:trPr>
          <w:cantSplit w:val="true"/>
        </w:trPr>
        <w:tc>
          <w:tcPr>
            <w:tcW w:type="dxa" w:w="1080"/>
            <w:vAlign w:val="center"/>
            <w:tcMar>
              <w:top w:w="80" w:type="dxa"/>
              <w:start w:w="120" w:type="dxa"/>
              <w:bottom w:w="80" w:type="dxa"/>
              <w:end w:w="120" w:type="dxa"/>
            </w:tcMar>
          </w:tcPr>
          <w:p>
            <w:r/>
            <w:r>
              <w:rPr>
                <w:rFonts w:ascii="Calibri" w:hAnsi="Calibri"/>
                <w:b w:val="0"/>
                <w:color w:val="161513"/>
                <w:sz w:val="18"/>
              </w:rPr>
              <w:t>8</w:t>
            </w:r>
          </w:p>
        </w:tc>
        <w:tc>
          <w:tcPr>
            <w:tcW w:type="dxa" w:w="2160"/>
            <w:vAlign w:val="center"/>
            <w:tcMar>
              <w:top w:w="80" w:type="dxa"/>
              <w:start w:w="120" w:type="dxa"/>
              <w:bottom w:w="80" w:type="dxa"/>
              <w:end w:w="120" w:type="dxa"/>
            </w:tcMar>
          </w:tcPr>
          <w:p>
            <w:r/>
            <w:r>
              <w:rPr>
                <w:rFonts w:ascii="Calibri" w:hAnsi="Calibri"/>
                <w:b w:val="0"/>
                <w:color w:val="161513"/>
                <w:sz w:val="18"/>
              </w:rPr>
              <w:t>Tool-policy engine</w:t>
            </w:r>
          </w:p>
        </w:tc>
        <w:tc>
          <w:tcPr>
            <w:tcW w:type="dxa" w:w="4824"/>
            <w:vAlign w:val="center"/>
            <w:tcMar>
              <w:top w:w="80" w:type="dxa"/>
              <w:start w:w="120" w:type="dxa"/>
              <w:bottom w:w="80" w:type="dxa"/>
              <w:end w:w="120" w:type="dxa"/>
            </w:tcMar>
          </w:tcPr>
          <w:p>
            <w:r/>
            <w:r>
              <w:rPr>
                <w:rFonts w:ascii="Calibri" w:hAnsi="Calibri"/>
                <w:b w:val="0"/>
                <w:color w:val="161513"/>
                <w:sz w:val="18"/>
              </w:rPr>
              <w:t>JSON role/tool/target patterns, deny precedence, safe fallback and decision explanation</w:t>
            </w:r>
          </w:p>
        </w:tc>
        <w:tc>
          <w:tcPr>
            <w:tcW w:type="dxa" w:w="1296"/>
            <w:vAlign w:val="center"/>
            <w:tcMar>
              <w:top w:w="80" w:type="dxa"/>
              <w:start w:w="120" w:type="dxa"/>
              <w:bottom w:w="80" w:type="dxa"/>
              <w:end w:w="120" w:type="dxa"/>
            </w:tcMar>
          </w:tcPr>
          <w:p>
            <w:r/>
            <w:r>
              <w:rPr>
                <w:rFonts w:ascii="Calibri" w:hAnsi="Calibri"/>
                <w:b w:val="0"/>
                <w:color w:val="161513"/>
                <w:sz w:val="18"/>
              </w:rPr>
              <w:t>Governance</w:t>
            </w:r>
          </w:p>
        </w:tc>
      </w:tr>
      <w:tr>
        <w:trPr>
          <w:cantSplit w:val="true"/>
        </w:trPr>
        <w:tc>
          <w:tcPr>
            <w:tcW w:type="dxa" w:w="1080"/>
            <w:vAlign w:val="center"/>
            <w:tcMar>
              <w:top w:w="80" w:type="dxa"/>
              <w:start w:w="120" w:type="dxa"/>
              <w:bottom w:w="80" w:type="dxa"/>
              <w:end w:w="120" w:type="dxa"/>
            </w:tcMar>
            <w:shd w:fill="F7F9FA"/>
          </w:tcPr>
          <w:p>
            <w:r/>
            <w:r>
              <w:rPr>
                <w:rFonts w:ascii="Calibri" w:hAnsi="Calibri"/>
                <w:b w:val="0"/>
                <w:color w:val="161513"/>
                <w:sz w:val="18"/>
              </w:rPr>
              <w:t>9</w:t>
            </w:r>
          </w:p>
        </w:tc>
        <w:tc>
          <w:tcPr>
            <w:tcW w:type="dxa" w:w="2160"/>
            <w:vAlign w:val="center"/>
            <w:tcMar>
              <w:top w:w="80" w:type="dxa"/>
              <w:start w:w="120" w:type="dxa"/>
              <w:bottom w:w="80" w:type="dxa"/>
              <w:end w:w="120" w:type="dxa"/>
            </w:tcMar>
            <w:shd w:fill="F7F9FA"/>
          </w:tcPr>
          <w:p>
            <w:r/>
            <w:r>
              <w:rPr>
                <w:rFonts w:ascii="Calibri" w:hAnsi="Calibri"/>
                <w:b w:val="0"/>
                <w:color w:val="161513"/>
                <w:sz w:val="18"/>
              </w:rPr>
              <w:t>Approval workflow</w:t>
            </w:r>
          </w:p>
        </w:tc>
        <w:tc>
          <w:tcPr>
            <w:tcW w:type="dxa" w:w="4824"/>
            <w:vAlign w:val="center"/>
            <w:tcMar>
              <w:top w:w="80" w:type="dxa"/>
              <w:start w:w="120" w:type="dxa"/>
              <w:bottom w:w="80" w:type="dxa"/>
              <w:end w:w="120" w:type="dxa"/>
            </w:tcMar>
            <w:shd w:fill="F7F9FA"/>
          </w:tcPr>
          <w:p>
            <w:r/>
            <w:r>
              <w:rPr>
                <w:rFonts w:ascii="Calibri" w:hAnsi="Calibri"/>
                <w:b w:val="0"/>
                <w:color w:val="161513"/>
                <w:sz w:val="18"/>
              </w:rPr>
              <w:t>Request hash, expiry, distinct approver, decision note and execution-time approval lookup</w:t>
            </w:r>
          </w:p>
        </w:tc>
        <w:tc>
          <w:tcPr>
            <w:tcW w:type="dxa" w:w="1296"/>
            <w:vAlign w:val="center"/>
            <w:tcMar>
              <w:top w:w="80" w:type="dxa"/>
              <w:start w:w="120" w:type="dxa"/>
              <w:bottom w:w="80" w:type="dxa"/>
              <w:end w:w="120" w:type="dxa"/>
            </w:tcMar>
            <w:shd w:fill="F7F9FA"/>
          </w:tcPr>
          <w:p>
            <w:r/>
            <w:r>
              <w:rPr>
                <w:rFonts w:ascii="Calibri" w:hAnsi="Calibri"/>
                <w:b w:val="0"/>
                <w:color w:val="161513"/>
                <w:sz w:val="18"/>
              </w:rPr>
              <w:t>Governance</w:t>
            </w:r>
          </w:p>
        </w:tc>
      </w:tr>
      <w:tr>
        <w:trPr>
          <w:cantSplit w:val="true"/>
        </w:trPr>
        <w:tc>
          <w:tcPr>
            <w:tcW w:type="dxa" w:w="1080"/>
            <w:vAlign w:val="center"/>
            <w:tcMar>
              <w:top w:w="80" w:type="dxa"/>
              <w:start w:w="120" w:type="dxa"/>
              <w:bottom w:w="80" w:type="dxa"/>
              <w:end w:w="120" w:type="dxa"/>
            </w:tcMar>
          </w:tcPr>
          <w:p>
            <w:r/>
            <w:r>
              <w:rPr>
                <w:rFonts w:ascii="Calibri" w:hAnsi="Calibri"/>
                <w:b w:val="0"/>
                <w:color w:val="161513"/>
                <w:sz w:val="18"/>
              </w:rPr>
              <w:t>10</w:t>
            </w:r>
          </w:p>
        </w:tc>
        <w:tc>
          <w:tcPr>
            <w:tcW w:type="dxa" w:w="2160"/>
            <w:vAlign w:val="center"/>
            <w:tcMar>
              <w:top w:w="80" w:type="dxa"/>
              <w:start w:w="120" w:type="dxa"/>
              <w:bottom w:w="80" w:type="dxa"/>
              <w:end w:w="120" w:type="dxa"/>
            </w:tcMar>
          </w:tcPr>
          <w:p>
            <w:r/>
            <w:r>
              <w:rPr>
                <w:rFonts w:ascii="Calibri" w:hAnsi="Calibri"/>
                <w:b w:val="0"/>
                <w:color w:val="161513"/>
                <w:sz w:val="18"/>
              </w:rPr>
              <w:t>Multi-OEM support</w:t>
            </w:r>
          </w:p>
        </w:tc>
        <w:tc>
          <w:tcPr>
            <w:tcW w:type="dxa" w:w="4824"/>
            <w:vAlign w:val="center"/>
            <w:tcMar>
              <w:top w:w="80" w:type="dxa"/>
              <w:start w:w="120" w:type="dxa"/>
              <w:bottom w:w="80" w:type="dxa"/>
              <w:end w:w="120" w:type="dxa"/>
            </w:tcMar>
          </w:tcPr>
          <w:p>
            <w:r/>
            <w:r>
              <w:rPr>
                <w:rFonts w:ascii="Calibri" w:hAnsi="Calibri"/>
                <w:b w:val="0"/>
                <w:color w:val="161513"/>
                <w:sz w:val="18"/>
              </w:rPr>
              <w:t>Simultaneous in-memory profile clients and cross-server capability matrix</w:t>
            </w:r>
          </w:p>
        </w:tc>
        <w:tc>
          <w:tcPr>
            <w:tcW w:type="dxa" w:w="1296"/>
            <w:vAlign w:val="center"/>
            <w:tcMar>
              <w:top w:w="80" w:type="dxa"/>
              <w:start w:w="120" w:type="dxa"/>
              <w:bottom w:w="80" w:type="dxa"/>
              <w:end w:w="120" w:type="dxa"/>
            </w:tcMar>
          </w:tcPr>
          <w:p>
            <w:r/>
            <w:r>
              <w:rPr>
                <w:rFonts w:ascii="Calibri" w:hAnsi="Calibri"/>
                <w:b w:val="0"/>
                <w:color w:val="161513"/>
                <w:sz w:val="18"/>
              </w:rPr>
              <w:t>Workspace / Multi-OEM</w:t>
            </w:r>
          </w:p>
        </w:tc>
      </w:tr>
      <w:tr>
        <w:trPr>
          <w:cantSplit w:val="true"/>
        </w:trPr>
        <w:tc>
          <w:tcPr>
            <w:tcW w:type="dxa" w:w="1080"/>
            <w:vAlign w:val="center"/>
            <w:tcMar>
              <w:top w:w="80" w:type="dxa"/>
              <w:start w:w="120" w:type="dxa"/>
              <w:bottom w:w="80" w:type="dxa"/>
              <w:end w:w="120" w:type="dxa"/>
            </w:tcMar>
            <w:shd w:fill="F7F9FA"/>
          </w:tcPr>
          <w:p>
            <w:r/>
            <w:r>
              <w:rPr>
                <w:rFonts w:ascii="Calibri" w:hAnsi="Calibri"/>
                <w:b w:val="0"/>
                <w:color w:val="161513"/>
                <w:sz w:val="18"/>
              </w:rPr>
              <w:t>11</w:t>
            </w:r>
          </w:p>
        </w:tc>
        <w:tc>
          <w:tcPr>
            <w:tcW w:type="dxa" w:w="2160"/>
            <w:vAlign w:val="center"/>
            <w:tcMar>
              <w:top w:w="80" w:type="dxa"/>
              <w:start w:w="120" w:type="dxa"/>
              <w:bottom w:w="80" w:type="dxa"/>
              <w:end w:w="120" w:type="dxa"/>
            </w:tcMar>
            <w:shd w:fill="F7F9FA"/>
          </w:tcPr>
          <w:p>
            <w:r/>
            <w:r>
              <w:rPr>
                <w:rFonts w:ascii="Calibri" w:hAnsi="Calibri"/>
                <w:b w:val="0"/>
                <w:color w:val="161513"/>
                <w:sz w:val="18"/>
              </w:rPr>
              <w:t>Background job manager</w:t>
            </w:r>
          </w:p>
        </w:tc>
        <w:tc>
          <w:tcPr>
            <w:tcW w:type="dxa" w:w="4824"/>
            <w:vAlign w:val="center"/>
            <w:tcMar>
              <w:top w:w="80" w:type="dxa"/>
              <w:start w:w="120" w:type="dxa"/>
              <w:bottom w:w="80" w:type="dxa"/>
              <w:end w:w="120" w:type="dxa"/>
            </w:tcMar>
            <w:shd w:fill="F7F9FA"/>
          </w:tcPr>
          <w:p>
            <w:r/>
            <w:r>
              <w:rPr>
                <w:rFonts w:ascii="Calibri" w:hAnsi="Calibri"/>
                <w:b w:val="0"/>
                <w:color w:val="161513"/>
                <w:sz w:val="18"/>
              </w:rPr>
              <w:t>Bounded worker pool, durable queued/running/success/failure state and report download</w:t>
            </w:r>
          </w:p>
        </w:tc>
        <w:tc>
          <w:tcPr>
            <w:tcW w:type="dxa" w:w="1296"/>
            <w:vAlign w:val="center"/>
            <w:tcMar>
              <w:top w:w="80" w:type="dxa"/>
              <w:start w:w="120" w:type="dxa"/>
              <w:bottom w:w="80" w:type="dxa"/>
              <w:end w:w="120" w:type="dxa"/>
            </w:tcMar>
            <w:shd w:fill="F7F9FA"/>
          </w:tcPr>
          <w:p>
            <w:r/>
            <w:r>
              <w:rPr>
                <w:rFonts w:ascii="Calibri" w:hAnsi="Calibri"/>
                <w:b w:val="0"/>
                <w:color w:val="161513"/>
                <w:sz w:val="18"/>
              </w:rPr>
              <w:t>Automation / Jobs</w:t>
            </w:r>
          </w:p>
        </w:tc>
      </w:tr>
      <w:tr>
        <w:trPr>
          <w:cantSplit w:val="true"/>
        </w:trPr>
        <w:tc>
          <w:tcPr>
            <w:tcW w:type="dxa" w:w="1080"/>
            <w:vAlign w:val="center"/>
            <w:tcMar>
              <w:top w:w="80" w:type="dxa"/>
              <w:start w:w="120" w:type="dxa"/>
              <w:bottom w:w="80" w:type="dxa"/>
              <w:end w:w="120" w:type="dxa"/>
            </w:tcMar>
          </w:tcPr>
          <w:p>
            <w:r/>
            <w:r>
              <w:rPr>
                <w:rFonts w:ascii="Calibri" w:hAnsi="Calibri"/>
                <w:b w:val="0"/>
                <w:color w:val="161513"/>
                <w:sz w:val="18"/>
              </w:rPr>
              <w:t>12</w:t>
            </w:r>
          </w:p>
        </w:tc>
        <w:tc>
          <w:tcPr>
            <w:tcW w:type="dxa" w:w="2160"/>
            <w:vAlign w:val="center"/>
            <w:tcMar>
              <w:top w:w="80" w:type="dxa"/>
              <w:start w:w="120" w:type="dxa"/>
              <w:bottom w:w="80" w:type="dxa"/>
              <w:end w:w="120" w:type="dxa"/>
            </w:tcMar>
          </w:tcPr>
          <w:p>
            <w:r/>
            <w:r>
              <w:rPr>
                <w:rFonts w:ascii="Calibri" w:hAnsi="Calibri"/>
                <w:b w:val="0"/>
                <w:color w:val="161513"/>
                <w:sz w:val="18"/>
              </w:rPr>
              <w:t>Alerting and scheduled reports</w:t>
            </w:r>
          </w:p>
        </w:tc>
        <w:tc>
          <w:tcPr>
            <w:tcW w:type="dxa" w:w="4824"/>
            <w:vAlign w:val="center"/>
            <w:tcMar>
              <w:top w:w="80" w:type="dxa"/>
              <w:start w:w="120" w:type="dxa"/>
              <w:bottom w:w="80" w:type="dxa"/>
              <w:end w:w="120" w:type="dxa"/>
            </w:tcMar>
          </w:tcPr>
          <w:p>
            <w:r/>
            <w:r>
              <w:rPr>
                <w:rFonts w:ascii="Calibri" w:hAnsi="Calibri"/>
                <w:b w:val="0"/>
                <w:color w:val="161513"/>
                <w:sz w:val="18"/>
              </w:rPr>
              <w:t>Persistent intervals, due-job queuing, downloadable JSON reports and local threshold alerts</w:t>
            </w:r>
          </w:p>
        </w:tc>
        <w:tc>
          <w:tcPr>
            <w:tcW w:type="dxa" w:w="1296"/>
            <w:vAlign w:val="center"/>
            <w:tcMar>
              <w:top w:w="80" w:type="dxa"/>
              <w:start w:w="120" w:type="dxa"/>
              <w:bottom w:w="80" w:type="dxa"/>
              <w:end w:w="120" w:type="dxa"/>
            </w:tcMar>
          </w:tcPr>
          <w:p>
            <w:r/>
            <w:r>
              <w:rPr>
                <w:rFonts w:ascii="Calibri" w:hAnsi="Calibri"/>
                <w:b w:val="0"/>
                <w:color w:val="161513"/>
                <w:sz w:val="18"/>
              </w:rPr>
              <w:t>Automation</w:t>
            </w:r>
          </w:p>
        </w:tc>
      </w:tr>
      <w:tr>
        <w:trPr>
          <w:cantSplit w:val="true"/>
        </w:trPr>
        <w:tc>
          <w:tcPr>
            <w:tcW w:type="dxa" w:w="1080"/>
            <w:vAlign w:val="center"/>
            <w:tcMar>
              <w:top w:w="80" w:type="dxa"/>
              <w:start w:w="120" w:type="dxa"/>
              <w:bottom w:w="80" w:type="dxa"/>
              <w:end w:w="120" w:type="dxa"/>
            </w:tcMar>
            <w:shd w:fill="F7F9FA"/>
          </w:tcPr>
          <w:p>
            <w:r/>
            <w:r>
              <w:rPr>
                <w:rFonts w:ascii="Calibri" w:hAnsi="Calibri"/>
                <w:b w:val="0"/>
                <w:color w:val="161513"/>
                <w:sz w:val="18"/>
              </w:rPr>
              <w:t>13</w:t>
            </w:r>
          </w:p>
        </w:tc>
        <w:tc>
          <w:tcPr>
            <w:tcW w:type="dxa" w:w="2160"/>
            <w:vAlign w:val="center"/>
            <w:tcMar>
              <w:top w:w="80" w:type="dxa"/>
              <w:start w:w="120" w:type="dxa"/>
              <w:bottom w:w="80" w:type="dxa"/>
              <w:end w:w="120" w:type="dxa"/>
            </w:tcMar>
            <w:shd w:fill="F7F9FA"/>
          </w:tcPr>
          <w:p>
            <w:r/>
            <w:r>
              <w:rPr>
                <w:rFonts w:ascii="Calibri" w:hAnsi="Calibri"/>
                <w:b w:val="0"/>
                <w:color w:val="161513"/>
                <w:sz w:val="18"/>
              </w:rPr>
              <w:t>Usage and cost accounting</w:t>
            </w:r>
          </w:p>
        </w:tc>
        <w:tc>
          <w:tcPr>
            <w:tcW w:type="dxa" w:w="4824"/>
            <w:vAlign w:val="center"/>
            <w:tcMar>
              <w:top w:w="80" w:type="dxa"/>
              <w:start w:w="120" w:type="dxa"/>
              <w:bottom w:w="80" w:type="dxa"/>
              <w:end w:w="120" w:type="dxa"/>
            </w:tcMar>
            <w:shd w:fill="F7F9FA"/>
          </w:tcPr>
          <w:p>
            <w:r/>
            <w:r>
              <w:rPr>
                <w:rFonts w:ascii="Calibri" w:hAnsi="Calibri"/>
                <w:b w:val="0"/>
                <w:color w:val="161513"/>
                <w:sz w:val="18"/>
              </w:rPr>
              <w:t>MCP/AI event ledger, token counts, configurable price estimates, latency and CSV export</w:t>
            </w:r>
          </w:p>
        </w:tc>
        <w:tc>
          <w:tcPr>
            <w:tcW w:type="dxa" w:w="1296"/>
            <w:vAlign w:val="center"/>
            <w:tcMar>
              <w:top w:w="80" w:type="dxa"/>
              <w:start w:w="120" w:type="dxa"/>
              <w:bottom w:w="80" w:type="dxa"/>
              <w:end w:w="120" w:type="dxa"/>
            </w:tcMar>
            <w:shd w:fill="F7F9FA"/>
          </w:tcPr>
          <w:p>
            <w:r/>
            <w:r>
              <w:rPr>
                <w:rFonts w:ascii="Calibri" w:hAnsi="Calibri"/>
                <w:b w:val="0"/>
                <w:color w:val="161513"/>
                <w:sz w:val="18"/>
              </w:rPr>
              <w:t>Usage &amp; cost</w:t>
            </w:r>
          </w:p>
        </w:tc>
      </w:tr>
    </w:tbl>
    <w:p/>
    <w:p>
      <w:pPr>
        <w:pStyle w:val="Heading2"/>
        <w:keepNext/>
      </w:pPr>
      <w:r>
        <w:t>5.1 Priority 2 — Live operations dashboard</w:t>
      </w:r>
    </w:p>
    <w:p>
      <w:r>
        <w:t>Local Linux health uses CPU, memory and disk measurements to calculate an indicative score. A Streamlit fragment refreshes every five seconds. Discovered host/database candidates can be called, charted and saved as a dashboard snapshot.</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The OEM call follows the standard policy and safety path; no hidden polling occurs without the tab being rendered.</w:t>
            </w:r>
          </w:p>
        </w:tc>
        <w:trPr>
          <w:tblHeader/>
        </w:trPr>
      </w:tr>
    </w:tbl>
    <w:p/>
    <w:p>
      <w:pPr>
        <w:pStyle w:val="Heading2"/>
        <w:keepNext/>
      </w:pPr>
      <w:r>
        <w:t>5.2 Priority 3 — Saved dashboards and runbooks</w:t>
      </w:r>
    </w:p>
    <w:p>
      <w:r>
        <w:t>Artifacts use kind/name uniqueness and JSON payloads. Dashboards preserve the tool, arguments and redacted result snapshot. Runbooks preserve purpose and ordered operator steps.</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Artifacts are local working aids, not authoritative OEM records. Secret-key fields are redacted before serialization.</w:t>
            </w:r>
          </w:p>
        </w:tc>
        <w:trPr>
          <w:tblHeader/>
        </w:trPr>
      </w:tr>
    </w:tbl>
    <w:p/>
    <w:p>
      <w:pPr>
        <w:pStyle w:val="Heading2"/>
        <w:keepNext/>
      </w:pPr>
      <w:r>
        <w:t>5.3 Priority 4 — OEM topology explorer</w:t>
      </w:r>
    </w:p>
    <w:p>
      <w:r>
        <w:t>The explorer ranks live association tools, executes a reviewed request and infers target nodes and host/database or parent/child edges from common field names.</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Inference is best effort. Operators must compare the graph with OEM target topology before change decisions.</w:t>
            </w:r>
          </w:p>
        </w:tc>
        <w:trPr>
          <w:tblHeader/>
        </w:trPr>
      </w:tr>
    </w:tbl>
    <w:p/>
    <w:p>
      <w:pPr>
        <w:pStyle w:val="Heading2"/>
        <w:keepNext/>
      </w:pPr>
      <w:r>
        <w:t>5.4 Priority 5 — Read-only SQL workbench</w:t>
      </w:r>
    </w:p>
    <w:p>
      <w:r>
        <w:t>The workbench uses only the discovered ExecuteSql operation. It accepts a single SELECT or WITH statement and appends FETCH FIRST n ROWS ONLY when no row bound is present.</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DDL, DML, PL/SQL, stacked statements and mutation keywords are rejected by default.</w:t>
            </w:r>
          </w:p>
        </w:tc>
        <w:trPr>
          <w:tblHeader/>
        </w:trPr>
      </w:tr>
    </w:tbl>
    <w:p/>
    <w:p>
      <w:pPr>
        <w:pStyle w:val="Heading2"/>
        <w:keepNext/>
      </w:pPr>
      <w:r>
        <w:t>5.5 Priority 6 — Incident workspace</w:t>
      </w:r>
    </w:p>
    <w:p>
      <w:r>
        <w:t>Incidents contain title, severity, status, summary and a timestamped actor/event/note timeline. The last result can be filtered by investigation keywords and referenced in notes.</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Local incidents support triage; OEM remains the authoritative incident and event store.</w:t>
            </w:r>
          </w:p>
        </w:tc>
        <w:trPr>
          <w:tblHeader/>
        </w:trPr>
      </w:tr>
    </w:tbl>
    <w:p/>
    <w:p>
      <w:pPr>
        <w:pStyle w:val="Heading2"/>
        <w:keepNext/>
      </w:pPr>
      <w:r>
        <w:t>5.6 Priority 7 — Natural-language assistant</w:t>
      </w:r>
    </w:p>
    <w:p>
      <w:r>
        <w:t>The local planner ranks only discovered tools. The optional OCI AI planner sends a compact discovered schema list and requires strict JSON containing one known tool and arguments.</w:t>
      </w:r>
    </w:p>
    <w:tbl>
      <w:tblPr>
        <w:tblW w:type="auto" w:w="0"/>
        <w:jc w:val="center"/>
        <w:tblLook w:firstColumn="1" w:firstRow="1" w:lastColumn="0" w:lastRow="0" w:noHBand="0" w:noVBand="1" w:val="04A0"/>
      </w:tblPr>
      <w:tblGrid>
        <w:gridCol w:w="9792"/>
      </w:tblGrid>
      <w:tr>
        <w:tc>
          <w:tcPr>
            <w:tcW w:type="dxa" w:w="9792"/>
            <w:shd w:fill="FFF3EE"/>
            <w:tcMar>
              <w:top w:w="140" w:type="dxa"/>
              <w:start w:w="180" w:type="dxa"/>
              <w:bottom w:w="140" w:type="dxa"/>
              <w:end w:w="180" w:type="dxa"/>
            </w:tcMar>
          </w:tcPr>
          <w:p>
            <w:r>
              <w:rPr>
                <w:b/>
                <w:color w:val="174A5B"/>
              </w:rPr>
              <w:t xml:space="preserve">Control. </w:t>
            </w:r>
            <w:r>
              <w:t>The assistant does not execute automatically. Proposals pass JSON Schema, policy, approval and OEM authorization at execution.</w:t>
            </w:r>
          </w:p>
        </w:tc>
        <w:trPr>
          <w:tblHeader/>
        </w:trPr>
      </w:tr>
    </w:tbl>
    <w:p/>
    <w:p>
      <w:pPr>
        <w:pStyle w:val="Heading2"/>
        <w:keepNext/>
      </w:pPr>
      <w:r>
        <w:t>5.7 Priority 8 — Tool-policy engine</w:t>
      </w:r>
    </w:p>
    <w:p>
      <w:r>
        <w:t>Ordered JSON rules match operator role, tool glob and extracted target identifiers. Any matching deny wins; an allow can require approval.</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With no explicit match, recognized read-only tools and validated ExecuteSql are allowed; other tools are denied.</w:t>
            </w:r>
          </w:p>
        </w:tc>
        <w:trPr>
          <w:tblHeader/>
        </w:trPr>
      </w:tr>
    </w:tbl>
    <w:p/>
    <w:p>
      <w:pPr>
        <w:pStyle w:val="Heading2"/>
        <w:keepNext/>
      </w:pPr>
      <w:r>
        <w:t>5.8 Priority 9 — Two-person approval</w:t>
      </w:r>
    </w:p>
    <w:p>
      <w:r>
        <w:t>The request hash binds the sanitized endpoint, exact tool and canonical arguments. Secret-valued fields contribute one-way SHA-256 fingerprints while persisted argument values remain redacted. Approvals expire and cannot be decided by the same case-insensitive operator identity.</w:t>
      </w:r>
    </w:p>
    <w:tbl>
      <w:tblPr>
        <w:tblW w:type="auto" w:w="0"/>
        <w:jc w:val="center"/>
        <w:tblLook w:firstColumn="1" w:firstRow="1" w:lastColumn="0" w:lastRow="0" w:noHBand="0" w:noVBand="1" w:val="04A0"/>
      </w:tblPr>
      <w:tblGrid>
        <w:gridCol w:w="9792"/>
      </w:tblGrid>
      <w:tr>
        <w:tc>
          <w:tcPr>
            <w:tcW w:type="dxa" w:w="9792"/>
            <w:shd w:fill="FFF3EE"/>
            <w:tcMar>
              <w:top w:w="140" w:type="dxa"/>
              <w:start w:w="180" w:type="dxa"/>
              <w:bottom w:w="140" w:type="dxa"/>
              <w:end w:w="180" w:type="dxa"/>
            </w:tcMar>
          </w:tcPr>
          <w:p>
            <w:r>
              <w:rPr>
                <w:b/>
                <w:color w:val="174A5B"/>
              </w:rPr>
              <w:t xml:space="preserve">Control. </w:t>
            </w:r>
            <w:r>
              <w:t>This control is procedural until priority 1 supplies cryptographically authenticated operator identities.</w:t>
            </w:r>
          </w:p>
        </w:tc>
        <w:trPr>
          <w:tblHeader/>
        </w:trPr>
      </w:tr>
    </w:tbl>
    <w:p/>
    <w:p>
      <w:pPr>
        <w:pStyle w:val="Heading2"/>
        <w:keepNext/>
      </w:pPr>
      <w:r>
        <w:t>5.9 Priority 10 — Multi-OEM fleet</w:t>
      </w:r>
    </w:p>
    <w:p>
      <w:r>
        <w:t>Saved non-secret profiles can be connected simultaneously with passwords held only in session memory. Discovery results form a cross-OEM tool availability matrix.</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Connections are process-local and must be recreated after restart. Passwords are never written to the profile store.</w:t>
            </w:r>
          </w:p>
        </w:tc>
        <w:trPr>
          <w:tblHeader/>
        </w:trPr>
      </w:tr>
    </w:tbl>
    <w:p/>
    <w:p>
      <w:pPr>
        <w:pStyle w:val="Heading2"/>
        <w:keepNext/>
      </w:pPr>
      <w:r>
        <w:t>5.10 Priority 11 — Background jobs</w:t>
      </w:r>
    </w:p>
    <w:p>
      <w:r>
        <w:t>A bounded executor records queued, running and terminal state. Results are redacted and capped; completed report JSON can be downloaded.</w:t>
      </w:r>
    </w:p>
    <w:tbl>
      <w:tblPr>
        <w:tblW w:type="auto" w:w="0"/>
        <w:jc w:val="center"/>
        <w:tblLook w:firstColumn="1" w:firstRow="1" w:lastColumn="0" w:lastRow="0" w:noHBand="0" w:noVBand="1" w:val="04A0"/>
      </w:tblPr>
      <w:tblGrid>
        <w:gridCol w:w="9792"/>
      </w:tblGrid>
      <w:tr>
        <w:tc>
          <w:tcPr>
            <w:tcW w:type="dxa" w:w="9792"/>
            <w:shd w:fill="FFF3EE"/>
            <w:tcMar>
              <w:top w:w="140" w:type="dxa"/>
              <w:start w:w="180" w:type="dxa"/>
              <w:bottom w:w="140" w:type="dxa"/>
              <w:end w:w="180" w:type="dxa"/>
            </w:tcMar>
          </w:tcPr>
          <w:p>
            <w:r>
              <w:rPr>
                <w:b/>
                <w:color w:val="174A5B"/>
              </w:rPr>
              <w:t xml:space="preserve">Control. </w:t>
            </w:r>
            <w:r>
              <w:t>The manager is not a distributed queue. After process loss, in-flight records require operator reconciliation.</w:t>
            </w:r>
          </w:p>
        </w:tc>
        <w:trPr>
          <w:tblHeader/>
        </w:trPr>
      </w:tr>
    </w:tbl>
    <w:p/>
    <w:p>
      <w:pPr>
        <w:pStyle w:val="Heading2"/>
        <w:keepNext/>
      </w:pPr>
      <w:r>
        <w:t>5.11 Priority 12 — Schedules, reports and alerts</w:t>
      </w:r>
    </w:p>
    <w:p>
      <w:r>
        <w:t>Schedules persist profile, read-only tool, arguments, interval and next run. Due schedules queue reports only while an authenticated active session exists. Local health rules create alert records.</w:t>
      </w:r>
    </w:p>
    <w:tbl>
      <w:tblPr>
        <w:tblW w:type="auto" w:w="0"/>
        <w:jc w:val="center"/>
        <w:tblLook w:firstColumn="1" w:firstRow="1" w:lastColumn="0" w:lastRow="0" w:noHBand="0" w:noVBand="1" w:val="04A0"/>
      </w:tblPr>
      <w:tblGrid>
        <w:gridCol w:w="9792"/>
      </w:tblGrid>
      <w:tr>
        <w:tc>
          <w:tcPr>
            <w:tcW w:type="dxa" w:w="9792"/>
            <w:shd w:fill="FFF3EE"/>
            <w:tcMar>
              <w:top w:w="140" w:type="dxa"/>
              <w:start w:w="180" w:type="dxa"/>
              <w:bottom w:w="140" w:type="dxa"/>
              <w:end w:w="180" w:type="dxa"/>
            </w:tcMar>
          </w:tcPr>
          <w:p>
            <w:r>
              <w:rPr>
                <w:b/>
                <w:color w:val="174A5B"/>
              </w:rPr>
              <w:t xml:space="preserve">Control. </w:t>
            </w:r>
            <w:r>
              <w:t>External notification delivery is deliberately delegated to OCI Notifications or an approved enterprise channel.</w:t>
            </w:r>
          </w:p>
        </w:tc>
        <w:trPr>
          <w:tblHeader/>
        </w:trPr>
      </w:tr>
    </w:tbl>
    <w:p/>
    <w:p>
      <w:pPr>
        <w:pStyle w:val="Heading2"/>
        <w:keepNext/>
      </w:pPr>
      <w:r>
        <w:t>5.12 Priority 13 — Usage and cost</w:t>
      </w:r>
    </w:p>
    <w:p>
      <w:r>
        <w:t>Every MCP operation records provider, operation, latency, status and zero service cost. AI planning records model token usage and computes a configured price estimate.</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Control. </w:t>
            </w:r>
            <w:r>
              <w:t>Estimates are not invoices. OCI Cost Analysis and service billing remain authoritative.</w:t>
            </w:r>
          </w:p>
        </w:tc>
        <w:trPr>
          <w:tblHeader/>
        </w:trPr>
      </w:tr>
    </w:tbl>
    <w:p/>
    <w:p>
      <w:pPr>
        <w:pStyle w:val="Heading1"/>
        <w:keepNext/>
      </w:pPr>
      <w:r>
        <w:t>6. Data design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016"/>
            <w:vAlign w:val="center"/>
            <w:tcMar>
              <w:top w:w="80" w:type="dxa"/>
              <w:start w:w="120" w:type="dxa"/>
              <w:bottom w:w="80" w:type="dxa"/>
              <w:end w:w="120" w:type="dxa"/>
            </w:tcMar>
            <w:shd w:fill="E8EEF5"/>
          </w:tcPr>
          <w:p>
            <w:r>
              <w:rPr>
                <w:b/>
                <w:color w:val="174A5B"/>
              </w:rPr>
            </w:r>
            <w:r>
              <w:rPr>
                <w:rFonts w:ascii="Calibri" w:hAnsi="Calibri"/>
                <w:b/>
                <w:color w:val="174A5B"/>
                <w:sz w:val="18"/>
              </w:rPr>
              <w:t>Store/table</w:t>
            </w:r>
          </w:p>
        </w:tc>
        <w:tc>
          <w:tcPr>
            <w:tcW w:type="dxa" w:w="4464"/>
            <w:vAlign w:val="center"/>
            <w:tcMar>
              <w:top w:w="80" w:type="dxa"/>
              <w:start w:w="120" w:type="dxa"/>
              <w:bottom w:w="80" w:type="dxa"/>
              <w:end w:w="120" w:type="dxa"/>
            </w:tcMar>
            <w:shd w:fill="E8EEF5"/>
          </w:tcPr>
          <w:p>
            <w:r>
              <w:rPr>
                <w:b/>
                <w:color w:val="174A5B"/>
              </w:rPr>
            </w:r>
            <w:r>
              <w:rPr>
                <w:rFonts w:ascii="Calibri" w:hAnsi="Calibri"/>
                <w:b/>
                <w:color w:val="174A5B"/>
                <w:sz w:val="18"/>
              </w:rPr>
              <w:t>Key fields</w:t>
            </w:r>
          </w:p>
        </w:tc>
        <w:tc>
          <w:tcPr>
            <w:tcW w:type="dxa" w:w="2736"/>
            <w:vAlign w:val="center"/>
            <w:tcMar>
              <w:top w:w="80" w:type="dxa"/>
              <w:start w:w="120" w:type="dxa"/>
              <w:bottom w:w="80" w:type="dxa"/>
              <w:end w:w="120" w:type="dxa"/>
            </w:tcMar>
            <w:shd w:fill="E8EEF5"/>
          </w:tcPr>
          <w:p>
            <w:r>
              <w:rPr>
                <w:b/>
                <w:color w:val="174A5B"/>
              </w:rPr>
            </w:r>
            <w:r>
              <w:rPr>
                <w:rFonts w:ascii="Calibri" w:hAnsi="Calibri"/>
                <w:b/>
                <w:color w:val="174A5B"/>
                <w:sz w:val="18"/>
              </w:rPr>
              <w:t>Retention / protection</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history.connections</w:t>
            </w:r>
          </w:p>
        </w:tc>
        <w:tc>
          <w:tcPr>
            <w:tcW w:type="dxa" w:w="4464"/>
            <w:vAlign w:val="center"/>
            <w:tcMar>
              <w:top w:w="80" w:type="dxa"/>
              <w:start w:w="120" w:type="dxa"/>
              <w:bottom w:w="80" w:type="dxa"/>
              <w:end w:w="120" w:type="dxa"/>
            </w:tcMar>
          </w:tcPr>
          <w:p>
            <w:r/>
            <w:r>
              <w:rPr>
                <w:rFonts w:ascii="Calibri" w:hAnsi="Calibri"/>
                <w:b w:val="0"/>
                <w:color w:val="161513"/>
                <w:sz w:val="18"/>
              </w:rPr>
              <w:t>time, sanitized endpoint, user fingerprint, protocol, outcome, latency</w:t>
            </w:r>
          </w:p>
        </w:tc>
        <w:tc>
          <w:tcPr>
            <w:tcW w:type="dxa" w:w="2736"/>
            <w:vAlign w:val="center"/>
            <w:tcMar>
              <w:top w:w="80" w:type="dxa"/>
              <w:start w:w="120" w:type="dxa"/>
              <w:bottom w:w="80" w:type="dxa"/>
              <w:end w:w="120" w:type="dxa"/>
            </w:tcMar>
          </w:tcPr>
          <w:p>
            <w:r/>
            <w:r>
              <w:rPr>
                <w:rFonts w:ascii="Calibri" w:hAnsi="Calibri"/>
                <w:b w:val="0"/>
                <w:color w:val="161513"/>
                <w:sz w:val="18"/>
              </w:rPr>
              <w:t>Local operational history; no username/password</w:t>
            </w:r>
          </w:p>
        </w:tc>
      </w:tr>
      <w:tr>
        <w:trPr>
          <w:cantSplit w:val="true"/>
        </w:trPr>
        <w:tc>
          <w:tcPr>
            <w:tcW w:type="dxa" w:w="2016"/>
            <w:vAlign w:val="center"/>
            <w:tcMar>
              <w:top w:w="80" w:type="dxa"/>
              <w:start w:w="120" w:type="dxa"/>
              <w:bottom w:w="80" w:type="dxa"/>
              <w:end w:w="120" w:type="dxa"/>
            </w:tcMar>
            <w:shd w:fill="F7F9FA"/>
          </w:tcPr>
          <w:p>
            <w:r/>
            <w:r>
              <w:rPr>
                <w:rFonts w:ascii="Calibri" w:hAnsi="Calibri"/>
                <w:b w:val="0"/>
                <w:color w:val="161513"/>
                <w:sz w:val="18"/>
              </w:rPr>
              <w:t>history.executions</w:t>
            </w:r>
          </w:p>
        </w:tc>
        <w:tc>
          <w:tcPr>
            <w:tcW w:type="dxa" w:w="4464"/>
            <w:vAlign w:val="center"/>
            <w:tcMar>
              <w:top w:w="80" w:type="dxa"/>
              <w:start w:w="120" w:type="dxa"/>
              <w:bottom w:w="80" w:type="dxa"/>
              <w:end w:w="120" w:type="dxa"/>
            </w:tcMar>
            <w:shd w:fill="F7F9FA"/>
          </w:tcPr>
          <w:p>
            <w:r/>
            <w:r>
              <w:rPr>
                <w:rFonts w:ascii="Calibri" w:hAnsi="Calibri"/>
                <w:b w:val="0"/>
                <w:color w:val="161513"/>
                <w:sz w:val="18"/>
              </w:rPr>
              <w:t>time, endpoint, tool, status, latency, redacted arguments</w:t>
            </w:r>
          </w:p>
        </w:tc>
        <w:tc>
          <w:tcPr>
            <w:tcW w:type="dxa" w:w="2736"/>
            <w:vAlign w:val="center"/>
            <w:tcMar>
              <w:top w:w="80" w:type="dxa"/>
              <w:start w:w="120" w:type="dxa"/>
              <w:bottom w:w="80" w:type="dxa"/>
              <w:end w:w="120" w:type="dxa"/>
            </w:tcMar>
            <w:shd w:fill="F7F9FA"/>
          </w:tcPr>
          <w:p>
            <w:r/>
            <w:r>
              <w:rPr>
                <w:rFonts w:ascii="Calibri" w:hAnsi="Calibri"/>
                <w:b w:val="0"/>
                <w:color w:val="161513"/>
                <w:sz w:val="18"/>
              </w:rPr>
              <w:t>Arguments capped at 4 KB</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workspace.artifacts</w:t>
            </w:r>
          </w:p>
        </w:tc>
        <w:tc>
          <w:tcPr>
            <w:tcW w:type="dxa" w:w="4464"/>
            <w:vAlign w:val="center"/>
            <w:tcMar>
              <w:top w:w="80" w:type="dxa"/>
              <w:start w:w="120" w:type="dxa"/>
              <w:bottom w:w="80" w:type="dxa"/>
              <w:end w:w="120" w:type="dxa"/>
            </w:tcMar>
          </w:tcPr>
          <w:p>
            <w:r/>
            <w:r>
              <w:rPr>
                <w:rFonts w:ascii="Calibri" w:hAnsi="Calibri"/>
                <w:b w:val="0"/>
                <w:color w:val="161513"/>
                <w:sz w:val="18"/>
              </w:rPr>
              <w:t>kind, unique name, description, payload, timestamps</w:t>
            </w:r>
          </w:p>
        </w:tc>
        <w:tc>
          <w:tcPr>
            <w:tcW w:type="dxa" w:w="2736"/>
            <w:vAlign w:val="center"/>
            <w:tcMar>
              <w:top w:w="80" w:type="dxa"/>
              <w:start w:w="120" w:type="dxa"/>
              <w:bottom w:w="80" w:type="dxa"/>
              <w:end w:w="120" w:type="dxa"/>
            </w:tcMar>
          </w:tcPr>
          <w:p>
            <w:r/>
            <w:r>
              <w:rPr>
                <w:rFonts w:ascii="Calibri" w:hAnsi="Calibri"/>
                <w:b w:val="0"/>
                <w:color w:val="161513"/>
                <w:sz w:val="18"/>
              </w:rPr>
              <w:t>Dashboard/runbook/query working data</w:t>
            </w:r>
          </w:p>
        </w:tc>
      </w:tr>
      <w:tr>
        <w:trPr>
          <w:cantSplit w:val="true"/>
        </w:trPr>
        <w:tc>
          <w:tcPr>
            <w:tcW w:type="dxa" w:w="2016"/>
            <w:vAlign w:val="center"/>
            <w:tcMar>
              <w:top w:w="80" w:type="dxa"/>
              <w:start w:w="120" w:type="dxa"/>
              <w:bottom w:w="80" w:type="dxa"/>
              <w:end w:w="120" w:type="dxa"/>
            </w:tcMar>
            <w:shd w:fill="F7F9FA"/>
          </w:tcPr>
          <w:p>
            <w:r/>
            <w:r>
              <w:rPr>
                <w:rFonts w:ascii="Calibri" w:hAnsi="Calibri"/>
                <w:b w:val="0"/>
                <w:color w:val="161513"/>
                <w:sz w:val="18"/>
              </w:rPr>
              <w:t>workspace.incidents</w:t>
            </w:r>
          </w:p>
        </w:tc>
        <w:tc>
          <w:tcPr>
            <w:tcW w:type="dxa" w:w="4464"/>
            <w:vAlign w:val="center"/>
            <w:tcMar>
              <w:top w:w="80" w:type="dxa"/>
              <w:start w:w="120" w:type="dxa"/>
              <w:bottom w:w="80" w:type="dxa"/>
              <w:end w:w="120" w:type="dxa"/>
            </w:tcMar>
            <w:shd w:fill="F7F9FA"/>
          </w:tcPr>
          <w:p>
            <w:r/>
            <w:r>
              <w:rPr>
                <w:rFonts w:ascii="Calibri" w:hAnsi="Calibri"/>
                <w:b w:val="0"/>
                <w:color w:val="161513"/>
                <w:sz w:val="18"/>
              </w:rPr>
              <w:t>severity, status, summary, timeline JSON</w:t>
            </w:r>
          </w:p>
        </w:tc>
        <w:tc>
          <w:tcPr>
            <w:tcW w:type="dxa" w:w="2736"/>
            <w:vAlign w:val="center"/>
            <w:tcMar>
              <w:top w:w="80" w:type="dxa"/>
              <w:start w:w="120" w:type="dxa"/>
              <w:bottom w:w="80" w:type="dxa"/>
              <w:end w:w="120" w:type="dxa"/>
            </w:tcMar>
            <w:shd w:fill="F7F9FA"/>
          </w:tcPr>
          <w:p>
            <w:r/>
            <w:r>
              <w:rPr>
                <w:rFonts w:ascii="Calibri" w:hAnsi="Calibri"/>
                <w:b w:val="0"/>
                <w:color w:val="161513"/>
                <w:sz w:val="18"/>
              </w:rPr>
              <w:t>Local triage evidence; notes capped</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workspace.approvals</w:t>
            </w:r>
          </w:p>
        </w:tc>
        <w:tc>
          <w:tcPr>
            <w:tcW w:type="dxa" w:w="4464"/>
            <w:vAlign w:val="center"/>
            <w:tcMar>
              <w:top w:w="80" w:type="dxa"/>
              <w:start w:w="120" w:type="dxa"/>
              <w:bottom w:w="80" w:type="dxa"/>
              <w:end w:w="120" w:type="dxa"/>
            </w:tcMar>
          </w:tcPr>
          <w:p>
            <w:r/>
            <w:r>
              <w:rPr>
                <w:rFonts w:ascii="Calibri" w:hAnsi="Calibri"/>
                <w:b w:val="0"/>
                <w:color w:val="161513"/>
                <w:sz w:val="18"/>
              </w:rPr>
              <w:t>request hash, requester, approver, status, expiry</w:t>
            </w:r>
          </w:p>
        </w:tc>
        <w:tc>
          <w:tcPr>
            <w:tcW w:type="dxa" w:w="2736"/>
            <w:vAlign w:val="center"/>
            <w:tcMar>
              <w:top w:w="80" w:type="dxa"/>
              <w:start w:w="120" w:type="dxa"/>
              <w:bottom w:w="80" w:type="dxa"/>
              <w:end w:w="120" w:type="dxa"/>
            </w:tcMar>
          </w:tcPr>
          <w:p>
            <w:r/>
            <w:r>
              <w:rPr>
                <w:rFonts w:ascii="Calibri" w:hAnsi="Calibri"/>
                <w:b w:val="0"/>
                <w:color w:val="161513"/>
                <w:sz w:val="18"/>
              </w:rPr>
              <w:t>Distinct actors; exact request binding</w:t>
            </w:r>
          </w:p>
        </w:tc>
      </w:tr>
      <w:tr>
        <w:trPr>
          <w:cantSplit w:val="true"/>
        </w:trPr>
        <w:tc>
          <w:tcPr>
            <w:tcW w:type="dxa" w:w="2016"/>
            <w:vAlign w:val="center"/>
            <w:tcMar>
              <w:top w:w="80" w:type="dxa"/>
              <w:start w:w="120" w:type="dxa"/>
              <w:bottom w:w="80" w:type="dxa"/>
              <w:end w:w="120" w:type="dxa"/>
            </w:tcMar>
            <w:shd w:fill="F7F9FA"/>
          </w:tcPr>
          <w:p>
            <w:r/>
            <w:r>
              <w:rPr>
                <w:rFonts w:ascii="Calibri" w:hAnsi="Calibri"/>
                <w:b w:val="0"/>
                <w:color w:val="161513"/>
                <w:sz w:val="18"/>
              </w:rPr>
              <w:t>workspace.jobs</w:t>
            </w:r>
          </w:p>
        </w:tc>
        <w:tc>
          <w:tcPr>
            <w:tcW w:type="dxa" w:w="4464"/>
            <w:vAlign w:val="center"/>
            <w:tcMar>
              <w:top w:w="80" w:type="dxa"/>
              <w:start w:w="120" w:type="dxa"/>
              <w:bottom w:w="80" w:type="dxa"/>
              <w:end w:w="120" w:type="dxa"/>
            </w:tcMar>
            <w:shd w:fill="F7F9FA"/>
          </w:tcPr>
          <w:p>
            <w:r/>
            <w:r>
              <w:rPr>
                <w:rFonts w:ascii="Calibri" w:hAnsi="Calibri"/>
                <w:b w:val="0"/>
                <w:color w:val="161513"/>
                <w:sz w:val="18"/>
              </w:rPr>
              <w:t>kind, state, payload/result, error, timestamps</w:t>
            </w:r>
          </w:p>
        </w:tc>
        <w:tc>
          <w:tcPr>
            <w:tcW w:type="dxa" w:w="2736"/>
            <w:vAlign w:val="center"/>
            <w:tcMar>
              <w:top w:w="80" w:type="dxa"/>
              <w:start w:w="120" w:type="dxa"/>
              <w:bottom w:w="80" w:type="dxa"/>
              <w:end w:w="120" w:type="dxa"/>
            </w:tcMar>
            <w:shd w:fill="F7F9FA"/>
          </w:tcPr>
          <w:p>
            <w:r/>
            <w:r>
              <w:rPr>
                <w:rFonts w:ascii="Calibri" w:hAnsi="Calibri"/>
                <w:b w:val="0"/>
                <w:color w:val="161513"/>
                <w:sz w:val="18"/>
              </w:rPr>
              <w:t>Redacted/capped data; restart reconciliation</w:t>
            </w:r>
          </w:p>
        </w:tc>
      </w:tr>
      <w:tr>
        <w:trPr>
          <w:cantSplit w:val="true"/>
        </w:trPr>
        <w:tc>
          <w:tcPr>
            <w:tcW w:type="dxa" w:w="2016"/>
            <w:vAlign w:val="center"/>
            <w:tcMar>
              <w:top w:w="80" w:type="dxa"/>
              <w:start w:w="120" w:type="dxa"/>
              <w:bottom w:w="80" w:type="dxa"/>
              <w:end w:w="120" w:type="dxa"/>
            </w:tcMar>
          </w:tcPr>
          <w:p>
            <w:r/>
            <w:r>
              <w:rPr>
                <w:rFonts w:ascii="Calibri" w:hAnsi="Calibri"/>
                <w:b w:val="0"/>
                <w:color w:val="161513"/>
                <w:sz w:val="18"/>
              </w:rPr>
              <w:t>workspace.schedules</w:t>
            </w:r>
          </w:p>
        </w:tc>
        <w:tc>
          <w:tcPr>
            <w:tcW w:type="dxa" w:w="4464"/>
            <w:vAlign w:val="center"/>
            <w:tcMar>
              <w:top w:w="80" w:type="dxa"/>
              <w:start w:w="120" w:type="dxa"/>
              <w:bottom w:w="80" w:type="dxa"/>
              <w:end w:w="120" w:type="dxa"/>
            </w:tcMar>
          </w:tcPr>
          <w:p>
            <w:r/>
            <w:r>
              <w:rPr>
                <w:rFonts w:ascii="Calibri" w:hAnsi="Calibri"/>
                <w:b w:val="0"/>
                <w:color w:val="161513"/>
                <w:sz w:val="18"/>
              </w:rPr>
              <w:t>profile, tool, args, interval, next run</w:t>
            </w:r>
          </w:p>
        </w:tc>
        <w:tc>
          <w:tcPr>
            <w:tcW w:type="dxa" w:w="2736"/>
            <w:vAlign w:val="center"/>
            <w:tcMar>
              <w:top w:w="80" w:type="dxa"/>
              <w:start w:w="120" w:type="dxa"/>
              <w:bottom w:w="80" w:type="dxa"/>
              <w:end w:w="120" w:type="dxa"/>
            </w:tcMar>
          </w:tcPr>
          <w:p>
            <w:r/>
            <w:r>
              <w:rPr>
                <w:rFonts w:ascii="Calibri" w:hAnsi="Calibri"/>
                <w:b w:val="0"/>
                <w:color w:val="161513"/>
                <w:sz w:val="18"/>
              </w:rPr>
              <w:t>Read-only scheduling only</w:t>
            </w:r>
          </w:p>
        </w:tc>
      </w:tr>
      <w:tr>
        <w:trPr>
          <w:cantSplit w:val="true"/>
        </w:trPr>
        <w:tc>
          <w:tcPr>
            <w:tcW w:type="dxa" w:w="2016"/>
            <w:vAlign w:val="center"/>
            <w:tcMar>
              <w:top w:w="80" w:type="dxa"/>
              <w:start w:w="120" w:type="dxa"/>
              <w:bottom w:w="80" w:type="dxa"/>
              <w:end w:w="120" w:type="dxa"/>
            </w:tcMar>
            <w:shd w:fill="F7F9FA"/>
          </w:tcPr>
          <w:p>
            <w:r/>
            <w:r>
              <w:rPr>
                <w:rFonts w:ascii="Calibri" w:hAnsi="Calibri"/>
                <w:b w:val="0"/>
                <w:color w:val="161513"/>
                <w:sz w:val="18"/>
              </w:rPr>
              <w:t>workspace.usage_events</w:t>
            </w:r>
          </w:p>
        </w:tc>
        <w:tc>
          <w:tcPr>
            <w:tcW w:type="dxa" w:w="4464"/>
            <w:vAlign w:val="center"/>
            <w:tcMar>
              <w:top w:w="80" w:type="dxa"/>
              <w:start w:w="120" w:type="dxa"/>
              <w:bottom w:w="80" w:type="dxa"/>
              <w:end w:w="120" w:type="dxa"/>
            </w:tcMar>
            <w:shd w:fill="F7F9FA"/>
          </w:tcPr>
          <w:p>
            <w:r/>
            <w:r>
              <w:rPr>
                <w:rFonts w:ascii="Calibri" w:hAnsi="Calibri"/>
                <w:b w:val="0"/>
                <w:color w:val="161513"/>
                <w:sz w:val="18"/>
              </w:rPr>
              <w:t>provider/model/tokens/cost/latency/status</w:t>
            </w:r>
          </w:p>
        </w:tc>
        <w:tc>
          <w:tcPr>
            <w:tcW w:type="dxa" w:w="2736"/>
            <w:vAlign w:val="center"/>
            <w:tcMar>
              <w:top w:w="80" w:type="dxa"/>
              <w:start w:w="120" w:type="dxa"/>
              <w:bottom w:w="80" w:type="dxa"/>
              <w:end w:w="120" w:type="dxa"/>
            </w:tcMar>
            <w:shd w:fill="F7F9FA"/>
          </w:tcPr>
          <w:p>
            <w:r/>
            <w:r>
              <w:rPr>
                <w:rFonts w:ascii="Calibri" w:hAnsi="Calibri"/>
                <w:b w:val="0"/>
                <w:color w:val="161513"/>
                <w:sz w:val="18"/>
              </w:rPr>
              <w:t>Estimated accounting; CSV export</w:t>
            </w:r>
          </w:p>
        </w:tc>
      </w:tr>
    </w:tbl>
    <w:p/>
    <w:p>
      <w:pPr>
        <w:pStyle w:val="Heading2"/>
        <w:keepNext/>
      </w:pPr>
      <w:r>
        <w:t>6.1 Secret handling</w:t>
      </w:r>
    </w:p>
    <w:p>
      <w:pPr>
        <w:pStyle w:val="ListBullet"/>
        <w:keepLines/>
      </w:pPr>
      <w:r>
        <w:t>Keys matching password, secret, token, authorization, credential, API key or private key are replaced before persistence.</w:t>
      </w:r>
    </w:p>
    <w:p>
      <w:pPr>
        <w:pStyle w:val="ListBullet"/>
        <w:keepLines/>
      </w:pPr>
      <w:r>
        <w:t>OEM passwords and AI keys are never included in profiles, approval hashes, history messages or application logs.</w:t>
      </w:r>
    </w:p>
    <w:p>
      <w:pPr>
        <w:pStyle w:val="ListBullet"/>
        <w:keepLines/>
      </w:pPr>
      <w:r>
        <w:t>Runtime environment files are created outside Git and protected by filesystem ownership/mode in deployment scripts.</w:t>
      </w:r>
    </w:p>
    <w:p>
      <w:pPr>
        <w:pStyle w:val="ListBullet"/>
        <w:keepLines/>
      </w:pPr>
      <w:r>
        <w:t>SQLite and logs should reside on encrypted storage with host backup and retention policy defined by the operator organization.</w:t>
      </w:r>
    </w:p>
    <w:p>
      <w:pPr>
        <w:pStyle w:val="Heading1"/>
        <w:keepNext/>
      </w:pPr>
      <w:r>
        <w:t>7. Security design</w:t>
      </w:r>
    </w:p>
    <w:p>
      <w:pPr>
        <w:pStyle w:val="Heading2"/>
        <w:keepNext/>
      </w:pPr>
      <w:r>
        <w:t>7.1 Trust boundaries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944"/>
            <w:vAlign w:val="center"/>
            <w:tcMar>
              <w:top w:w="80" w:type="dxa"/>
              <w:start w:w="120" w:type="dxa"/>
              <w:bottom w:w="80" w:type="dxa"/>
              <w:end w:w="120" w:type="dxa"/>
            </w:tcMar>
            <w:shd w:fill="E8EEF5"/>
          </w:tcPr>
          <w:p>
            <w:r>
              <w:rPr>
                <w:b/>
                <w:color w:val="174A5B"/>
              </w:rPr>
            </w:r>
            <w:r>
              <w:rPr>
                <w:rFonts w:ascii="Calibri" w:hAnsi="Calibri"/>
                <w:b/>
                <w:color w:val="174A5B"/>
                <w:sz w:val="18"/>
              </w:rPr>
              <w:t>Boundary</w:t>
            </w:r>
          </w:p>
        </w:tc>
        <w:tc>
          <w:tcPr>
            <w:tcW w:type="dxa" w:w="2520"/>
            <w:vAlign w:val="center"/>
            <w:tcMar>
              <w:top w:w="80" w:type="dxa"/>
              <w:start w:w="120" w:type="dxa"/>
              <w:bottom w:w="80" w:type="dxa"/>
              <w:end w:w="120" w:type="dxa"/>
            </w:tcMar>
            <w:shd w:fill="E8EEF5"/>
          </w:tcPr>
          <w:p>
            <w:r>
              <w:rPr>
                <w:b/>
                <w:color w:val="174A5B"/>
              </w:rPr>
            </w:r>
            <w:r>
              <w:rPr>
                <w:rFonts w:ascii="Calibri" w:hAnsi="Calibri"/>
                <w:b/>
                <w:color w:val="174A5B"/>
                <w:sz w:val="18"/>
              </w:rPr>
              <w:t>Threats</w:t>
            </w:r>
          </w:p>
        </w:tc>
        <w:tc>
          <w:tcPr>
            <w:tcW w:type="dxa" w:w="4752"/>
            <w:vAlign w:val="center"/>
            <w:tcMar>
              <w:top w:w="80" w:type="dxa"/>
              <w:start w:w="120" w:type="dxa"/>
              <w:bottom w:w="80" w:type="dxa"/>
              <w:end w:w="120" w:type="dxa"/>
            </w:tcMar>
            <w:shd w:fill="E8EEF5"/>
          </w:tcPr>
          <w:p>
            <w:r>
              <w:rPr>
                <w:b/>
                <w:color w:val="174A5B"/>
              </w:rPr>
            </w:r>
            <w:r>
              <w:rPr>
                <w:rFonts w:ascii="Calibri" w:hAnsi="Calibri"/>
                <w:b/>
                <w:color w:val="174A5B"/>
                <w:sz w:val="18"/>
              </w:rPr>
              <w:t>Controls</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Browser ↔ ingress</w:t>
            </w:r>
          </w:p>
        </w:tc>
        <w:tc>
          <w:tcPr>
            <w:tcW w:type="dxa" w:w="2520"/>
            <w:vAlign w:val="center"/>
            <w:tcMar>
              <w:top w:w="80" w:type="dxa"/>
              <w:start w:w="120" w:type="dxa"/>
              <w:bottom w:w="80" w:type="dxa"/>
              <w:end w:w="120" w:type="dxa"/>
            </w:tcMar>
          </w:tcPr>
          <w:p>
            <w:r/>
            <w:r>
              <w:rPr>
                <w:rFonts w:ascii="Calibri" w:hAnsi="Calibri"/>
                <w:b w:val="0"/>
                <w:color w:val="161513"/>
                <w:sz w:val="18"/>
              </w:rPr>
              <w:t>Credential theft, session hijack, exposure</w:t>
            </w:r>
          </w:p>
        </w:tc>
        <w:tc>
          <w:tcPr>
            <w:tcW w:type="dxa" w:w="4752"/>
            <w:vAlign w:val="center"/>
            <w:tcMar>
              <w:top w:w="80" w:type="dxa"/>
              <w:start w:w="120" w:type="dxa"/>
              <w:bottom w:w="80" w:type="dxa"/>
              <w:end w:w="120" w:type="dxa"/>
            </w:tcMar>
          </w:tcPr>
          <w:p>
            <w:r/>
            <w:r>
              <w:rPr>
                <w:rFonts w:ascii="Calibri" w:hAnsi="Calibri"/>
                <w:b w:val="0"/>
                <w:color w:val="161513"/>
                <w:sz w:val="18"/>
              </w:rPr>
              <w:t>TLS, upstream authentication, loopback default, firewall/NSG, secure cookies at proxy</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App ↔ OEM</w:t>
            </w:r>
          </w:p>
        </w:tc>
        <w:tc>
          <w:tcPr>
            <w:tcW w:type="dxa" w:w="2520"/>
            <w:vAlign w:val="center"/>
            <w:tcMar>
              <w:top w:w="80" w:type="dxa"/>
              <w:start w:w="120" w:type="dxa"/>
              <w:bottom w:w="80" w:type="dxa"/>
              <w:end w:w="120" w:type="dxa"/>
            </w:tcMar>
            <w:shd w:fill="F7F9FA"/>
          </w:tcPr>
          <w:p>
            <w:r/>
            <w:r>
              <w:rPr>
                <w:rFonts w:ascii="Calibri" w:hAnsi="Calibri"/>
                <w:b w:val="0"/>
                <w:color w:val="161513"/>
                <w:sz w:val="18"/>
              </w:rPr>
              <w:t>MITM, privilege misuse, injection</w:t>
            </w:r>
          </w:p>
        </w:tc>
        <w:tc>
          <w:tcPr>
            <w:tcW w:type="dxa" w:w="4752"/>
            <w:vAlign w:val="center"/>
            <w:tcMar>
              <w:top w:w="80" w:type="dxa"/>
              <w:start w:w="120" w:type="dxa"/>
              <w:bottom w:w="80" w:type="dxa"/>
              <w:end w:w="120" w:type="dxa"/>
            </w:tcMar>
            <w:shd w:fill="F7F9FA"/>
          </w:tcPr>
          <w:p>
            <w:r/>
            <w:r>
              <w:rPr>
                <w:rFonts w:ascii="Calibri" w:hAnsi="Calibri"/>
                <w:b w:val="0"/>
                <w:color w:val="161513"/>
                <w:sz w:val="18"/>
              </w:rPr>
              <w:t>TLS verification/private CA, OEM Basic Auth/RBAC, schema validation, policy, SQL filter</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App ↔ OCI AI</w:t>
            </w:r>
          </w:p>
        </w:tc>
        <w:tc>
          <w:tcPr>
            <w:tcW w:type="dxa" w:w="2520"/>
            <w:vAlign w:val="center"/>
            <w:tcMar>
              <w:top w:w="80" w:type="dxa"/>
              <w:start w:w="120" w:type="dxa"/>
              <w:bottom w:w="80" w:type="dxa"/>
              <w:end w:w="120" w:type="dxa"/>
            </w:tcMar>
          </w:tcPr>
          <w:p>
            <w:r/>
            <w:r>
              <w:rPr>
                <w:rFonts w:ascii="Calibri" w:hAnsi="Calibri"/>
                <w:b w:val="0"/>
                <w:color w:val="161513"/>
                <w:sz w:val="18"/>
              </w:rPr>
              <w:t>Prompt/data disclosure, invented tools</w:t>
            </w:r>
          </w:p>
        </w:tc>
        <w:tc>
          <w:tcPr>
            <w:tcW w:type="dxa" w:w="4752"/>
            <w:vAlign w:val="center"/>
            <w:tcMar>
              <w:top w:w="80" w:type="dxa"/>
              <w:start w:w="120" w:type="dxa"/>
              <w:bottom w:w="80" w:type="dxa"/>
              <w:end w:w="120" w:type="dxa"/>
            </w:tcMar>
          </w:tcPr>
          <w:p>
            <w:r/>
            <w:r>
              <w:rPr>
                <w:rFonts w:ascii="Calibri" w:hAnsi="Calibri"/>
                <w:b w:val="0"/>
                <w:color w:val="161513"/>
                <w:sz w:val="18"/>
              </w:rPr>
              <w:t>Opt-in configuration, compact schema, HTTPS, known-tool validation, proposal-only workflow</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App ↔ local data</w:t>
            </w:r>
          </w:p>
        </w:tc>
        <w:tc>
          <w:tcPr>
            <w:tcW w:type="dxa" w:w="2520"/>
            <w:vAlign w:val="center"/>
            <w:tcMar>
              <w:top w:w="80" w:type="dxa"/>
              <w:start w:w="120" w:type="dxa"/>
              <w:bottom w:w="80" w:type="dxa"/>
              <w:end w:w="120" w:type="dxa"/>
            </w:tcMar>
            <w:shd w:fill="F7F9FA"/>
          </w:tcPr>
          <w:p>
            <w:r/>
            <w:r>
              <w:rPr>
                <w:rFonts w:ascii="Calibri" w:hAnsi="Calibri"/>
                <w:b w:val="0"/>
                <w:color w:val="161513"/>
                <w:sz w:val="18"/>
              </w:rPr>
              <w:t>Secret leakage, tampering, disk loss</w:t>
            </w:r>
          </w:p>
        </w:tc>
        <w:tc>
          <w:tcPr>
            <w:tcW w:type="dxa" w:w="4752"/>
            <w:vAlign w:val="center"/>
            <w:tcMar>
              <w:top w:w="80" w:type="dxa"/>
              <w:start w:w="120" w:type="dxa"/>
              <w:bottom w:w="80" w:type="dxa"/>
              <w:end w:w="120" w:type="dxa"/>
            </w:tcMar>
            <w:shd w:fill="F7F9FA"/>
          </w:tcPr>
          <w:p>
            <w:r/>
            <w:r>
              <w:rPr>
                <w:rFonts w:ascii="Calibri" w:hAnsi="Calibri"/>
                <w:b w:val="0"/>
                <w:color w:val="161513"/>
                <w:sz w:val="18"/>
              </w:rPr>
              <w:t>Redaction, capped fields, restrictive permissions, encrypted volume, backup/restore tests</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Operator ↔ approval</w:t>
            </w:r>
          </w:p>
        </w:tc>
        <w:tc>
          <w:tcPr>
            <w:tcW w:type="dxa" w:w="2520"/>
            <w:vAlign w:val="center"/>
            <w:tcMar>
              <w:top w:w="80" w:type="dxa"/>
              <w:start w:w="120" w:type="dxa"/>
              <w:bottom w:w="80" w:type="dxa"/>
              <w:end w:w="120" w:type="dxa"/>
            </w:tcMar>
          </w:tcPr>
          <w:p>
            <w:r/>
            <w:r>
              <w:rPr>
                <w:rFonts w:ascii="Calibri" w:hAnsi="Calibri"/>
                <w:b w:val="0"/>
                <w:color w:val="161513"/>
                <w:sz w:val="18"/>
              </w:rPr>
              <w:t>Self-approval, stale approval, request substitution</w:t>
            </w:r>
          </w:p>
        </w:tc>
        <w:tc>
          <w:tcPr>
            <w:tcW w:type="dxa" w:w="4752"/>
            <w:vAlign w:val="center"/>
            <w:tcMar>
              <w:top w:w="80" w:type="dxa"/>
              <w:start w:w="120" w:type="dxa"/>
              <w:bottom w:w="80" w:type="dxa"/>
              <w:end w:w="120" w:type="dxa"/>
            </w:tcMar>
          </w:tcPr>
          <w:p>
            <w:r/>
            <w:r>
              <w:rPr>
                <w:rFonts w:ascii="Calibri" w:hAnsi="Calibri"/>
                <w:b w:val="0"/>
                <w:color w:val="161513"/>
                <w:sz w:val="18"/>
              </w:rPr>
              <w:t>Distinct operator string, expiry and exact request hash</w:t>
            </w:r>
          </w:p>
        </w:tc>
      </w:tr>
    </w:tbl>
    <w:p/>
    <w:p>
      <w:pPr>
        <w:pStyle w:val="Heading2"/>
        <w:keepNext/>
      </w:pPr>
      <w:r>
        <w:t>7.2 Layered execution decision</w:t>
      </w:r>
    </w:p>
    <w:p>
      <w:pPr>
        <w:pStyle w:val="ListBullet"/>
        <w:keepLines/>
      </w:pPr>
      <w:r>
        <w:t>Reject if no initialized OEM client exists.</w:t>
      </w:r>
    </w:p>
    <w:p>
      <w:pPr>
        <w:pStyle w:val="ListBullet"/>
        <w:keepLines/>
      </w:pPr>
      <w:r>
        <w:t>Evaluate role/tool/target policy; matching denies take precedence.</w:t>
      </w:r>
    </w:p>
    <w:p>
      <w:pPr>
        <w:pStyle w:val="ListBullet"/>
        <w:keepLines/>
      </w:pPr>
      <w:r>
        <w:t>If required, verify an approved, unexpired hash for the exact endpoint/tool/arguments.</w:t>
      </w:r>
    </w:p>
    <w:p>
      <w:pPr>
        <w:pStyle w:val="ListBullet"/>
        <w:keepLines/>
      </w:pPr>
      <w:r>
        <w:t>Validate read-only classification or administrator mutating gate.</w:t>
      </w:r>
    </w:p>
    <w:p>
      <w:pPr>
        <w:pStyle w:val="ListBullet"/>
        <w:keepLines/>
      </w:pPr>
      <w:r>
        <w:t>For ExecuteSql, validate one statement and read-only semantics unless the separate non-select gate is explicitly enabled.</w:t>
      </w:r>
    </w:p>
    <w:p>
      <w:pPr>
        <w:pStyle w:val="ListBullet"/>
        <w:keepLines/>
      </w:pPr>
      <w:r>
        <w:t>Invoke OEM and rely on OEM authorization/validation; record redacted outcome and usage.</w:t>
      </w:r>
    </w:p>
    <w:tbl>
      <w:tblPr>
        <w:tblW w:type="auto" w:w="0"/>
        <w:jc w:val="center"/>
        <w:tblLook w:firstColumn="1" w:firstRow="1" w:lastColumn="0" w:lastRow="0" w:noHBand="0" w:noVBand="1" w:val="04A0"/>
      </w:tblPr>
      <w:tblGrid>
        <w:gridCol w:w="9792"/>
      </w:tblGrid>
      <w:tr>
        <w:tc>
          <w:tcPr>
            <w:tcW w:type="dxa" w:w="9792"/>
            <w:shd w:fill="FFF3EE"/>
            <w:tcMar>
              <w:top w:w="140" w:type="dxa"/>
              <w:start w:w="180" w:type="dxa"/>
              <w:bottom w:w="140" w:type="dxa"/>
              <w:end w:w="180" w:type="dxa"/>
            </w:tcMar>
          </w:tcPr>
          <w:p>
            <w:r>
              <w:rPr>
                <w:b/>
                <w:color w:val="174A5B"/>
              </w:rPr>
              <w:t xml:space="preserve">Identity limitation. </w:t>
            </w:r>
            <w:r>
              <w:t>Operator and approver strings are not strong identities in version 1.0.0 because priority 1 was excluded. Production use of controlled changes requires an authenticated reverse proxy and a future trusted-header/OIDC binding design.</w:t>
            </w:r>
          </w:p>
        </w:tc>
        <w:trPr>
          <w:tblHeader/>
        </w:trPr>
      </w:tr>
    </w:tbl>
    <w:p/>
    <w:p>
      <w:pPr>
        <w:pStyle w:val="Heading1"/>
        <w:keepNext/>
      </w:pPr>
      <w:r>
        <w:t>8. Interfaces and protocols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944"/>
            <w:vAlign w:val="center"/>
            <w:tcMar>
              <w:top w:w="80" w:type="dxa"/>
              <w:start w:w="120" w:type="dxa"/>
              <w:bottom w:w="80" w:type="dxa"/>
              <w:end w:w="120" w:type="dxa"/>
            </w:tcMar>
            <w:shd w:fill="E8EEF5"/>
          </w:tcPr>
          <w:p>
            <w:r>
              <w:rPr>
                <w:b/>
                <w:color w:val="174A5B"/>
              </w:rPr>
            </w:r>
            <w:r>
              <w:rPr>
                <w:rFonts w:ascii="Calibri" w:hAnsi="Calibri"/>
                <w:b/>
                <w:color w:val="174A5B"/>
                <w:sz w:val="18"/>
              </w:rPr>
              <w:t>Interface</w:t>
            </w:r>
          </w:p>
        </w:tc>
        <w:tc>
          <w:tcPr>
            <w:tcW w:type="dxa" w:w="3240"/>
            <w:vAlign w:val="center"/>
            <w:tcMar>
              <w:top w:w="80" w:type="dxa"/>
              <w:start w:w="120" w:type="dxa"/>
              <w:bottom w:w="80" w:type="dxa"/>
              <w:end w:w="120" w:type="dxa"/>
            </w:tcMar>
            <w:shd w:fill="E8EEF5"/>
          </w:tcPr>
          <w:p>
            <w:r>
              <w:rPr>
                <w:b/>
                <w:color w:val="174A5B"/>
              </w:rPr>
            </w:r>
            <w:r>
              <w:rPr>
                <w:rFonts w:ascii="Calibri" w:hAnsi="Calibri"/>
                <w:b/>
                <w:color w:val="174A5B"/>
                <w:sz w:val="18"/>
              </w:rPr>
              <w:t>Protocol / format</w:t>
            </w:r>
          </w:p>
        </w:tc>
        <w:tc>
          <w:tcPr>
            <w:tcW w:type="dxa" w:w="4032"/>
            <w:vAlign w:val="center"/>
            <w:tcMar>
              <w:top w:w="80" w:type="dxa"/>
              <w:start w:w="120" w:type="dxa"/>
              <w:bottom w:w="80" w:type="dxa"/>
              <w:end w:w="120" w:type="dxa"/>
            </w:tcMar>
            <w:shd w:fill="E8EEF5"/>
          </w:tcPr>
          <w:p>
            <w:r>
              <w:rPr>
                <w:b/>
                <w:color w:val="174A5B"/>
              </w:rPr>
            </w:r>
            <w:r>
              <w:rPr>
                <w:rFonts w:ascii="Calibri" w:hAnsi="Calibri"/>
                <w:b/>
                <w:color w:val="174A5B"/>
                <w:sz w:val="18"/>
              </w:rPr>
              <w:t>Behavior</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OEM MCP</w:t>
            </w:r>
          </w:p>
        </w:tc>
        <w:tc>
          <w:tcPr>
            <w:tcW w:type="dxa" w:w="3240"/>
            <w:vAlign w:val="center"/>
            <w:tcMar>
              <w:top w:w="80" w:type="dxa"/>
              <w:start w:w="120" w:type="dxa"/>
              <w:bottom w:w="80" w:type="dxa"/>
              <w:end w:w="120" w:type="dxa"/>
            </w:tcMar>
          </w:tcPr>
          <w:p>
            <w:r/>
            <w:r>
              <w:rPr>
                <w:rFonts w:ascii="Calibri" w:hAnsi="Calibri"/>
                <w:b w:val="0"/>
                <w:color w:val="161513"/>
                <w:sz w:val="18"/>
              </w:rPr>
              <w:t>HTTPS POST, JSON-RPC 2.0, MCP 2025-11-25 or 2025-06-18</w:t>
            </w:r>
          </w:p>
        </w:tc>
        <w:tc>
          <w:tcPr>
            <w:tcW w:type="dxa" w:w="4032"/>
            <w:vAlign w:val="center"/>
            <w:tcMar>
              <w:top w:w="80" w:type="dxa"/>
              <w:start w:w="120" w:type="dxa"/>
              <w:bottom w:w="80" w:type="dxa"/>
              <w:end w:w="120" w:type="dxa"/>
            </w:tcMar>
          </w:tcPr>
          <w:p>
            <w:r/>
            <w:r>
              <w:rPr>
                <w:rFonts w:ascii="Calibri" w:hAnsi="Calibri"/>
                <w:b w:val="0"/>
                <w:color w:val="161513"/>
                <w:sz w:val="18"/>
              </w:rPr>
              <w:t>initialize, initialized notification, paginated discovery, tools/call, ping, session close</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Streamlit</w:t>
            </w:r>
          </w:p>
        </w:tc>
        <w:tc>
          <w:tcPr>
            <w:tcW w:type="dxa" w:w="3240"/>
            <w:vAlign w:val="center"/>
            <w:tcMar>
              <w:top w:w="80" w:type="dxa"/>
              <w:start w:w="120" w:type="dxa"/>
              <w:bottom w:w="80" w:type="dxa"/>
              <w:end w:w="120" w:type="dxa"/>
            </w:tcMar>
            <w:shd w:fill="F7F9FA"/>
          </w:tcPr>
          <w:p>
            <w:r/>
            <w:r>
              <w:rPr>
                <w:rFonts w:ascii="Calibri" w:hAnsi="Calibri"/>
                <w:b w:val="0"/>
                <w:color w:val="161513"/>
                <w:sz w:val="18"/>
              </w:rPr>
              <w:t>HTTP behind authenticated TLS ingress</w:t>
            </w:r>
          </w:p>
        </w:tc>
        <w:tc>
          <w:tcPr>
            <w:tcW w:type="dxa" w:w="4032"/>
            <w:vAlign w:val="center"/>
            <w:tcMar>
              <w:top w:w="80" w:type="dxa"/>
              <w:start w:w="120" w:type="dxa"/>
              <w:bottom w:w="80" w:type="dxa"/>
              <w:end w:w="120" w:type="dxa"/>
            </w:tcMar>
            <w:shd w:fill="F7F9FA"/>
          </w:tcPr>
          <w:p>
            <w:r/>
            <w:r>
              <w:rPr>
                <w:rFonts w:ascii="Calibri" w:hAnsi="Calibri"/>
                <w:b w:val="0"/>
                <w:color w:val="161513"/>
                <w:sz w:val="18"/>
              </w:rPr>
              <w:t>Configurable address/port; 127.0.0.1 default</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SQLite</w:t>
            </w:r>
          </w:p>
        </w:tc>
        <w:tc>
          <w:tcPr>
            <w:tcW w:type="dxa" w:w="3240"/>
            <w:vAlign w:val="center"/>
            <w:tcMar>
              <w:top w:w="80" w:type="dxa"/>
              <w:start w:w="120" w:type="dxa"/>
              <w:bottom w:w="80" w:type="dxa"/>
              <w:end w:w="120" w:type="dxa"/>
            </w:tcMar>
          </w:tcPr>
          <w:p>
            <w:r/>
            <w:r>
              <w:rPr>
                <w:rFonts w:ascii="Calibri" w:hAnsi="Calibri"/>
                <w:b w:val="0"/>
                <w:color w:val="161513"/>
                <w:sz w:val="18"/>
              </w:rPr>
              <w:t>Local file / WAL</w:t>
            </w:r>
          </w:p>
        </w:tc>
        <w:tc>
          <w:tcPr>
            <w:tcW w:type="dxa" w:w="4032"/>
            <w:vAlign w:val="center"/>
            <w:tcMar>
              <w:top w:w="80" w:type="dxa"/>
              <w:start w:w="120" w:type="dxa"/>
              <w:bottom w:w="80" w:type="dxa"/>
              <w:end w:w="120" w:type="dxa"/>
            </w:tcMar>
          </w:tcPr>
          <w:p>
            <w:r/>
            <w:r>
              <w:rPr>
                <w:rFonts w:ascii="Calibri" w:hAnsi="Calibri"/>
                <w:b w:val="0"/>
                <w:color w:val="161513"/>
                <w:sz w:val="18"/>
              </w:rPr>
              <w:t>History and workspace databases under OEM_MCP_DATA_DIR</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OCI Generative AI</w:t>
            </w:r>
          </w:p>
        </w:tc>
        <w:tc>
          <w:tcPr>
            <w:tcW w:type="dxa" w:w="3240"/>
            <w:vAlign w:val="center"/>
            <w:tcMar>
              <w:top w:w="80" w:type="dxa"/>
              <w:start w:w="120" w:type="dxa"/>
              <w:bottom w:w="80" w:type="dxa"/>
              <w:end w:w="120" w:type="dxa"/>
            </w:tcMar>
            <w:shd w:fill="F7F9FA"/>
          </w:tcPr>
          <w:p>
            <w:r/>
            <w:r>
              <w:rPr>
                <w:rFonts w:ascii="Calibri" w:hAnsi="Calibri"/>
                <w:b w:val="0"/>
                <w:color w:val="161513"/>
                <w:sz w:val="18"/>
              </w:rPr>
              <w:t>OpenAI-compatible HTTPS chat/completions</w:t>
            </w:r>
          </w:p>
        </w:tc>
        <w:tc>
          <w:tcPr>
            <w:tcW w:type="dxa" w:w="4032"/>
            <w:vAlign w:val="center"/>
            <w:tcMar>
              <w:top w:w="80" w:type="dxa"/>
              <w:start w:w="120" w:type="dxa"/>
              <w:bottom w:w="80" w:type="dxa"/>
              <w:end w:w="120" w:type="dxa"/>
            </w:tcMar>
            <w:shd w:fill="F7F9FA"/>
          </w:tcPr>
          <w:p>
            <w:r/>
            <w:r>
              <w:rPr>
                <w:rFonts w:ascii="Calibri" w:hAnsi="Calibri"/>
                <w:b w:val="0"/>
                <w:color w:val="161513"/>
                <w:sz w:val="18"/>
              </w:rPr>
              <w:t>Optional proposal-only planner; bearer key supported by app configuration</w:t>
            </w:r>
          </w:p>
        </w:tc>
      </w:tr>
      <w:tr>
        <w:trPr>
          <w:cantSplit w:val="true"/>
        </w:trPr>
        <w:tc>
          <w:tcPr>
            <w:tcW w:type="dxa" w:w="1944"/>
            <w:vAlign w:val="center"/>
            <w:tcMar>
              <w:top w:w="80" w:type="dxa"/>
              <w:start w:w="120" w:type="dxa"/>
              <w:bottom w:w="80" w:type="dxa"/>
              <w:end w:w="120" w:type="dxa"/>
            </w:tcMar>
          </w:tcPr>
          <w:p>
            <w:r/>
            <w:r>
              <w:rPr>
                <w:rFonts w:ascii="Calibri" w:hAnsi="Calibri"/>
                <w:b w:val="0"/>
                <w:color w:val="161513"/>
                <w:sz w:val="18"/>
              </w:rPr>
              <w:t>Graphviz</w:t>
            </w:r>
          </w:p>
        </w:tc>
        <w:tc>
          <w:tcPr>
            <w:tcW w:type="dxa" w:w="3240"/>
            <w:vAlign w:val="center"/>
            <w:tcMar>
              <w:top w:w="80" w:type="dxa"/>
              <w:start w:w="120" w:type="dxa"/>
              <w:bottom w:w="80" w:type="dxa"/>
              <w:end w:w="120" w:type="dxa"/>
            </w:tcMar>
          </w:tcPr>
          <w:p>
            <w:r/>
            <w:r>
              <w:rPr>
                <w:rFonts w:ascii="Calibri" w:hAnsi="Calibri"/>
                <w:b w:val="0"/>
                <w:color w:val="161513"/>
                <w:sz w:val="18"/>
              </w:rPr>
              <w:t>DOT rendered by Streamlit</w:t>
            </w:r>
          </w:p>
        </w:tc>
        <w:tc>
          <w:tcPr>
            <w:tcW w:type="dxa" w:w="4032"/>
            <w:vAlign w:val="center"/>
            <w:tcMar>
              <w:top w:w="80" w:type="dxa"/>
              <w:start w:w="120" w:type="dxa"/>
              <w:bottom w:w="80" w:type="dxa"/>
              <w:end w:w="120" w:type="dxa"/>
            </w:tcMar>
          </w:tcPr>
          <w:p>
            <w:r/>
            <w:r>
              <w:rPr>
                <w:rFonts w:ascii="Calibri" w:hAnsi="Calibri"/>
                <w:b w:val="0"/>
                <w:color w:val="161513"/>
                <w:sz w:val="18"/>
              </w:rPr>
              <w:t>Inferred topology; no external graph persistence</w:t>
            </w:r>
          </w:p>
        </w:tc>
      </w:tr>
      <w:tr>
        <w:trPr>
          <w:cantSplit w:val="true"/>
        </w:trPr>
        <w:tc>
          <w:tcPr>
            <w:tcW w:type="dxa" w:w="1944"/>
            <w:vAlign w:val="center"/>
            <w:tcMar>
              <w:top w:w="80" w:type="dxa"/>
              <w:start w:w="120" w:type="dxa"/>
              <w:bottom w:w="80" w:type="dxa"/>
              <w:end w:w="120" w:type="dxa"/>
            </w:tcMar>
            <w:shd w:fill="F7F9FA"/>
          </w:tcPr>
          <w:p>
            <w:r/>
            <w:r>
              <w:rPr>
                <w:rFonts w:ascii="Calibri" w:hAnsi="Calibri"/>
                <w:b w:val="0"/>
                <w:color w:val="161513"/>
                <w:sz w:val="18"/>
              </w:rPr>
              <w:t>Exports</w:t>
            </w:r>
          </w:p>
        </w:tc>
        <w:tc>
          <w:tcPr>
            <w:tcW w:type="dxa" w:w="3240"/>
            <w:vAlign w:val="center"/>
            <w:tcMar>
              <w:top w:w="80" w:type="dxa"/>
              <w:start w:w="120" w:type="dxa"/>
              <w:bottom w:w="80" w:type="dxa"/>
              <w:end w:w="120" w:type="dxa"/>
            </w:tcMar>
            <w:shd w:fill="F7F9FA"/>
          </w:tcPr>
          <w:p>
            <w:r/>
            <w:r>
              <w:rPr>
                <w:rFonts w:ascii="Calibri" w:hAnsi="Calibri"/>
                <w:b w:val="0"/>
                <w:color w:val="161513"/>
                <w:sz w:val="18"/>
              </w:rPr>
              <w:t>JSON and CSV</w:t>
            </w:r>
          </w:p>
        </w:tc>
        <w:tc>
          <w:tcPr>
            <w:tcW w:type="dxa" w:w="4032"/>
            <w:vAlign w:val="center"/>
            <w:tcMar>
              <w:top w:w="80" w:type="dxa"/>
              <w:start w:w="120" w:type="dxa"/>
              <w:bottom w:w="80" w:type="dxa"/>
              <w:end w:w="120" w:type="dxa"/>
            </w:tcMar>
            <w:shd w:fill="F7F9FA"/>
          </w:tcPr>
          <w:p>
            <w:r/>
            <w:r>
              <w:rPr>
                <w:rFonts w:ascii="Calibri" w:hAnsi="Calibri"/>
                <w:b w:val="0"/>
                <w:color w:val="161513"/>
                <w:sz w:val="18"/>
              </w:rPr>
              <w:t>Redacted job/history/diagnostic/usage downloads</w:t>
            </w:r>
          </w:p>
        </w:tc>
      </w:tr>
    </w:tbl>
    <w:p/>
    <w:p>
      <w:pPr>
        <w:pStyle w:val="Heading1"/>
        <w:keepNext/>
      </w:pPr>
      <w:r>
        <w:t>9. Deployment design</w:t>
      </w:r>
    </w:p>
    <w:p>
      <w:pPr>
        <w:pStyle w:val="Heading2"/>
        <w:keepNext/>
      </w:pPr>
      <w:r>
        <w:t>9.1 Manual standalone</w:t>
      </w:r>
    </w:p>
    <w:p>
      <w:pPr>
        <w:pStyle w:val="ListBullet"/>
        <w:keepLines/>
      </w:pPr>
      <w:r>
        <w:t>Run scripts/install-manual.sh with Python 3.11 to build .venv and create .runtime/oem-mcp-streamlit.env mode 0600.</w:t>
      </w:r>
    </w:p>
    <w:p>
      <w:pPr>
        <w:pStyle w:val="ListBullet"/>
        <w:keepLines/>
      </w:pPr>
      <w:r>
        <w:t>Start with scripts/start-standalone.sh and explicit --env-file, --address and --port; stop/status use the matching port-scoped PID file.</w:t>
      </w:r>
    </w:p>
    <w:p>
      <w:pPr>
        <w:pStyle w:val="ListBullet"/>
        <w:keepLines/>
      </w:pPr>
      <w:r>
        <w:t>Use this mode for controlled operator sessions, testing and troubleshooting—not for unattended shared service unless supervised externally.</w:t>
      </w:r>
    </w:p>
    <w:p>
      <w:pPr>
        <w:pStyle w:val="Heading2"/>
        <w:keepNext/>
      </w:pPr>
      <w:r>
        <w:t>9.2 systemd service</w:t>
      </w:r>
    </w:p>
    <w:p>
      <w:pPr>
        <w:pStyle w:val="ListBullet"/>
        <w:keepLines/>
      </w:pPr>
      <w:r>
        <w:t>Run scripts/install-systemd.sh as root with service user/group, Python binary, address and port.</w:t>
      </w:r>
    </w:p>
    <w:p>
      <w:pPr>
        <w:pStyle w:val="ListBullet"/>
        <w:keepLines/>
      </w:pPr>
      <w:r>
        <w:t>The installer creates /etc/oem-mcp-streamlit/oem-mcp-streamlit.env, /opt/oem-mcp-streamlit/venv, /var/lib/oem-mcp-streamlit and /var/log/oem-mcp-streamlit.</w:t>
      </w:r>
    </w:p>
    <w:p>
      <w:pPr>
        <w:pStyle w:val="ListBullet"/>
        <w:keepLines/>
      </w:pPr>
      <w:r>
        <w:t>Start, stop, restart and inspect using the supplied service scripts and journalctl; smoke-test the configured listener after every update.</w:t>
      </w:r>
    </w:p>
    <w:p>
      <w:pPr>
        <w:pStyle w:val="Heading2"/>
        <w:keepNext/>
      </w:pPr>
      <w:r>
        <w:t>9.3 OCI reference deployment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160"/>
            <w:vAlign w:val="center"/>
            <w:tcMar>
              <w:top w:w="80" w:type="dxa"/>
              <w:start w:w="120" w:type="dxa"/>
              <w:bottom w:w="80" w:type="dxa"/>
              <w:end w:w="120" w:type="dxa"/>
            </w:tcMar>
            <w:shd w:fill="E8EEF5"/>
          </w:tcPr>
          <w:p>
            <w:r>
              <w:rPr>
                <w:b/>
                <w:color w:val="174A5B"/>
              </w:rPr>
            </w:r>
            <w:r>
              <w:rPr>
                <w:rFonts w:ascii="Calibri" w:hAnsi="Calibri"/>
                <w:b/>
                <w:color w:val="174A5B"/>
                <w:sz w:val="18"/>
              </w:rPr>
              <w:t>OCI resource</w:t>
            </w:r>
          </w:p>
        </w:tc>
        <w:tc>
          <w:tcPr>
            <w:tcW w:type="dxa" w:w="3456"/>
            <w:vAlign w:val="center"/>
            <w:tcMar>
              <w:top w:w="80" w:type="dxa"/>
              <w:start w:w="120" w:type="dxa"/>
              <w:bottom w:w="80" w:type="dxa"/>
              <w:end w:w="120" w:type="dxa"/>
            </w:tcMar>
            <w:shd w:fill="E8EEF5"/>
          </w:tcPr>
          <w:p>
            <w:r>
              <w:rPr>
                <w:b/>
                <w:color w:val="174A5B"/>
              </w:rPr>
            </w:r>
            <w:r>
              <w:rPr>
                <w:rFonts w:ascii="Calibri" w:hAnsi="Calibri"/>
                <w:b/>
                <w:color w:val="174A5B"/>
                <w:sz w:val="18"/>
              </w:rPr>
              <w:t>Use</w:t>
            </w:r>
          </w:p>
        </w:tc>
        <w:tc>
          <w:tcPr>
            <w:tcW w:type="dxa" w:w="3600"/>
            <w:vAlign w:val="center"/>
            <w:tcMar>
              <w:top w:w="80" w:type="dxa"/>
              <w:start w:w="120" w:type="dxa"/>
              <w:bottom w:w="80" w:type="dxa"/>
              <w:end w:w="120" w:type="dxa"/>
            </w:tcMar>
            <w:shd w:fill="E8EEF5"/>
          </w:tcPr>
          <w:p>
            <w:r>
              <w:rPr>
                <w:b/>
                <w:color w:val="174A5B"/>
              </w:rPr>
            </w:r>
            <w:r>
              <w:rPr>
                <w:rFonts w:ascii="Calibri" w:hAnsi="Calibri"/>
                <w:b/>
                <w:color w:val="174A5B"/>
                <w:sz w:val="18"/>
              </w:rPr>
              <w:t>Status in application</w:t>
            </w:r>
          </w:p>
        </w:tc>
      </w:tr>
      <w:tr>
        <w:trPr>
          <w:cantSplit w:val="true"/>
        </w:trPr>
        <w:tc>
          <w:tcPr>
            <w:tcW w:type="dxa" w:w="2160"/>
            <w:vAlign w:val="center"/>
            <w:tcMar>
              <w:top w:w="80" w:type="dxa"/>
              <w:start w:w="120" w:type="dxa"/>
              <w:bottom w:w="80" w:type="dxa"/>
              <w:end w:w="120" w:type="dxa"/>
            </w:tcMar>
          </w:tcPr>
          <w:p>
            <w:r/>
            <w:r>
              <w:rPr>
                <w:rFonts w:ascii="Calibri" w:hAnsi="Calibri"/>
                <w:b w:val="0"/>
                <w:color w:val="161513"/>
                <w:sz w:val="18"/>
              </w:rPr>
              <w:t>VCN/private subnet/NSG</w:t>
            </w:r>
          </w:p>
        </w:tc>
        <w:tc>
          <w:tcPr>
            <w:tcW w:type="dxa" w:w="3456"/>
            <w:vAlign w:val="center"/>
            <w:tcMar>
              <w:top w:w="80" w:type="dxa"/>
              <w:start w:w="120" w:type="dxa"/>
              <w:bottom w:w="80" w:type="dxa"/>
              <w:end w:w="120" w:type="dxa"/>
            </w:tcMar>
          </w:tcPr>
          <w:p>
            <w:r/>
            <w:r>
              <w:rPr>
                <w:rFonts w:ascii="Calibri" w:hAnsi="Calibri"/>
                <w:b w:val="0"/>
                <w:color w:val="161513"/>
                <w:sz w:val="18"/>
              </w:rPr>
              <w:t>Application isolation and allowed paths</w:t>
            </w:r>
          </w:p>
        </w:tc>
        <w:tc>
          <w:tcPr>
            <w:tcW w:type="dxa" w:w="3600"/>
            <w:vAlign w:val="center"/>
            <w:tcMar>
              <w:top w:w="80" w:type="dxa"/>
              <w:start w:w="120" w:type="dxa"/>
              <w:bottom w:w="80" w:type="dxa"/>
              <w:end w:w="120" w:type="dxa"/>
            </w:tcMar>
          </w:tcPr>
          <w:p>
            <w:r/>
            <w:r>
              <w:rPr>
                <w:rFonts w:ascii="Calibri" w:hAnsi="Calibri"/>
                <w:b w:val="0"/>
                <w:color w:val="161513"/>
                <w:sz w:val="18"/>
              </w:rPr>
              <w:t>Deployment requirement</w:t>
            </w:r>
          </w:p>
        </w:tc>
      </w:tr>
      <w:tr>
        <w:trPr>
          <w:cantSplit w:val="true"/>
        </w:trPr>
        <w:tc>
          <w:tcPr>
            <w:tcW w:type="dxa" w:w="2160"/>
            <w:vAlign w:val="center"/>
            <w:tcMar>
              <w:top w:w="80" w:type="dxa"/>
              <w:start w:w="120" w:type="dxa"/>
              <w:bottom w:w="80" w:type="dxa"/>
              <w:end w:w="120" w:type="dxa"/>
            </w:tcMar>
            <w:shd w:fill="F7F9FA"/>
          </w:tcPr>
          <w:p>
            <w:r/>
            <w:r>
              <w:rPr>
                <w:rFonts w:ascii="Calibri" w:hAnsi="Calibri"/>
                <w:b w:val="0"/>
                <w:color w:val="161513"/>
                <w:sz w:val="18"/>
              </w:rPr>
              <w:t>Compute + block volume</w:t>
            </w:r>
          </w:p>
        </w:tc>
        <w:tc>
          <w:tcPr>
            <w:tcW w:type="dxa" w:w="3456"/>
            <w:vAlign w:val="center"/>
            <w:tcMar>
              <w:top w:w="80" w:type="dxa"/>
              <w:start w:w="120" w:type="dxa"/>
              <w:bottom w:w="80" w:type="dxa"/>
              <w:end w:w="120" w:type="dxa"/>
            </w:tcMar>
            <w:shd w:fill="F7F9FA"/>
          </w:tcPr>
          <w:p>
            <w:r/>
            <w:r>
              <w:rPr>
                <w:rFonts w:ascii="Calibri" w:hAnsi="Calibri"/>
                <w:b w:val="0"/>
                <w:color w:val="161513"/>
                <w:sz w:val="18"/>
              </w:rPr>
              <w:t>Oracle Linux 8 runtime and durable local stores</w:t>
            </w:r>
          </w:p>
        </w:tc>
        <w:tc>
          <w:tcPr>
            <w:tcW w:type="dxa" w:w="3600"/>
            <w:vAlign w:val="center"/>
            <w:tcMar>
              <w:top w:w="80" w:type="dxa"/>
              <w:start w:w="120" w:type="dxa"/>
              <w:bottom w:w="80" w:type="dxa"/>
              <w:end w:w="120" w:type="dxa"/>
            </w:tcMar>
            <w:shd w:fill="F7F9FA"/>
          </w:tcPr>
          <w:p>
            <w:r/>
            <w:r>
              <w:rPr>
                <w:rFonts w:ascii="Calibri" w:hAnsi="Calibri"/>
                <w:b w:val="0"/>
                <w:color w:val="161513"/>
                <w:sz w:val="18"/>
              </w:rPr>
              <w:t>Deployment requirement</w:t>
            </w:r>
          </w:p>
        </w:tc>
      </w:tr>
      <w:tr>
        <w:trPr>
          <w:cantSplit w:val="true"/>
        </w:trPr>
        <w:tc>
          <w:tcPr>
            <w:tcW w:type="dxa" w:w="2160"/>
            <w:vAlign w:val="center"/>
            <w:tcMar>
              <w:top w:w="80" w:type="dxa"/>
              <w:start w:w="120" w:type="dxa"/>
              <w:bottom w:w="80" w:type="dxa"/>
              <w:end w:w="120" w:type="dxa"/>
            </w:tcMar>
          </w:tcPr>
          <w:p>
            <w:r/>
            <w:r>
              <w:rPr>
                <w:rFonts w:ascii="Calibri" w:hAnsi="Calibri"/>
                <w:b w:val="0"/>
                <w:color w:val="161513"/>
                <w:sz w:val="18"/>
              </w:rPr>
              <w:t>Load Balancer</w:t>
            </w:r>
          </w:p>
        </w:tc>
        <w:tc>
          <w:tcPr>
            <w:tcW w:type="dxa" w:w="3456"/>
            <w:vAlign w:val="center"/>
            <w:tcMar>
              <w:top w:w="80" w:type="dxa"/>
              <w:start w:w="120" w:type="dxa"/>
              <w:bottom w:w="80" w:type="dxa"/>
              <w:end w:w="120" w:type="dxa"/>
            </w:tcMar>
          </w:tcPr>
          <w:p>
            <w:r/>
            <w:r>
              <w:rPr>
                <w:rFonts w:ascii="Calibri" w:hAnsi="Calibri"/>
                <w:b w:val="0"/>
                <w:color w:val="161513"/>
                <w:sz w:val="18"/>
              </w:rPr>
              <w:t>TLS ingress and upstream authentication integration</w:t>
            </w:r>
          </w:p>
        </w:tc>
        <w:tc>
          <w:tcPr>
            <w:tcW w:type="dxa" w:w="3600"/>
            <w:vAlign w:val="center"/>
            <w:tcMar>
              <w:top w:w="80" w:type="dxa"/>
              <w:start w:w="120" w:type="dxa"/>
              <w:bottom w:w="80" w:type="dxa"/>
              <w:end w:w="120" w:type="dxa"/>
            </w:tcMar>
          </w:tcPr>
          <w:p>
            <w:r/>
            <w:r>
              <w:rPr>
                <w:rFonts w:ascii="Calibri" w:hAnsi="Calibri"/>
                <w:b w:val="0"/>
                <w:color w:val="161513"/>
                <w:sz w:val="18"/>
              </w:rPr>
              <w:t>Optional platform integration</w:t>
            </w:r>
          </w:p>
        </w:tc>
      </w:tr>
      <w:tr>
        <w:trPr>
          <w:cantSplit w:val="true"/>
        </w:trPr>
        <w:tc>
          <w:tcPr>
            <w:tcW w:type="dxa" w:w="2160"/>
            <w:vAlign w:val="center"/>
            <w:tcMar>
              <w:top w:w="80" w:type="dxa"/>
              <w:start w:w="120" w:type="dxa"/>
              <w:bottom w:w="80" w:type="dxa"/>
              <w:end w:w="120" w:type="dxa"/>
            </w:tcMar>
            <w:shd w:fill="F7F9FA"/>
          </w:tcPr>
          <w:p>
            <w:r/>
            <w:r>
              <w:rPr>
                <w:rFonts w:ascii="Calibri" w:hAnsi="Calibri"/>
                <w:b w:val="0"/>
                <w:color w:val="161513"/>
                <w:sz w:val="18"/>
              </w:rPr>
              <w:t>Vault</w:t>
            </w:r>
          </w:p>
        </w:tc>
        <w:tc>
          <w:tcPr>
            <w:tcW w:type="dxa" w:w="3456"/>
            <w:vAlign w:val="center"/>
            <w:tcMar>
              <w:top w:w="80" w:type="dxa"/>
              <w:start w:w="120" w:type="dxa"/>
              <w:bottom w:w="80" w:type="dxa"/>
              <w:end w:w="120" w:type="dxa"/>
            </w:tcMar>
            <w:shd w:fill="F7F9FA"/>
          </w:tcPr>
          <w:p>
            <w:r/>
            <w:r>
              <w:rPr>
                <w:rFonts w:ascii="Calibri" w:hAnsi="Calibri"/>
                <w:b w:val="0"/>
                <w:color w:val="161513"/>
                <w:sz w:val="18"/>
              </w:rPr>
              <w:t>Secret/key governance</w:t>
            </w:r>
          </w:p>
        </w:tc>
        <w:tc>
          <w:tcPr>
            <w:tcW w:type="dxa" w:w="3600"/>
            <w:vAlign w:val="center"/>
            <w:tcMar>
              <w:top w:w="80" w:type="dxa"/>
              <w:start w:w="120" w:type="dxa"/>
              <w:bottom w:w="80" w:type="dxa"/>
              <w:end w:w="120" w:type="dxa"/>
            </w:tcMar>
            <w:shd w:fill="F7F9FA"/>
          </w:tcPr>
          <w:p>
            <w:r/>
            <w:r>
              <w:rPr>
                <w:rFonts w:ascii="Calibri" w:hAnsi="Calibri"/>
                <w:b w:val="0"/>
                <w:color w:val="161513"/>
                <w:sz w:val="18"/>
              </w:rPr>
              <w:t>Optional; app currently consumes environment/session values</w:t>
            </w:r>
          </w:p>
        </w:tc>
      </w:tr>
      <w:tr>
        <w:trPr>
          <w:cantSplit w:val="true"/>
        </w:trPr>
        <w:tc>
          <w:tcPr>
            <w:tcW w:type="dxa" w:w="2160"/>
            <w:vAlign w:val="center"/>
            <w:tcMar>
              <w:top w:w="80" w:type="dxa"/>
              <w:start w:w="120" w:type="dxa"/>
              <w:bottom w:w="80" w:type="dxa"/>
              <w:end w:w="120" w:type="dxa"/>
            </w:tcMar>
          </w:tcPr>
          <w:p>
            <w:r/>
            <w:r>
              <w:rPr>
                <w:rFonts w:ascii="Calibri" w:hAnsi="Calibri"/>
                <w:b w:val="0"/>
                <w:color w:val="161513"/>
                <w:sz w:val="18"/>
              </w:rPr>
              <w:t>Generative AI</w:t>
            </w:r>
          </w:p>
        </w:tc>
        <w:tc>
          <w:tcPr>
            <w:tcW w:type="dxa" w:w="3456"/>
            <w:vAlign w:val="center"/>
            <w:tcMar>
              <w:top w:w="80" w:type="dxa"/>
              <w:start w:w="120" w:type="dxa"/>
              <w:bottom w:w="80" w:type="dxa"/>
              <w:end w:w="120" w:type="dxa"/>
            </w:tcMar>
          </w:tcPr>
          <w:p>
            <w:r/>
            <w:r>
              <w:rPr>
                <w:rFonts w:ascii="Calibri" w:hAnsi="Calibri"/>
                <w:b w:val="0"/>
                <w:color w:val="161513"/>
                <w:sz w:val="18"/>
              </w:rPr>
              <w:t>Optional natural-language tool proposal</w:t>
            </w:r>
          </w:p>
        </w:tc>
        <w:tc>
          <w:tcPr>
            <w:tcW w:type="dxa" w:w="3600"/>
            <w:vAlign w:val="center"/>
            <w:tcMar>
              <w:top w:w="80" w:type="dxa"/>
              <w:start w:w="120" w:type="dxa"/>
              <w:bottom w:w="80" w:type="dxa"/>
              <w:end w:w="120" w:type="dxa"/>
            </w:tcMar>
          </w:tcPr>
          <w:p>
            <w:r/>
            <w:r>
              <w:rPr>
                <w:rFonts w:ascii="Calibri" w:hAnsi="Calibri"/>
                <w:b w:val="0"/>
                <w:color w:val="161513"/>
                <w:sz w:val="18"/>
              </w:rPr>
              <w:t>Implemented OpenAI-compatible adapter; opt-in</w:t>
            </w:r>
          </w:p>
        </w:tc>
      </w:tr>
      <w:tr>
        <w:trPr>
          <w:cantSplit w:val="true"/>
        </w:trPr>
        <w:tc>
          <w:tcPr>
            <w:tcW w:type="dxa" w:w="2160"/>
            <w:vAlign w:val="center"/>
            <w:tcMar>
              <w:top w:w="80" w:type="dxa"/>
              <w:start w:w="120" w:type="dxa"/>
              <w:bottom w:w="80" w:type="dxa"/>
              <w:end w:w="120" w:type="dxa"/>
            </w:tcMar>
            <w:shd w:fill="F7F9FA"/>
          </w:tcPr>
          <w:p>
            <w:r/>
            <w:r>
              <w:rPr>
                <w:rFonts w:ascii="Calibri" w:hAnsi="Calibri"/>
                <w:b w:val="0"/>
                <w:color w:val="161513"/>
                <w:sz w:val="18"/>
              </w:rPr>
              <w:t>Logging/Monitoring</w:t>
            </w:r>
          </w:p>
        </w:tc>
        <w:tc>
          <w:tcPr>
            <w:tcW w:type="dxa" w:w="3456"/>
            <w:vAlign w:val="center"/>
            <w:tcMar>
              <w:top w:w="80" w:type="dxa"/>
              <w:start w:w="120" w:type="dxa"/>
              <w:bottom w:w="80" w:type="dxa"/>
              <w:end w:w="120" w:type="dxa"/>
            </w:tcMar>
            <w:shd w:fill="F7F9FA"/>
          </w:tcPr>
          <w:p>
            <w:r/>
            <w:r>
              <w:rPr>
                <w:rFonts w:ascii="Calibri" w:hAnsi="Calibri"/>
                <w:b w:val="0"/>
                <w:color w:val="161513"/>
                <w:sz w:val="18"/>
              </w:rPr>
              <w:t>Central logs, metrics and alarms</w:t>
            </w:r>
          </w:p>
        </w:tc>
        <w:tc>
          <w:tcPr>
            <w:tcW w:type="dxa" w:w="3600"/>
            <w:vAlign w:val="center"/>
            <w:tcMar>
              <w:top w:w="80" w:type="dxa"/>
              <w:start w:w="120" w:type="dxa"/>
              <w:bottom w:w="80" w:type="dxa"/>
              <w:end w:w="120" w:type="dxa"/>
            </w:tcMar>
            <w:shd w:fill="F7F9FA"/>
          </w:tcPr>
          <w:p>
            <w:r/>
            <w:r>
              <w:rPr>
                <w:rFonts w:ascii="Calibri" w:hAnsi="Calibri"/>
                <w:b w:val="0"/>
                <w:color w:val="161513"/>
                <w:sz w:val="18"/>
              </w:rPr>
              <w:t>Optional platform agents/integration</w:t>
            </w:r>
          </w:p>
        </w:tc>
      </w:tr>
      <w:tr>
        <w:trPr>
          <w:cantSplit w:val="true"/>
        </w:trPr>
        <w:tc>
          <w:tcPr>
            <w:tcW w:type="dxa" w:w="2160"/>
            <w:vAlign w:val="center"/>
            <w:tcMar>
              <w:top w:w="80" w:type="dxa"/>
              <w:start w:w="120" w:type="dxa"/>
              <w:bottom w:w="80" w:type="dxa"/>
              <w:end w:w="120" w:type="dxa"/>
            </w:tcMar>
          </w:tcPr>
          <w:p>
            <w:r/>
            <w:r>
              <w:rPr>
                <w:rFonts w:ascii="Calibri" w:hAnsi="Calibri"/>
                <w:b w:val="0"/>
                <w:color w:val="161513"/>
                <w:sz w:val="18"/>
              </w:rPr>
              <w:t>Notifications</w:t>
            </w:r>
          </w:p>
        </w:tc>
        <w:tc>
          <w:tcPr>
            <w:tcW w:type="dxa" w:w="3456"/>
            <w:vAlign w:val="center"/>
            <w:tcMar>
              <w:top w:w="80" w:type="dxa"/>
              <w:start w:w="120" w:type="dxa"/>
              <w:bottom w:w="80" w:type="dxa"/>
              <w:end w:w="120" w:type="dxa"/>
            </w:tcMar>
          </w:tcPr>
          <w:p>
            <w:r/>
            <w:r>
              <w:rPr>
                <w:rFonts w:ascii="Calibri" w:hAnsi="Calibri"/>
                <w:b w:val="0"/>
                <w:color w:val="161513"/>
                <w:sz w:val="18"/>
              </w:rPr>
              <w:t>Alarm delivery</w:t>
            </w:r>
          </w:p>
        </w:tc>
        <w:tc>
          <w:tcPr>
            <w:tcW w:type="dxa" w:w="3600"/>
            <w:vAlign w:val="center"/>
            <w:tcMar>
              <w:top w:w="80" w:type="dxa"/>
              <w:start w:w="120" w:type="dxa"/>
              <w:bottom w:w="80" w:type="dxa"/>
              <w:end w:w="120" w:type="dxa"/>
            </w:tcMar>
          </w:tcPr>
          <w:p>
            <w:r/>
            <w:r>
              <w:rPr>
                <w:rFonts w:ascii="Calibri" w:hAnsi="Calibri"/>
                <w:b w:val="0"/>
                <w:color w:val="161513"/>
                <w:sz w:val="18"/>
              </w:rPr>
              <w:t>Optional platform integration</w:t>
            </w:r>
          </w:p>
        </w:tc>
      </w:tr>
      <w:tr>
        <w:trPr>
          <w:cantSplit w:val="true"/>
        </w:trPr>
        <w:tc>
          <w:tcPr>
            <w:tcW w:type="dxa" w:w="2160"/>
            <w:vAlign w:val="center"/>
            <w:tcMar>
              <w:top w:w="80" w:type="dxa"/>
              <w:start w:w="120" w:type="dxa"/>
              <w:bottom w:w="80" w:type="dxa"/>
              <w:end w:w="120" w:type="dxa"/>
            </w:tcMar>
            <w:shd w:fill="F7F9FA"/>
          </w:tcPr>
          <w:p>
            <w:r/>
            <w:r>
              <w:rPr>
                <w:rFonts w:ascii="Calibri" w:hAnsi="Calibri"/>
                <w:b w:val="0"/>
                <w:color w:val="161513"/>
                <w:sz w:val="18"/>
              </w:rPr>
              <w:t>Object Storage</w:t>
            </w:r>
          </w:p>
        </w:tc>
        <w:tc>
          <w:tcPr>
            <w:tcW w:type="dxa" w:w="3456"/>
            <w:vAlign w:val="center"/>
            <w:tcMar>
              <w:top w:w="80" w:type="dxa"/>
              <w:start w:w="120" w:type="dxa"/>
              <w:bottom w:w="80" w:type="dxa"/>
              <w:end w:w="120" w:type="dxa"/>
            </w:tcMar>
            <w:shd w:fill="F7F9FA"/>
          </w:tcPr>
          <w:p>
            <w:r/>
            <w:r>
              <w:rPr>
                <w:rFonts w:ascii="Calibri" w:hAnsi="Calibri"/>
                <w:b w:val="0"/>
                <w:color w:val="161513"/>
                <w:sz w:val="18"/>
              </w:rPr>
              <w:t>Report/archive retention</w:t>
            </w:r>
          </w:p>
        </w:tc>
        <w:tc>
          <w:tcPr>
            <w:tcW w:type="dxa" w:w="3600"/>
            <w:vAlign w:val="center"/>
            <w:tcMar>
              <w:top w:w="80" w:type="dxa"/>
              <w:start w:w="120" w:type="dxa"/>
              <w:bottom w:w="80" w:type="dxa"/>
              <w:end w:w="120" w:type="dxa"/>
            </w:tcMar>
            <w:shd w:fill="F7F9FA"/>
          </w:tcPr>
          <w:p>
            <w:r/>
            <w:r>
              <w:rPr>
                <w:rFonts w:ascii="Calibri" w:hAnsi="Calibri"/>
                <w:b w:val="0"/>
                <w:color w:val="161513"/>
                <w:sz w:val="18"/>
              </w:rPr>
              <w:t>Optional platform integration</w:t>
            </w:r>
          </w:p>
        </w:tc>
      </w:tr>
      <w:tr>
        <w:trPr>
          <w:cantSplit w:val="true"/>
        </w:trPr>
        <w:tc>
          <w:tcPr>
            <w:tcW w:type="dxa" w:w="2160"/>
            <w:vAlign w:val="center"/>
            <w:tcMar>
              <w:top w:w="80" w:type="dxa"/>
              <w:start w:w="120" w:type="dxa"/>
              <w:bottom w:w="80" w:type="dxa"/>
              <w:end w:w="120" w:type="dxa"/>
            </w:tcMar>
          </w:tcPr>
          <w:p>
            <w:r/>
            <w:r>
              <w:rPr>
                <w:rFonts w:ascii="Calibri" w:hAnsi="Calibri"/>
                <w:b w:val="0"/>
                <w:color w:val="161513"/>
                <w:sz w:val="18"/>
              </w:rPr>
              <w:t>DRG/VPN/FastConnect</w:t>
            </w:r>
          </w:p>
        </w:tc>
        <w:tc>
          <w:tcPr>
            <w:tcW w:type="dxa" w:w="3456"/>
            <w:vAlign w:val="center"/>
            <w:tcMar>
              <w:top w:w="80" w:type="dxa"/>
              <w:start w:w="120" w:type="dxa"/>
              <w:bottom w:w="80" w:type="dxa"/>
              <w:end w:w="120" w:type="dxa"/>
            </w:tcMar>
          </w:tcPr>
          <w:p>
            <w:r/>
            <w:r>
              <w:rPr>
                <w:rFonts w:ascii="Calibri" w:hAnsi="Calibri"/>
                <w:b w:val="0"/>
                <w:color w:val="161513"/>
                <w:sz w:val="18"/>
              </w:rPr>
              <w:t>Private path to OEM / managed estate</w:t>
            </w:r>
          </w:p>
        </w:tc>
        <w:tc>
          <w:tcPr>
            <w:tcW w:type="dxa" w:w="3600"/>
            <w:vAlign w:val="center"/>
            <w:tcMar>
              <w:top w:w="80" w:type="dxa"/>
              <w:start w:w="120" w:type="dxa"/>
              <w:bottom w:w="80" w:type="dxa"/>
              <w:end w:w="120" w:type="dxa"/>
            </w:tcMar>
          </w:tcPr>
          <w:p>
            <w:r/>
            <w:r>
              <w:rPr>
                <w:rFonts w:ascii="Calibri" w:hAnsi="Calibri"/>
                <w:b w:val="0"/>
                <w:color w:val="161513"/>
                <w:sz w:val="18"/>
              </w:rPr>
              <w:t>Environment-specific network integration</w:t>
            </w:r>
          </w:p>
        </w:tc>
      </w:tr>
    </w:tbl>
    <w:p/>
    <w:p>
      <w:pPr>
        <w:pStyle w:val="Heading1"/>
        <w:keepNext/>
      </w:pPr>
      <w:r>
        <w:t>10. Operations and observability</w:t>
      </w:r>
    </w:p>
    <w:p>
      <w:pPr>
        <w:pStyle w:val="Heading2"/>
        <w:keepNext/>
      </w:pPr>
      <w:r>
        <w:t>10.1 Health and diagnostics</w:t>
      </w:r>
    </w:p>
    <w:p>
      <w:pPr>
        <w:pStyle w:val="ListBullet"/>
        <w:keepLines/>
      </w:pPr>
      <w:r>
        <w:t>Use Diagnostics for safe endpoint, protocol, capability count, paths and feature-gate state.</w:t>
      </w:r>
    </w:p>
    <w:p>
      <w:pPr>
        <w:pStyle w:val="ListBullet"/>
        <w:keepLines/>
      </w:pPr>
      <w:r>
        <w:t>Use the local operations fragment for CPU, load, memory, disk and indicative health score.</w:t>
      </w:r>
    </w:p>
    <w:p>
      <w:pPr>
        <w:pStyle w:val="ListBullet"/>
        <w:keepLines/>
      </w:pPr>
      <w:r>
        <w:t>Use scripts/diagnose.sh for local prerequisites and optional live OEM initialize/discovery.</w:t>
      </w:r>
    </w:p>
    <w:p>
      <w:pPr>
        <w:pStyle w:val="ListBullet"/>
        <w:keepLines/>
      </w:pPr>
      <w:r>
        <w:t>Use scripts/smoke-test.sh and the Streamlit health endpoint after start/redeploy.</w:t>
      </w:r>
    </w:p>
    <w:p>
      <w:pPr>
        <w:pStyle w:val="ListBullet"/>
        <w:keepLines/>
      </w:pPr>
      <w:r>
        <w:t>Use History &amp; logs for sanitized connection and execution timelines; use OEM audit for authoritative action records.</w:t>
      </w:r>
    </w:p>
    <w:p>
      <w:pPr>
        <w:pStyle w:val="Heading2"/>
        <w:keepNext/>
      </w:pPr>
      <w:r>
        <w:t>10.2 Backup and recovery</w:t>
      </w:r>
    </w:p>
    <w:p>
      <w:pPr>
        <w:pStyle w:val="ListBullet"/>
        <w:keepLines/>
      </w:pPr>
      <w:r>
        <w:t>Back up data/history.sqlite3, data/workspace.sqlite3 and non-secret profile JSON using an application-consistent method.</w:t>
      </w:r>
    </w:p>
    <w:p>
      <w:pPr>
        <w:pStyle w:val="ListBullet"/>
        <w:keepLines/>
      </w:pPr>
      <w:r>
        <w:t>Protect runtime environment files separately as secrets; do not place them in application backups that have broader readers.</w:t>
      </w:r>
    </w:p>
    <w:p>
      <w:pPr>
        <w:pStyle w:val="ListBullet"/>
        <w:keepLines/>
      </w:pPr>
      <w:r>
        <w:t>Test restore on a non-production host and confirm schema initialization is idempotent.</w:t>
      </w:r>
    </w:p>
    <w:p>
      <w:pPr>
        <w:pStyle w:val="ListBullet"/>
        <w:keepLines/>
      </w:pPr>
      <w:r>
        <w:t>Treat queued/running jobs at crash time as unknown and reconcile them with OEM audit before rerun.</w:t>
      </w:r>
    </w:p>
    <w:p>
      <w:pPr>
        <w:pStyle w:val="Heading2"/>
        <w:keepNext/>
      </w:pPr>
      <w:r>
        <w:t>10.3 Capacity</w:t>
      </w:r>
    </w:p>
    <w:p>
      <w:r>
        <w:t>The design targets a small operator group and one application process. SQLite WAL and two worker threads are the default. Increase OEM_MCP_JOB_WORKERS only after verifying OEM request limits, host resources and request thread safety. For horizontal scale, replace local session/workspace/job state with shared identity, database and queue services.</w:t>
      </w:r>
    </w:p>
    <w:p>
      <w:pPr>
        <w:pStyle w:val="Heading1"/>
        <w:keepNext/>
      </w:pPr>
      <w:r>
        <w:t>11. Failure modes and recovery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232"/>
            <w:vAlign w:val="center"/>
            <w:tcMar>
              <w:top w:w="80" w:type="dxa"/>
              <w:start w:w="120" w:type="dxa"/>
              <w:bottom w:w="80" w:type="dxa"/>
              <w:end w:w="120" w:type="dxa"/>
            </w:tcMar>
            <w:shd w:fill="E8EEF5"/>
          </w:tcPr>
          <w:p>
            <w:r>
              <w:rPr>
                <w:b/>
                <w:color w:val="174A5B"/>
              </w:rPr>
            </w:r>
            <w:r>
              <w:rPr>
                <w:rFonts w:ascii="Calibri" w:hAnsi="Calibri"/>
                <w:b/>
                <w:color w:val="174A5B"/>
                <w:sz w:val="18"/>
              </w:rPr>
              <w:t>Failure</w:t>
            </w:r>
          </w:p>
        </w:tc>
        <w:tc>
          <w:tcPr>
            <w:tcW w:type="dxa" w:w="2880"/>
            <w:vAlign w:val="center"/>
            <w:tcMar>
              <w:top w:w="80" w:type="dxa"/>
              <w:start w:w="120" w:type="dxa"/>
              <w:bottom w:w="80" w:type="dxa"/>
              <w:end w:w="120" w:type="dxa"/>
            </w:tcMar>
            <w:shd w:fill="E8EEF5"/>
          </w:tcPr>
          <w:p>
            <w:r>
              <w:rPr>
                <w:b/>
                <w:color w:val="174A5B"/>
              </w:rPr>
            </w:r>
            <w:r>
              <w:rPr>
                <w:rFonts w:ascii="Calibri" w:hAnsi="Calibri"/>
                <w:b/>
                <w:color w:val="174A5B"/>
                <w:sz w:val="18"/>
              </w:rPr>
              <w:t>Detection</w:t>
            </w:r>
          </w:p>
        </w:tc>
        <w:tc>
          <w:tcPr>
            <w:tcW w:type="dxa" w:w="4104"/>
            <w:vAlign w:val="center"/>
            <w:tcMar>
              <w:top w:w="80" w:type="dxa"/>
              <w:start w:w="120" w:type="dxa"/>
              <w:bottom w:w="80" w:type="dxa"/>
              <w:end w:w="120" w:type="dxa"/>
            </w:tcMar>
            <w:shd w:fill="E8EEF5"/>
          </w:tcPr>
          <w:p>
            <w:r>
              <w:rPr>
                <w:b/>
                <w:color w:val="174A5B"/>
              </w:rPr>
            </w:r>
            <w:r>
              <w:rPr>
                <w:rFonts w:ascii="Calibri" w:hAnsi="Calibri"/>
                <w:b/>
                <w:color w:val="174A5B"/>
                <w:sz w:val="18"/>
              </w:rPr>
              <w:t>Recovery / safety outcome</w:t>
            </w:r>
          </w:p>
        </w:tc>
      </w:tr>
      <w:tr>
        <w:trPr>
          <w:cantSplit w:val="true"/>
        </w:trPr>
        <w:tc>
          <w:tcPr>
            <w:tcW w:type="dxa" w:w="2232"/>
            <w:vAlign w:val="center"/>
            <w:tcMar>
              <w:top w:w="80" w:type="dxa"/>
              <w:start w:w="120" w:type="dxa"/>
              <w:bottom w:w="80" w:type="dxa"/>
              <w:end w:w="120" w:type="dxa"/>
            </w:tcMar>
          </w:tcPr>
          <w:p>
            <w:r/>
            <w:r>
              <w:rPr>
                <w:rFonts w:ascii="Calibri" w:hAnsi="Calibri"/>
                <w:b w:val="0"/>
                <w:color w:val="161513"/>
                <w:sz w:val="18"/>
              </w:rPr>
              <w:t>OEM unreachable / TLS failure</w:t>
            </w:r>
          </w:p>
        </w:tc>
        <w:tc>
          <w:tcPr>
            <w:tcW w:type="dxa" w:w="2880"/>
            <w:vAlign w:val="center"/>
            <w:tcMar>
              <w:top w:w="80" w:type="dxa"/>
              <w:start w:w="120" w:type="dxa"/>
              <w:bottom w:w="80" w:type="dxa"/>
              <w:end w:w="120" w:type="dxa"/>
            </w:tcMar>
          </w:tcPr>
          <w:p>
            <w:r/>
            <w:r>
              <w:rPr>
                <w:rFonts w:ascii="Calibri" w:hAnsi="Calibri"/>
                <w:b w:val="0"/>
                <w:color w:val="161513"/>
                <w:sz w:val="18"/>
              </w:rPr>
              <w:t>Connection error, diagnostic, transport log</w:t>
            </w:r>
          </w:p>
        </w:tc>
        <w:tc>
          <w:tcPr>
            <w:tcW w:type="dxa" w:w="4104"/>
            <w:vAlign w:val="center"/>
            <w:tcMar>
              <w:top w:w="80" w:type="dxa"/>
              <w:start w:w="120" w:type="dxa"/>
              <w:bottom w:w="80" w:type="dxa"/>
              <w:end w:w="120" w:type="dxa"/>
            </w:tcMar>
          </w:tcPr>
          <w:p>
            <w:r/>
            <w:r>
              <w:rPr>
                <w:rFonts w:ascii="Calibri" w:hAnsi="Calibri"/>
                <w:b w:val="0"/>
                <w:color w:val="161513"/>
                <w:sz w:val="18"/>
              </w:rPr>
              <w:t>No execution; correct route/CA and reconnect</w:t>
            </w:r>
          </w:p>
        </w:tc>
      </w:tr>
      <w:tr>
        <w:trPr>
          <w:cantSplit w:val="true"/>
        </w:trPr>
        <w:tc>
          <w:tcPr>
            <w:tcW w:type="dxa" w:w="2232"/>
            <w:vAlign w:val="center"/>
            <w:tcMar>
              <w:top w:w="80" w:type="dxa"/>
              <w:start w:w="120" w:type="dxa"/>
              <w:bottom w:w="80" w:type="dxa"/>
              <w:end w:w="120" w:type="dxa"/>
            </w:tcMar>
            <w:shd w:fill="F7F9FA"/>
          </w:tcPr>
          <w:p>
            <w:r/>
            <w:r>
              <w:rPr>
                <w:rFonts w:ascii="Calibri" w:hAnsi="Calibri"/>
                <w:b w:val="0"/>
                <w:color w:val="161513"/>
                <w:sz w:val="18"/>
              </w:rPr>
              <w:t>MCP session expires</w:t>
            </w:r>
          </w:p>
        </w:tc>
        <w:tc>
          <w:tcPr>
            <w:tcW w:type="dxa" w:w="2880"/>
            <w:vAlign w:val="center"/>
            <w:tcMar>
              <w:top w:w="80" w:type="dxa"/>
              <w:start w:w="120" w:type="dxa"/>
              <w:bottom w:w="80" w:type="dxa"/>
              <w:end w:w="120" w:type="dxa"/>
            </w:tcMar>
            <w:shd w:fill="F7F9FA"/>
          </w:tcPr>
          <w:p>
            <w:r/>
            <w:r>
              <w:rPr>
                <w:rFonts w:ascii="Calibri" w:hAnsi="Calibri"/>
                <w:b w:val="0"/>
                <w:color w:val="161513"/>
                <w:sz w:val="18"/>
              </w:rPr>
              <w:t>404 with session ID</w:t>
            </w:r>
          </w:p>
        </w:tc>
        <w:tc>
          <w:tcPr>
            <w:tcW w:type="dxa" w:w="4104"/>
            <w:vAlign w:val="center"/>
            <w:tcMar>
              <w:top w:w="80" w:type="dxa"/>
              <w:start w:w="120" w:type="dxa"/>
              <w:bottom w:w="80" w:type="dxa"/>
              <w:end w:w="120" w:type="dxa"/>
            </w:tcMar>
            <w:shd w:fill="F7F9FA"/>
          </w:tcPr>
          <w:p>
            <w:r/>
            <w:r>
              <w:rPr>
                <w:rFonts w:ascii="Calibri" w:hAnsi="Calibri"/>
                <w:b w:val="0"/>
                <w:color w:val="161513"/>
                <w:sz w:val="18"/>
              </w:rPr>
              <w:t>Reconnect and rediscover before retry</w:t>
            </w:r>
          </w:p>
        </w:tc>
      </w:tr>
      <w:tr>
        <w:trPr>
          <w:cantSplit w:val="true"/>
        </w:trPr>
        <w:tc>
          <w:tcPr>
            <w:tcW w:type="dxa" w:w="2232"/>
            <w:vAlign w:val="center"/>
            <w:tcMar>
              <w:top w:w="80" w:type="dxa"/>
              <w:start w:w="120" w:type="dxa"/>
              <w:bottom w:w="80" w:type="dxa"/>
              <w:end w:w="120" w:type="dxa"/>
            </w:tcMar>
          </w:tcPr>
          <w:p>
            <w:r/>
            <w:r>
              <w:rPr>
                <w:rFonts w:ascii="Calibri" w:hAnsi="Calibri"/>
                <w:b w:val="0"/>
                <w:color w:val="161513"/>
                <w:sz w:val="18"/>
              </w:rPr>
              <w:t>Policy file invalid</w:t>
            </w:r>
          </w:p>
        </w:tc>
        <w:tc>
          <w:tcPr>
            <w:tcW w:type="dxa" w:w="2880"/>
            <w:vAlign w:val="center"/>
            <w:tcMar>
              <w:top w:w="80" w:type="dxa"/>
              <w:start w:w="120" w:type="dxa"/>
              <w:bottom w:w="80" w:type="dxa"/>
              <w:end w:w="120" w:type="dxa"/>
            </w:tcMar>
          </w:tcPr>
          <w:p>
            <w:r/>
            <w:r>
              <w:rPr>
                <w:rFonts w:ascii="Calibri" w:hAnsi="Calibri"/>
                <w:b w:val="0"/>
                <w:color w:val="161513"/>
                <w:sz w:val="18"/>
              </w:rPr>
              <w:t>Startup governance warning</w:t>
            </w:r>
          </w:p>
        </w:tc>
        <w:tc>
          <w:tcPr>
            <w:tcW w:type="dxa" w:w="4104"/>
            <w:vAlign w:val="center"/>
            <w:tcMar>
              <w:top w:w="80" w:type="dxa"/>
              <w:start w:w="120" w:type="dxa"/>
              <w:bottom w:w="80" w:type="dxa"/>
              <w:end w:w="120" w:type="dxa"/>
            </w:tcMar>
          </w:tcPr>
          <w:p>
            <w:r/>
            <w:r>
              <w:rPr>
                <w:rFonts w:ascii="Calibri" w:hAnsi="Calibri"/>
                <w:b w:val="0"/>
                <w:color w:val="161513"/>
                <w:sz w:val="18"/>
              </w:rPr>
              <w:t>Built-in read-only fallback remains active</w:t>
            </w:r>
          </w:p>
        </w:tc>
      </w:tr>
      <w:tr>
        <w:trPr>
          <w:cantSplit w:val="true"/>
        </w:trPr>
        <w:tc>
          <w:tcPr>
            <w:tcW w:type="dxa" w:w="2232"/>
            <w:vAlign w:val="center"/>
            <w:tcMar>
              <w:top w:w="80" w:type="dxa"/>
              <w:start w:w="120" w:type="dxa"/>
              <w:bottom w:w="80" w:type="dxa"/>
              <w:end w:w="120" w:type="dxa"/>
            </w:tcMar>
            <w:shd w:fill="F7F9FA"/>
          </w:tcPr>
          <w:p>
            <w:r/>
            <w:r>
              <w:rPr>
                <w:rFonts w:ascii="Calibri" w:hAnsi="Calibri"/>
                <w:b w:val="0"/>
                <w:color w:val="161513"/>
                <w:sz w:val="18"/>
              </w:rPr>
              <w:t>Approval expired</w:t>
            </w:r>
          </w:p>
        </w:tc>
        <w:tc>
          <w:tcPr>
            <w:tcW w:type="dxa" w:w="2880"/>
            <w:vAlign w:val="center"/>
            <w:tcMar>
              <w:top w:w="80" w:type="dxa"/>
              <w:start w:w="120" w:type="dxa"/>
              <w:bottom w:w="80" w:type="dxa"/>
              <w:end w:w="120" w:type="dxa"/>
            </w:tcMar>
            <w:shd w:fill="F7F9FA"/>
          </w:tcPr>
          <w:p>
            <w:r/>
            <w:r>
              <w:rPr>
                <w:rFonts w:ascii="Calibri" w:hAnsi="Calibri"/>
                <w:b w:val="0"/>
                <w:color w:val="161513"/>
                <w:sz w:val="18"/>
              </w:rPr>
              <w:t>Execution lookup fails</w:t>
            </w:r>
          </w:p>
        </w:tc>
        <w:tc>
          <w:tcPr>
            <w:tcW w:type="dxa" w:w="4104"/>
            <w:vAlign w:val="center"/>
            <w:tcMar>
              <w:top w:w="80" w:type="dxa"/>
              <w:start w:w="120" w:type="dxa"/>
              <w:bottom w:w="80" w:type="dxa"/>
              <w:end w:w="120" w:type="dxa"/>
            </w:tcMar>
            <w:shd w:fill="F7F9FA"/>
          </w:tcPr>
          <w:p>
            <w:r/>
            <w:r>
              <w:rPr>
                <w:rFonts w:ascii="Calibri" w:hAnsi="Calibri"/>
                <w:b w:val="0"/>
                <w:color w:val="161513"/>
                <w:sz w:val="18"/>
              </w:rPr>
              <w:t>Create a new exact request and independent decision</w:t>
            </w:r>
          </w:p>
        </w:tc>
      </w:tr>
      <w:tr>
        <w:trPr>
          <w:cantSplit w:val="true"/>
        </w:trPr>
        <w:tc>
          <w:tcPr>
            <w:tcW w:type="dxa" w:w="2232"/>
            <w:vAlign w:val="center"/>
            <w:tcMar>
              <w:top w:w="80" w:type="dxa"/>
              <w:start w:w="120" w:type="dxa"/>
              <w:bottom w:w="80" w:type="dxa"/>
              <w:end w:w="120" w:type="dxa"/>
            </w:tcMar>
          </w:tcPr>
          <w:p>
            <w:r/>
            <w:r>
              <w:rPr>
                <w:rFonts w:ascii="Calibri" w:hAnsi="Calibri"/>
                <w:b w:val="0"/>
                <w:color w:val="161513"/>
                <w:sz w:val="18"/>
              </w:rPr>
              <w:t>Worker exception</w:t>
            </w:r>
          </w:p>
        </w:tc>
        <w:tc>
          <w:tcPr>
            <w:tcW w:type="dxa" w:w="2880"/>
            <w:vAlign w:val="center"/>
            <w:tcMar>
              <w:top w:w="80" w:type="dxa"/>
              <w:start w:w="120" w:type="dxa"/>
              <w:bottom w:w="80" w:type="dxa"/>
              <w:end w:w="120" w:type="dxa"/>
            </w:tcMar>
          </w:tcPr>
          <w:p>
            <w:r/>
            <w:r>
              <w:rPr>
                <w:rFonts w:ascii="Calibri" w:hAnsi="Calibri"/>
                <w:b w:val="0"/>
                <w:color w:val="161513"/>
                <w:sz w:val="18"/>
              </w:rPr>
              <w:t>Job failed with exception type</w:t>
            </w:r>
          </w:p>
        </w:tc>
        <w:tc>
          <w:tcPr>
            <w:tcW w:type="dxa" w:w="4104"/>
            <w:vAlign w:val="center"/>
            <w:tcMar>
              <w:top w:w="80" w:type="dxa"/>
              <w:start w:w="120" w:type="dxa"/>
              <w:bottom w:w="80" w:type="dxa"/>
              <w:end w:w="120" w:type="dxa"/>
            </w:tcMar>
          </w:tcPr>
          <w:p>
            <w:r/>
            <w:r>
              <w:rPr>
                <w:rFonts w:ascii="Calibri" w:hAnsi="Calibri"/>
                <w:b w:val="0"/>
                <w:color w:val="161513"/>
                <w:sz w:val="18"/>
              </w:rPr>
              <w:t>Inspect OEM audit/log, correct input, deliberately resubmit</w:t>
            </w:r>
          </w:p>
        </w:tc>
      </w:tr>
      <w:tr>
        <w:trPr>
          <w:cantSplit w:val="true"/>
        </w:trPr>
        <w:tc>
          <w:tcPr>
            <w:tcW w:type="dxa" w:w="2232"/>
            <w:vAlign w:val="center"/>
            <w:tcMar>
              <w:top w:w="80" w:type="dxa"/>
              <w:start w:w="120" w:type="dxa"/>
              <w:bottom w:w="80" w:type="dxa"/>
              <w:end w:w="120" w:type="dxa"/>
            </w:tcMar>
            <w:shd w:fill="F7F9FA"/>
          </w:tcPr>
          <w:p>
            <w:r/>
            <w:r>
              <w:rPr>
                <w:rFonts w:ascii="Calibri" w:hAnsi="Calibri"/>
                <w:b w:val="0"/>
                <w:color w:val="161513"/>
                <w:sz w:val="18"/>
              </w:rPr>
              <w:t>Process restart</w:t>
            </w:r>
          </w:p>
        </w:tc>
        <w:tc>
          <w:tcPr>
            <w:tcW w:type="dxa" w:w="2880"/>
            <w:vAlign w:val="center"/>
            <w:tcMar>
              <w:top w:w="80" w:type="dxa"/>
              <w:start w:w="120" w:type="dxa"/>
              <w:bottom w:w="80" w:type="dxa"/>
              <w:end w:w="120" w:type="dxa"/>
            </w:tcMar>
            <w:shd w:fill="F7F9FA"/>
          </w:tcPr>
          <w:p>
            <w:r/>
            <w:r>
              <w:rPr>
                <w:rFonts w:ascii="Calibri" w:hAnsi="Calibri"/>
                <w:b w:val="0"/>
                <w:color w:val="161513"/>
                <w:sz w:val="18"/>
              </w:rPr>
              <w:t>In-memory clients/jobs lost</w:t>
            </w:r>
          </w:p>
        </w:tc>
        <w:tc>
          <w:tcPr>
            <w:tcW w:type="dxa" w:w="4104"/>
            <w:vAlign w:val="center"/>
            <w:tcMar>
              <w:top w:w="80" w:type="dxa"/>
              <w:start w:w="120" w:type="dxa"/>
              <w:bottom w:w="80" w:type="dxa"/>
              <w:end w:w="120" w:type="dxa"/>
            </w:tcMar>
            <w:shd w:fill="F7F9FA"/>
          </w:tcPr>
          <w:p>
            <w:r/>
            <w:r>
              <w:rPr>
                <w:rFonts w:ascii="Calibri" w:hAnsi="Calibri"/>
                <w:b w:val="0"/>
                <w:color w:val="161513"/>
                <w:sz w:val="18"/>
              </w:rPr>
              <w:t>Reconnect fleet; reconcile queued/running persisted jobs</w:t>
            </w:r>
          </w:p>
        </w:tc>
      </w:tr>
      <w:tr>
        <w:trPr>
          <w:cantSplit w:val="true"/>
        </w:trPr>
        <w:tc>
          <w:tcPr>
            <w:tcW w:type="dxa" w:w="2232"/>
            <w:vAlign w:val="center"/>
            <w:tcMar>
              <w:top w:w="80" w:type="dxa"/>
              <w:start w:w="120" w:type="dxa"/>
              <w:bottom w:w="80" w:type="dxa"/>
              <w:end w:w="120" w:type="dxa"/>
            </w:tcMar>
          </w:tcPr>
          <w:p>
            <w:r/>
            <w:r>
              <w:rPr>
                <w:rFonts w:ascii="Calibri" w:hAnsi="Calibri"/>
                <w:b w:val="0"/>
                <w:color w:val="161513"/>
                <w:sz w:val="18"/>
              </w:rPr>
              <w:t>SQLite unavailable</w:t>
            </w:r>
          </w:p>
        </w:tc>
        <w:tc>
          <w:tcPr>
            <w:tcW w:type="dxa" w:w="2880"/>
            <w:vAlign w:val="center"/>
            <w:tcMar>
              <w:top w:w="80" w:type="dxa"/>
              <w:start w:w="120" w:type="dxa"/>
              <w:bottom w:w="80" w:type="dxa"/>
              <w:end w:w="120" w:type="dxa"/>
            </w:tcMar>
          </w:tcPr>
          <w:p>
            <w:r/>
            <w:r>
              <w:rPr>
                <w:rFonts w:ascii="Calibri" w:hAnsi="Calibri"/>
                <w:b w:val="0"/>
                <w:color w:val="161513"/>
                <w:sz w:val="18"/>
              </w:rPr>
              <w:t>Initialization/write error</w:t>
            </w:r>
          </w:p>
        </w:tc>
        <w:tc>
          <w:tcPr>
            <w:tcW w:type="dxa" w:w="4104"/>
            <w:vAlign w:val="center"/>
            <w:tcMar>
              <w:top w:w="80" w:type="dxa"/>
              <w:start w:w="120" w:type="dxa"/>
              <w:bottom w:w="80" w:type="dxa"/>
              <w:end w:w="120" w:type="dxa"/>
            </w:tcMar>
          </w:tcPr>
          <w:p>
            <w:r/>
            <w:r>
              <w:rPr>
                <w:rFonts w:ascii="Calibri" w:hAnsi="Calibri"/>
                <w:b w:val="0"/>
                <w:color w:val="161513"/>
                <w:sz w:val="18"/>
              </w:rPr>
              <w:t>Stop service, restore permissions/storage, integrity-check and restore</w:t>
            </w:r>
          </w:p>
        </w:tc>
      </w:tr>
      <w:tr>
        <w:trPr>
          <w:cantSplit w:val="true"/>
        </w:trPr>
        <w:tc>
          <w:tcPr>
            <w:tcW w:type="dxa" w:w="2232"/>
            <w:vAlign w:val="center"/>
            <w:tcMar>
              <w:top w:w="80" w:type="dxa"/>
              <w:start w:w="120" w:type="dxa"/>
              <w:bottom w:w="80" w:type="dxa"/>
              <w:end w:w="120" w:type="dxa"/>
            </w:tcMar>
            <w:shd w:fill="F7F9FA"/>
          </w:tcPr>
          <w:p>
            <w:r/>
            <w:r>
              <w:rPr>
                <w:rFonts w:ascii="Calibri" w:hAnsi="Calibri"/>
                <w:b w:val="0"/>
                <w:color w:val="161513"/>
                <w:sz w:val="18"/>
              </w:rPr>
              <w:t>AI response invalid</w:t>
            </w:r>
          </w:p>
        </w:tc>
        <w:tc>
          <w:tcPr>
            <w:tcW w:type="dxa" w:w="2880"/>
            <w:vAlign w:val="center"/>
            <w:tcMar>
              <w:top w:w="80" w:type="dxa"/>
              <w:start w:w="120" w:type="dxa"/>
              <w:bottom w:w="80" w:type="dxa"/>
              <w:end w:w="120" w:type="dxa"/>
            </w:tcMar>
            <w:shd w:fill="F7F9FA"/>
          </w:tcPr>
          <w:p>
            <w:r/>
            <w:r>
              <w:rPr>
                <w:rFonts w:ascii="Calibri" w:hAnsi="Calibri"/>
                <w:b w:val="0"/>
                <w:color w:val="161513"/>
                <w:sz w:val="18"/>
              </w:rPr>
              <w:t>No choice, invalid JSON/tool/arguments</w:t>
            </w:r>
          </w:p>
        </w:tc>
        <w:tc>
          <w:tcPr>
            <w:tcW w:type="dxa" w:w="4104"/>
            <w:vAlign w:val="center"/>
            <w:tcMar>
              <w:top w:w="80" w:type="dxa"/>
              <w:start w:w="120" w:type="dxa"/>
              <w:bottom w:w="80" w:type="dxa"/>
              <w:end w:w="120" w:type="dxa"/>
            </w:tcMar>
            <w:shd w:fill="F7F9FA"/>
          </w:tcPr>
          <w:p>
            <w:r/>
            <w:r>
              <w:rPr>
                <w:rFonts w:ascii="Calibri" w:hAnsi="Calibri"/>
                <w:b w:val="0"/>
                <w:color w:val="161513"/>
                <w:sz w:val="18"/>
              </w:rPr>
              <w:t>Reject proposal; use local planner or manual request</w:t>
            </w:r>
          </w:p>
        </w:tc>
      </w:tr>
      <w:tr>
        <w:trPr>
          <w:cantSplit w:val="true"/>
        </w:trPr>
        <w:tc>
          <w:tcPr>
            <w:tcW w:type="dxa" w:w="2232"/>
            <w:vAlign w:val="center"/>
            <w:tcMar>
              <w:top w:w="80" w:type="dxa"/>
              <w:start w:w="120" w:type="dxa"/>
              <w:bottom w:w="80" w:type="dxa"/>
              <w:end w:w="120" w:type="dxa"/>
            </w:tcMar>
          </w:tcPr>
          <w:p>
            <w:r/>
            <w:r>
              <w:rPr>
                <w:rFonts w:ascii="Calibri" w:hAnsi="Calibri"/>
                <w:b w:val="0"/>
                <w:color w:val="161513"/>
                <w:sz w:val="18"/>
              </w:rPr>
              <w:t>Topology fields unknown</w:t>
            </w:r>
          </w:p>
        </w:tc>
        <w:tc>
          <w:tcPr>
            <w:tcW w:type="dxa" w:w="2880"/>
            <w:vAlign w:val="center"/>
            <w:tcMar>
              <w:top w:w="80" w:type="dxa"/>
              <w:start w:w="120" w:type="dxa"/>
              <w:bottom w:w="80" w:type="dxa"/>
              <w:end w:w="120" w:type="dxa"/>
            </w:tcMar>
          </w:tcPr>
          <w:p>
            <w:r/>
            <w:r>
              <w:rPr>
                <w:rFonts w:ascii="Calibri" w:hAnsi="Calibri"/>
                <w:b w:val="0"/>
                <w:color w:val="161513"/>
                <w:sz w:val="18"/>
              </w:rPr>
              <w:t>Zero inferred nodes</w:t>
            </w:r>
          </w:p>
        </w:tc>
        <w:tc>
          <w:tcPr>
            <w:tcW w:type="dxa" w:w="4104"/>
            <w:vAlign w:val="center"/>
            <w:tcMar>
              <w:top w:w="80" w:type="dxa"/>
              <w:start w:w="120" w:type="dxa"/>
              <w:bottom w:w="80" w:type="dxa"/>
              <w:end w:w="120" w:type="dxa"/>
            </w:tcMar>
          </w:tcPr>
          <w:p>
            <w:r/>
            <w:r>
              <w:rPr>
                <w:rFonts w:ascii="Calibri" w:hAnsi="Calibri"/>
                <w:b w:val="0"/>
                <w:color w:val="161513"/>
                <w:sz w:val="18"/>
              </w:rPr>
              <w:t>Inspect raw result and use OEM topology directly</w:t>
            </w:r>
          </w:p>
        </w:tc>
      </w:tr>
    </w:tbl>
    <w:p/>
    <w:p>
      <w:pPr>
        <w:pStyle w:val="Heading1"/>
        <w:keepNext/>
      </w:pPr>
      <w:r>
        <w:t>12. Test strategy and acceptance</w:t>
      </w:r>
    </w:p>
    <w:p>
      <w:pPr>
        <w:pStyle w:val="Heading2"/>
        <w:keepNext/>
      </w:pPr>
      <w:r>
        <w:t>12.1 Automated verification</w:t>
      </w:r>
    </w:p>
    <w:p>
      <w:pPr>
        <w:pStyle w:val="ListBullet"/>
        <w:keepLines/>
      </w:pPr>
      <w:r>
        <w:t>Compile app, modules and tests on Python 3.11.</w:t>
      </w:r>
    </w:p>
    <w:p>
      <w:pPr>
        <w:pStyle w:val="ListBullet"/>
        <w:keepLines/>
      </w:pPr>
      <w:r>
        <w:t>Ruff lint all Python and ShellCheck all installation/runtime scripts.</w:t>
      </w:r>
    </w:p>
    <w:p>
      <w:pPr>
        <w:pStyle w:val="ListBullet"/>
        <w:keepLines/>
      </w:pPr>
      <w:r>
        <w:t>Run pytest with coverage over transport, configuration, safety, history and all priority 2–13 feature modules.</w:t>
      </w:r>
    </w:p>
    <w:p>
      <w:pPr>
        <w:pStyle w:val="ListBullet"/>
        <w:keepLines/>
      </w:pPr>
      <w:r>
        <w:t>Run pip-audit against direct runtime dependencies.</w:t>
      </w:r>
    </w:p>
    <w:p>
      <w:pPr>
        <w:pStyle w:val="ListBullet"/>
        <w:keepLines/>
      </w:pPr>
      <w:r>
        <w:t>Run Streamlit AppTest and assert every top-level feature tab renders without an exception.</w:t>
      </w:r>
    </w:p>
    <w:p>
      <w:pPr>
        <w:pStyle w:val="ListBullet"/>
        <w:keepLines/>
      </w:pPr>
      <w:r>
        <w:t>Validate release metadata and create one commit-derived GitHub release after successful tests on main.</w:t>
      </w:r>
    </w:p>
    <w:p>
      <w:pPr>
        <w:pStyle w:val="Heading2"/>
        <w:keepNext/>
      </w:pPr>
      <w:r>
        <w:t>12.2 Acceptance criteria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936"/>
            <w:vAlign w:val="center"/>
            <w:tcMar>
              <w:top w:w="80" w:type="dxa"/>
              <w:start w:w="120" w:type="dxa"/>
              <w:bottom w:w="80" w:type="dxa"/>
              <w:end w:w="120" w:type="dxa"/>
            </w:tcMar>
            <w:shd w:fill="E8EEF5"/>
          </w:tcPr>
          <w:p>
            <w:r>
              <w:rPr>
                <w:b/>
                <w:color w:val="174A5B"/>
              </w:rPr>
            </w:r>
            <w:r>
              <w:rPr>
                <w:rFonts w:ascii="Calibri" w:hAnsi="Calibri"/>
                <w:b/>
                <w:color w:val="174A5B"/>
                <w:sz w:val="18"/>
              </w:rPr>
              <w:t>ID</w:t>
            </w:r>
          </w:p>
        </w:tc>
        <w:tc>
          <w:tcPr>
            <w:tcW w:type="dxa" w:w="5616"/>
            <w:vAlign w:val="center"/>
            <w:tcMar>
              <w:top w:w="80" w:type="dxa"/>
              <w:start w:w="120" w:type="dxa"/>
              <w:bottom w:w="80" w:type="dxa"/>
              <w:end w:w="120" w:type="dxa"/>
            </w:tcMar>
            <w:shd w:fill="E8EEF5"/>
          </w:tcPr>
          <w:p>
            <w:r>
              <w:rPr>
                <w:b/>
                <w:color w:val="174A5B"/>
              </w:rPr>
            </w:r>
            <w:r>
              <w:rPr>
                <w:rFonts w:ascii="Calibri" w:hAnsi="Calibri"/>
                <w:b/>
                <w:color w:val="174A5B"/>
                <w:sz w:val="18"/>
              </w:rPr>
              <w:t>Criterion</w:t>
            </w:r>
          </w:p>
        </w:tc>
        <w:tc>
          <w:tcPr>
            <w:tcW w:type="dxa" w:w="2664"/>
            <w:vAlign w:val="center"/>
            <w:tcMar>
              <w:top w:w="80" w:type="dxa"/>
              <w:start w:w="120" w:type="dxa"/>
              <w:bottom w:w="80" w:type="dxa"/>
              <w:end w:w="120" w:type="dxa"/>
            </w:tcMar>
            <w:shd w:fill="E8EEF5"/>
          </w:tcPr>
          <w:p>
            <w:r>
              <w:rPr>
                <w:b/>
                <w:color w:val="174A5B"/>
              </w:rPr>
            </w:r>
            <w:r>
              <w:rPr>
                <w:rFonts w:ascii="Calibri" w:hAnsi="Calibri"/>
                <w:b/>
                <w:color w:val="174A5B"/>
                <w:sz w:val="18"/>
              </w:rPr>
              <w:t>Evidence</w:t>
            </w:r>
          </w:p>
        </w:tc>
      </w:tr>
      <w:tr>
        <w:trPr>
          <w:cantSplit w:val="true"/>
        </w:trPr>
        <w:tc>
          <w:tcPr>
            <w:tcW w:type="dxa" w:w="936"/>
            <w:vAlign w:val="center"/>
            <w:tcMar>
              <w:top w:w="80" w:type="dxa"/>
              <w:start w:w="120" w:type="dxa"/>
              <w:bottom w:w="80" w:type="dxa"/>
              <w:end w:w="120" w:type="dxa"/>
            </w:tcMar>
          </w:tcPr>
          <w:p>
            <w:r/>
            <w:r>
              <w:rPr>
                <w:rFonts w:ascii="Calibri" w:hAnsi="Calibri"/>
                <w:b w:val="0"/>
                <w:color w:val="161513"/>
                <w:sz w:val="18"/>
              </w:rPr>
              <w:t>AC-01</w:t>
            </w:r>
          </w:p>
        </w:tc>
        <w:tc>
          <w:tcPr>
            <w:tcW w:type="dxa" w:w="5616"/>
            <w:vAlign w:val="center"/>
            <w:tcMar>
              <w:top w:w="80" w:type="dxa"/>
              <w:start w:w="120" w:type="dxa"/>
              <w:bottom w:w="80" w:type="dxa"/>
              <w:end w:w="120" w:type="dxa"/>
            </w:tcMar>
          </w:tcPr>
          <w:p>
            <w:r/>
            <w:r>
              <w:rPr>
                <w:rFonts w:ascii="Calibri" w:hAnsi="Calibri"/>
                <w:b w:val="0"/>
                <w:color w:val="161513"/>
                <w:sz w:val="18"/>
              </w:rPr>
              <w:t>Connect, initialize and discover using a permitted OEM account</w:t>
            </w:r>
          </w:p>
        </w:tc>
        <w:tc>
          <w:tcPr>
            <w:tcW w:type="dxa" w:w="2664"/>
            <w:vAlign w:val="center"/>
            <w:tcMar>
              <w:top w:w="80" w:type="dxa"/>
              <w:start w:w="120" w:type="dxa"/>
              <w:bottom w:w="80" w:type="dxa"/>
              <w:end w:w="120" w:type="dxa"/>
            </w:tcMar>
          </w:tcPr>
          <w:p>
            <w:r/>
            <w:r>
              <w:rPr>
                <w:rFonts w:ascii="Calibri" w:hAnsi="Calibri"/>
                <w:b w:val="0"/>
                <w:color w:val="161513"/>
                <w:sz w:val="18"/>
              </w:rPr>
              <w:t>Live diagnostic and OEM audit</w:t>
            </w:r>
          </w:p>
        </w:tc>
      </w:tr>
      <w:tr>
        <w:trPr>
          <w:cantSplit w:val="true"/>
        </w:trPr>
        <w:tc>
          <w:tcPr>
            <w:tcW w:type="dxa" w:w="936"/>
            <w:vAlign w:val="center"/>
            <w:tcMar>
              <w:top w:w="80" w:type="dxa"/>
              <w:start w:w="120" w:type="dxa"/>
              <w:bottom w:w="80" w:type="dxa"/>
              <w:end w:w="120" w:type="dxa"/>
            </w:tcMar>
            <w:shd w:fill="F7F9FA"/>
          </w:tcPr>
          <w:p>
            <w:r/>
            <w:r>
              <w:rPr>
                <w:rFonts w:ascii="Calibri" w:hAnsi="Calibri"/>
                <w:b w:val="0"/>
                <w:color w:val="161513"/>
                <w:sz w:val="18"/>
              </w:rPr>
              <w:t>AC-02</w:t>
            </w:r>
          </w:p>
        </w:tc>
        <w:tc>
          <w:tcPr>
            <w:tcW w:type="dxa" w:w="5616"/>
            <w:vAlign w:val="center"/>
            <w:tcMar>
              <w:top w:w="80" w:type="dxa"/>
              <w:start w:w="120" w:type="dxa"/>
              <w:bottom w:w="80" w:type="dxa"/>
              <w:end w:w="120" w:type="dxa"/>
            </w:tcMar>
            <w:shd w:fill="F7F9FA"/>
          </w:tcPr>
          <w:p>
            <w:r/>
            <w:r>
              <w:rPr>
                <w:rFonts w:ascii="Calibri" w:hAnsi="Calibri"/>
                <w:b w:val="0"/>
                <w:color w:val="161513"/>
                <w:sz w:val="18"/>
              </w:rPr>
              <w:t>No credential is found in Git diff, profile, SQLite test data or logs</w:t>
            </w:r>
          </w:p>
        </w:tc>
        <w:tc>
          <w:tcPr>
            <w:tcW w:type="dxa" w:w="2664"/>
            <w:vAlign w:val="center"/>
            <w:tcMar>
              <w:top w:w="80" w:type="dxa"/>
              <w:start w:w="120" w:type="dxa"/>
              <w:bottom w:w="80" w:type="dxa"/>
              <w:end w:w="120" w:type="dxa"/>
            </w:tcMar>
            <w:shd w:fill="F7F9FA"/>
          </w:tcPr>
          <w:p>
            <w:r/>
            <w:r>
              <w:rPr>
                <w:rFonts w:ascii="Calibri" w:hAnsi="Calibri"/>
                <w:b w:val="0"/>
                <w:color w:val="161513"/>
                <w:sz w:val="18"/>
              </w:rPr>
              <w:t>Secret scan and redaction tests</w:t>
            </w:r>
          </w:p>
        </w:tc>
      </w:tr>
      <w:tr>
        <w:trPr>
          <w:cantSplit w:val="true"/>
        </w:trPr>
        <w:tc>
          <w:tcPr>
            <w:tcW w:type="dxa" w:w="936"/>
            <w:vAlign w:val="center"/>
            <w:tcMar>
              <w:top w:w="80" w:type="dxa"/>
              <w:start w:w="120" w:type="dxa"/>
              <w:bottom w:w="80" w:type="dxa"/>
              <w:end w:w="120" w:type="dxa"/>
            </w:tcMar>
          </w:tcPr>
          <w:p>
            <w:r/>
            <w:r>
              <w:rPr>
                <w:rFonts w:ascii="Calibri" w:hAnsi="Calibri"/>
                <w:b w:val="0"/>
                <w:color w:val="161513"/>
                <w:sz w:val="18"/>
              </w:rPr>
              <w:t>AC-03</w:t>
            </w:r>
          </w:p>
        </w:tc>
        <w:tc>
          <w:tcPr>
            <w:tcW w:type="dxa" w:w="5616"/>
            <w:vAlign w:val="center"/>
            <w:tcMar>
              <w:top w:w="80" w:type="dxa"/>
              <w:start w:w="120" w:type="dxa"/>
              <w:bottom w:w="80" w:type="dxa"/>
              <w:end w:w="120" w:type="dxa"/>
            </w:tcMar>
          </w:tcPr>
          <w:p>
            <w:r/>
            <w:r>
              <w:rPr>
                <w:rFonts w:ascii="Calibri" w:hAnsi="Calibri"/>
                <w:b w:val="0"/>
                <w:color w:val="161513"/>
                <w:sz w:val="18"/>
              </w:rPr>
              <w:t>Every priority 2–13 has a visible workflow and persistent or computed output</w:t>
            </w:r>
          </w:p>
        </w:tc>
        <w:tc>
          <w:tcPr>
            <w:tcW w:type="dxa" w:w="2664"/>
            <w:vAlign w:val="center"/>
            <w:tcMar>
              <w:top w:w="80" w:type="dxa"/>
              <w:start w:w="120" w:type="dxa"/>
              <w:bottom w:w="80" w:type="dxa"/>
              <w:end w:w="120" w:type="dxa"/>
            </w:tcMar>
          </w:tcPr>
          <w:p>
            <w:r/>
            <w:r>
              <w:rPr>
                <w:rFonts w:ascii="Calibri" w:hAnsi="Calibri"/>
                <w:b w:val="0"/>
                <w:color w:val="161513"/>
                <w:sz w:val="18"/>
              </w:rPr>
              <w:t>AppTest plus feature traceability table</w:t>
            </w:r>
          </w:p>
        </w:tc>
      </w:tr>
      <w:tr>
        <w:trPr>
          <w:cantSplit w:val="true"/>
        </w:trPr>
        <w:tc>
          <w:tcPr>
            <w:tcW w:type="dxa" w:w="936"/>
            <w:vAlign w:val="center"/>
            <w:tcMar>
              <w:top w:w="80" w:type="dxa"/>
              <w:start w:w="120" w:type="dxa"/>
              <w:bottom w:w="80" w:type="dxa"/>
              <w:end w:w="120" w:type="dxa"/>
            </w:tcMar>
            <w:shd w:fill="F7F9FA"/>
          </w:tcPr>
          <w:p>
            <w:r/>
            <w:r>
              <w:rPr>
                <w:rFonts w:ascii="Calibri" w:hAnsi="Calibri"/>
                <w:b w:val="0"/>
                <w:color w:val="161513"/>
                <w:sz w:val="18"/>
              </w:rPr>
              <w:t>AC-04</w:t>
            </w:r>
          </w:p>
        </w:tc>
        <w:tc>
          <w:tcPr>
            <w:tcW w:type="dxa" w:w="5616"/>
            <w:vAlign w:val="center"/>
            <w:tcMar>
              <w:top w:w="80" w:type="dxa"/>
              <w:start w:w="120" w:type="dxa"/>
              <w:bottom w:w="80" w:type="dxa"/>
              <w:end w:w="120" w:type="dxa"/>
            </w:tcMar>
            <w:shd w:fill="F7F9FA"/>
          </w:tcPr>
          <w:p>
            <w:r/>
            <w:r>
              <w:rPr>
                <w:rFonts w:ascii="Calibri" w:hAnsi="Calibri"/>
                <w:b w:val="0"/>
                <w:color w:val="161513"/>
                <w:sz w:val="18"/>
              </w:rPr>
              <w:t>Mutation is denied unless policy, approval and admin gate all permit it</w:t>
            </w:r>
          </w:p>
        </w:tc>
        <w:tc>
          <w:tcPr>
            <w:tcW w:type="dxa" w:w="2664"/>
            <w:vAlign w:val="center"/>
            <w:tcMar>
              <w:top w:w="80" w:type="dxa"/>
              <w:start w:w="120" w:type="dxa"/>
              <w:bottom w:w="80" w:type="dxa"/>
              <w:end w:w="120" w:type="dxa"/>
            </w:tcMar>
            <w:shd w:fill="F7F9FA"/>
          </w:tcPr>
          <w:p>
            <w:r/>
            <w:r>
              <w:rPr>
                <w:rFonts w:ascii="Calibri" w:hAnsi="Calibri"/>
                <w:b w:val="0"/>
                <w:color w:val="161513"/>
                <w:sz w:val="18"/>
              </w:rPr>
              <w:t>Policy/approval unit tests and controlled test</w:t>
            </w:r>
          </w:p>
        </w:tc>
      </w:tr>
      <w:tr>
        <w:trPr>
          <w:cantSplit w:val="true"/>
        </w:trPr>
        <w:tc>
          <w:tcPr>
            <w:tcW w:type="dxa" w:w="936"/>
            <w:vAlign w:val="center"/>
            <w:tcMar>
              <w:top w:w="80" w:type="dxa"/>
              <w:start w:w="120" w:type="dxa"/>
              <w:bottom w:w="80" w:type="dxa"/>
              <w:end w:w="120" w:type="dxa"/>
            </w:tcMar>
          </w:tcPr>
          <w:p>
            <w:r/>
            <w:r>
              <w:rPr>
                <w:rFonts w:ascii="Calibri" w:hAnsi="Calibri"/>
                <w:b w:val="0"/>
                <w:color w:val="161513"/>
                <w:sz w:val="18"/>
              </w:rPr>
              <w:t>AC-05</w:t>
            </w:r>
          </w:p>
        </w:tc>
        <w:tc>
          <w:tcPr>
            <w:tcW w:type="dxa" w:w="5616"/>
            <w:vAlign w:val="center"/>
            <w:tcMar>
              <w:top w:w="80" w:type="dxa"/>
              <w:start w:w="120" w:type="dxa"/>
              <w:bottom w:w="80" w:type="dxa"/>
              <w:end w:w="120" w:type="dxa"/>
            </w:tcMar>
          </w:tcPr>
          <w:p>
            <w:r/>
            <w:r>
              <w:rPr>
                <w:rFonts w:ascii="Calibri" w:hAnsi="Calibri"/>
                <w:b w:val="0"/>
                <w:color w:val="161513"/>
                <w:sz w:val="18"/>
              </w:rPr>
              <w:t>SQL mutation and unbounded output are controlled</w:t>
            </w:r>
          </w:p>
        </w:tc>
        <w:tc>
          <w:tcPr>
            <w:tcW w:type="dxa" w:w="2664"/>
            <w:vAlign w:val="center"/>
            <w:tcMar>
              <w:top w:w="80" w:type="dxa"/>
              <w:start w:w="120" w:type="dxa"/>
              <w:bottom w:w="80" w:type="dxa"/>
              <w:end w:w="120" w:type="dxa"/>
            </w:tcMar>
          </w:tcPr>
          <w:p>
            <w:r/>
            <w:r>
              <w:rPr>
                <w:rFonts w:ascii="Calibri" w:hAnsi="Calibri"/>
                <w:b w:val="0"/>
                <w:color w:val="161513"/>
                <w:sz w:val="18"/>
              </w:rPr>
              <w:t>SQL tests and generated FETCH FIRST clause</w:t>
            </w:r>
          </w:p>
        </w:tc>
      </w:tr>
      <w:tr>
        <w:trPr>
          <w:cantSplit w:val="true"/>
        </w:trPr>
        <w:tc>
          <w:tcPr>
            <w:tcW w:type="dxa" w:w="936"/>
            <w:vAlign w:val="center"/>
            <w:tcMar>
              <w:top w:w="80" w:type="dxa"/>
              <w:start w:w="120" w:type="dxa"/>
              <w:bottom w:w="80" w:type="dxa"/>
              <w:end w:w="120" w:type="dxa"/>
            </w:tcMar>
            <w:shd w:fill="F7F9FA"/>
          </w:tcPr>
          <w:p>
            <w:r/>
            <w:r>
              <w:rPr>
                <w:rFonts w:ascii="Calibri" w:hAnsi="Calibri"/>
                <w:b w:val="0"/>
                <w:color w:val="161513"/>
                <w:sz w:val="18"/>
              </w:rPr>
              <w:t>AC-06</w:t>
            </w:r>
          </w:p>
        </w:tc>
        <w:tc>
          <w:tcPr>
            <w:tcW w:type="dxa" w:w="5616"/>
            <w:vAlign w:val="center"/>
            <w:tcMar>
              <w:top w:w="80" w:type="dxa"/>
              <w:start w:w="120" w:type="dxa"/>
              <w:bottom w:w="80" w:type="dxa"/>
              <w:end w:w="120" w:type="dxa"/>
            </w:tcMar>
            <w:shd w:fill="F7F9FA"/>
          </w:tcPr>
          <w:p>
            <w:r/>
            <w:r>
              <w:rPr>
                <w:rFonts w:ascii="Calibri" w:hAnsi="Calibri"/>
                <w:b w:val="0"/>
                <w:color w:val="161513"/>
                <w:sz w:val="18"/>
              </w:rPr>
              <w:t>Manual and systemd modes start, health-check, stop and update on configured ports</w:t>
            </w:r>
          </w:p>
        </w:tc>
        <w:tc>
          <w:tcPr>
            <w:tcW w:type="dxa" w:w="2664"/>
            <w:vAlign w:val="center"/>
            <w:tcMar>
              <w:top w:w="80" w:type="dxa"/>
              <w:start w:w="120" w:type="dxa"/>
              <w:bottom w:w="80" w:type="dxa"/>
              <w:end w:w="120" w:type="dxa"/>
            </w:tcMar>
            <w:shd w:fill="F7F9FA"/>
          </w:tcPr>
          <w:p>
            <w:r/>
            <w:r>
              <w:rPr>
                <w:rFonts w:ascii="Calibri" w:hAnsi="Calibri"/>
                <w:b w:val="0"/>
                <w:color w:val="161513"/>
                <w:sz w:val="18"/>
              </w:rPr>
              <w:t>Oracle Linux deployment smoke test</w:t>
            </w:r>
          </w:p>
        </w:tc>
      </w:tr>
      <w:tr>
        <w:trPr>
          <w:cantSplit w:val="true"/>
        </w:trPr>
        <w:tc>
          <w:tcPr>
            <w:tcW w:type="dxa" w:w="936"/>
            <w:vAlign w:val="center"/>
            <w:tcMar>
              <w:top w:w="80" w:type="dxa"/>
              <w:start w:w="120" w:type="dxa"/>
              <w:bottom w:w="80" w:type="dxa"/>
              <w:end w:w="120" w:type="dxa"/>
            </w:tcMar>
          </w:tcPr>
          <w:p>
            <w:r/>
            <w:r>
              <w:rPr>
                <w:rFonts w:ascii="Calibri" w:hAnsi="Calibri"/>
                <w:b w:val="0"/>
                <w:color w:val="161513"/>
                <w:sz w:val="18"/>
              </w:rPr>
              <w:t>AC-07</w:t>
            </w:r>
          </w:p>
        </w:tc>
        <w:tc>
          <w:tcPr>
            <w:tcW w:type="dxa" w:w="5616"/>
            <w:vAlign w:val="center"/>
            <w:tcMar>
              <w:top w:w="80" w:type="dxa"/>
              <w:start w:w="120" w:type="dxa"/>
              <w:bottom w:w="80" w:type="dxa"/>
              <w:end w:w="120" w:type="dxa"/>
            </w:tcMar>
          </w:tcPr>
          <w:p>
            <w:r/>
            <w:r>
              <w:rPr>
                <w:rFonts w:ascii="Calibri" w:hAnsi="Calibri"/>
                <w:b w:val="0"/>
                <w:color w:val="161513"/>
                <w:sz w:val="18"/>
              </w:rPr>
              <w:t>draw.io, SVG, PNG, DOCX and PDF architecture/design artifacts render correctly</w:t>
            </w:r>
          </w:p>
        </w:tc>
        <w:tc>
          <w:tcPr>
            <w:tcW w:type="dxa" w:w="2664"/>
            <w:vAlign w:val="center"/>
            <w:tcMar>
              <w:top w:w="80" w:type="dxa"/>
              <w:start w:w="120" w:type="dxa"/>
              <w:bottom w:w="80" w:type="dxa"/>
              <w:end w:w="120" w:type="dxa"/>
            </w:tcMar>
          </w:tcPr>
          <w:p>
            <w:r/>
            <w:r>
              <w:rPr>
                <w:rFonts w:ascii="Calibri" w:hAnsi="Calibri"/>
                <w:b w:val="0"/>
                <w:color w:val="161513"/>
                <w:sz w:val="18"/>
              </w:rPr>
              <w:t>Visual QA and repository files</w:t>
            </w:r>
          </w:p>
        </w:tc>
      </w:tr>
    </w:tbl>
    <w:p/>
    <w:p>
      <w:pPr>
        <w:pStyle w:val="Heading2"/>
        <w:keepNext/>
      </w:pPr>
      <w:r>
        <w:t>12.3 Required live environment tests</w:t>
      </w:r>
    </w:p>
    <w:p>
      <w:pPr>
        <w:pStyle w:val="ListBullet"/>
        <w:keepLines/>
      </w:pPr>
      <w:r>
        <w:t>Connect to each intended OEM profile and compare the discovered capability matrix against expected RBAC.</w:t>
      </w:r>
    </w:p>
    <w:p>
      <w:pPr>
        <w:pStyle w:val="ListBullet"/>
        <w:keepLines/>
      </w:pPr>
      <w:r>
        <w:t>Execute representative host, database, topology and SELECT queries against non-production targets.</w:t>
      </w:r>
    </w:p>
    <w:p>
      <w:pPr>
        <w:pStyle w:val="ListBullet"/>
        <w:keepLines/>
      </w:pPr>
      <w:r>
        <w:t>Verify upstream authentication, proxy timeouts, request-size limits, TLS chain and logout/session behavior.</w:t>
      </w:r>
    </w:p>
    <w:p>
      <w:pPr>
        <w:pStyle w:val="ListBullet"/>
        <w:keepLines/>
      </w:pPr>
      <w:r>
        <w:t>Stop the application during an active background job, restart and exercise the reconciliation procedure.</w:t>
      </w:r>
    </w:p>
    <w:p>
      <w:pPr>
        <w:pStyle w:val="ListBullet"/>
        <w:keepLines/>
      </w:pPr>
      <w:r>
        <w:t>Verify backup/restore of both SQLite files and confirm runtime secrets are excluded from general backups.</w:t>
      </w:r>
    </w:p>
    <w:p>
      <w:pPr>
        <w:pStyle w:val="Heading1"/>
        <w:keepNext/>
      </w:pPr>
      <w:r>
        <w:t>13. Risks and roadmap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448"/>
            <w:vAlign w:val="center"/>
            <w:tcMar>
              <w:top w:w="80" w:type="dxa"/>
              <w:start w:w="120" w:type="dxa"/>
              <w:bottom w:w="80" w:type="dxa"/>
              <w:end w:w="120" w:type="dxa"/>
            </w:tcMar>
            <w:shd w:fill="E8EEF5"/>
          </w:tcPr>
          <w:p>
            <w:r>
              <w:rPr>
                <w:b/>
                <w:color w:val="174A5B"/>
              </w:rPr>
            </w:r>
            <w:r>
              <w:rPr>
                <w:rFonts w:ascii="Calibri" w:hAnsi="Calibri"/>
                <w:b/>
                <w:color w:val="174A5B"/>
                <w:sz w:val="18"/>
              </w:rPr>
              <w:t>Risk</w:t>
            </w:r>
          </w:p>
        </w:tc>
        <w:tc>
          <w:tcPr>
            <w:tcW w:type="dxa" w:w="3240"/>
            <w:vAlign w:val="center"/>
            <w:tcMar>
              <w:top w:w="80" w:type="dxa"/>
              <w:start w:w="120" w:type="dxa"/>
              <w:bottom w:w="80" w:type="dxa"/>
              <w:end w:w="120" w:type="dxa"/>
            </w:tcMar>
            <w:shd w:fill="E8EEF5"/>
          </w:tcPr>
          <w:p>
            <w:r>
              <w:rPr>
                <w:b/>
                <w:color w:val="174A5B"/>
              </w:rPr>
            </w:r>
            <w:r>
              <w:rPr>
                <w:rFonts w:ascii="Calibri" w:hAnsi="Calibri"/>
                <w:b/>
                <w:color w:val="174A5B"/>
                <w:sz w:val="18"/>
              </w:rPr>
              <w:t>Current mitigation</w:t>
            </w:r>
          </w:p>
        </w:tc>
        <w:tc>
          <w:tcPr>
            <w:tcW w:type="dxa" w:w="3528"/>
            <w:vAlign w:val="center"/>
            <w:tcMar>
              <w:top w:w="80" w:type="dxa"/>
              <w:start w:w="120" w:type="dxa"/>
              <w:bottom w:w="80" w:type="dxa"/>
              <w:end w:w="120" w:type="dxa"/>
            </w:tcMar>
            <w:shd w:fill="E8EEF5"/>
          </w:tcPr>
          <w:p>
            <w:r>
              <w:rPr>
                <w:b/>
                <w:color w:val="174A5B"/>
              </w:rPr>
            </w:r>
            <w:r>
              <w:rPr>
                <w:rFonts w:ascii="Calibri" w:hAnsi="Calibri"/>
                <w:b/>
                <w:color w:val="174A5B"/>
                <w:sz w:val="18"/>
              </w:rPr>
              <w:t>Recommended next step</w:t>
            </w:r>
          </w:p>
        </w:tc>
      </w:tr>
      <w:tr>
        <w:trPr>
          <w:cantSplit w:val="true"/>
        </w:trPr>
        <w:tc>
          <w:tcPr>
            <w:tcW w:type="dxa" w:w="2448"/>
            <w:vAlign w:val="center"/>
            <w:tcMar>
              <w:top w:w="80" w:type="dxa"/>
              <w:start w:w="120" w:type="dxa"/>
              <w:bottom w:w="80" w:type="dxa"/>
              <w:end w:w="120" w:type="dxa"/>
            </w:tcMar>
          </w:tcPr>
          <w:p>
            <w:r/>
            <w:r>
              <w:rPr>
                <w:rFonts w:ascii="Calibri" w:hAnsi="Calibri"/>
                <w:b w:val="0"/>
                <w:color w:val="161513"/>
                <w:sz w:val="18"/>
              </w:rPr>
              <w:t>Operator identity is self-declared</w:t>
            </w:r>
          </w:p>
        </w:tc>
        <w:tc>
          <w:tcPr>
            <w:tcW w:type="dxa" w:w="3240"/>
            <w:vAlign w:val="center"/>
            <w:tcMar>
              <w:top w:w="80" w:type="dxa"/>
              <w:start w:w="120" w:type="dxa"/>
              <w:bottom w:w="80" w:type="dxa"/>
              <w:end w:w="120" w:type="dxa"/>
            </w:tcMar>
          </w:tcPr>
          <w:p>
            <w:r/>
            <w:r>
              <w:rPr>
                <w:rFonts w:ascii="Calibri" w:hAnsi="Calibri"/>
                <w:b w:val="0"/>
                <w:color w:val="161513"/>
                <w:sz w:val="18"/>
              </w:rPr>
              <w:t>Reverse-proxy requirement and distinct string check</w:t>
            </w:r>
          </w:p>
        </w:tc>
        <w:tc>
          <w:tcPr>
            <w:tcW w:type="dxa" w:w="3528"/>
            <w:vAlign w:val="center"/>
            <w:tcMar>
              <w:top w:w="80" w:type="dxa"/>
              <w:start w:w="120" w:type="dxa"/>
              <w:bottom w:w="80" w:type="dxa"/>
              <w:end w:w="120" w:type="dxa"/>
            </w:tcMar>
          </w:tcPr>
          <w:p>
            <w:r/>
            <w:r>
              <w:rPr>
                <w:rFonts w:ascii="Calibri" w:hAnsi="Calibri"/>
                <w:b w:val="0"/>
                <w:color w:val="161513"/>
                <w:sz w:val="18"/>
              </w:rPr>
              <w:t>Implement priority 1 OIDC/trusted identity binding</w:t>
            </w:r>
          </w:p>
        </w:tc>
      </w:tr>
      <w:tr>
        <w:trPr>
          <w:cantSplit w:val="true"/>
        </w:trPr>
        <w:tc>
          <w:tcPr>
            <w:tcW w:type="dxa" w:w="2448"/>
            <w:vAlign w:val="center"/>
            <w:tcMar>
              <w:top w:w="80" w:type="dxa"/>
              <w:start w:w="120" w:type="dxa"/>
              <w:bottom w:w="80" w:type="dxa"/>
              <w:end w:w="120" w:type="dxa"/>
            </w:tcMar>
            <w:shd w:fill="F7F9FA"/>
          </w:tcPr>
          <w:p>
            <w:r/>
            <w:r>
              <w:rPr>
                <w:rFonts w:ascii="Calibri" w:hAnsi="Calibri"/>
                <w:b w:val="0"/>
                <w:color w:val="161513"/>
                <w:sz w:val="18"/>
              </w:rPr>
              <w:t>In-process jobs are not durable execution</w:t>
            </w:r>
          </w:p>
        </w:tc>
        <w:tc>
          <w:tcPr>
            <w:tcW w:type="dxa" w:w="3240"/>
            <w:vAlign w:val="center"/>
            <w:tcMar>
              <w:top w:w="80" w:type="dxa"/>
              <w:start w:w="120" w:type="dxa"/>
              <w:bottom w:w="80" w:type="dxa"/>
              <w:end w:w="120" w:type="dxa"/>
            </w:tcMar>
            <w:shd w:fill="F7F9FA"/>
          </w:tcPr>
          <w:p>
            <w:r/>
            <w:r>
              <w:rPr>
                <w:rFonts w:ascii="Calibri" w:hAnsi="Calibri"/>
                <w:b w:val="0"/>
                <w:color w:val="161513"/>
                <w:sz w:val="18"/>
              </w:rPr>
              <w:t>Persist status and require reconciliation</w:t>
            </w:r>
          </w:p>
        </w:tc>
        <w:tc>
          <w:tcPr>
            <w:tcW w:type="dxa" w:w="3528"/>
            <w:vAlign w:val="center"/>
            <w:tcMar>
              <w:top w:w="80" w:type="dxa"/>
              <w:start w:w="120" w:type="dxa"/>
              <w:bottom w:w="80" w:type="dxa"/>
              <w:end w:w="120" w:type="dxa"/>
            </w:tcMar>
            <w:shd w:fill="F7F9FA"/>
          </w:tcPr>
          <w:p>
            <w:r/>
            <w:r>
              <w:rPr>
                <w:rFonts w:ascii="Calibri" w:hAnsi="Calibri"/>
                <w:b w:val="0"/>
                <w:color w:val="161513"/>
                <w:sz w:val="18"/>
              </w:rPr>
              <w:t>Use OCI Queue/Streaming or an enterprise task queue</w:t>
            </w:r>
          </w:p>
        </w:tc>
      </w:tr>
      <w:tr>
        <w:trPr>
          <w:cantSplit w:val="true"/>
        </w:trPr>
        <w:tc>
          <w:tcPr>
            <w:tcW w:type="dxa" w:w="2448"/>
            <w:vAlign w:val="center"/>
            <w:tcMar>
              <w:top w:w="80" w:type="dxa"/>
              <w:start w:w="120" w:type="dxa"/>
              <w:bottom w:w="80" w:type="dxa"/>
              <w:end w:w="120" w:type="dxa"/>
            </w:tcMar>
          </w:tcPr>
          <w:p>
            <w:r/>
            <w:r>
              <w:rPr>
                <w:rFonts w:ascii="Calibri" w:hAnsi="Calibri"/>
                <w:b w:val="0"/>
                <w:color w:val="161513"/>
                <w:sz w:val="18"/>
              </w:rPr>
              <w:t>SQLite limits horizontal scale</w:t>
            </w:r>
          </w:p>
        </w:tc>
        <w:tc>
          <w:tcPr>
            <w:tcW w:type="dxa" w:w="3240"/>
            <w:vAlign w:val="center"/>
            <w:tcMar>
              <w:top w:w="80" w:type="dxa"/>
              <w:start w:w="120" w:type="dxa"/>
              <w:bottom w:w="80" w:type="dxa"/>
              <w:end w:w="120" w:type="dxa"/>
            </w:tcMar>
          </w:tcPr>
          <w:p>
            <w:r/>
            <w:r>
              <w:rPr>
                <w:rFonts w:ascii="Calibri" w:hAnsi="Calibri"/>
                <w:b w:val="0"/>
                <w:color w:val="161513"/>
                <w:sz w:val="18"/>
              </w:rPr>
              <w:t>Single-node deployment and WAL</w:t>
            </w:r>
          </w:p>
        </w:tc>
        <w:tc>
          <w:tcPr>
            <w:tcW w:type="dxa" w:w="3528"/>
            <w:vAlign w:val="center"/>
            <w:tcMar>
              <w:top w:w="80" w:type="dxa"/>
              <w:start w:w="120" w:type="dxa"/>
              <w:bottom w:w="80" w:type="dxa"/>
              <w:end w:w="120" w:type="dxa"/>
            </w:tcMar>
          </w:tcPr>
          <w:p>
            <w:r/>
            <w:r>
              <w:rPr>
                <w:rFonts w:ascii="Calibri" w:hAnsi="Calibri"/>
                <w:b w:val="0"/>
                <w:color w:val="161513"/>
                <w:sz w:val="18"/>
              </w:rPr>
              <w:t>Move workspace/audit state to managed database</w:t>
            </w:r>
          </w:p>
        </w:tc>
      </w:tr>
      <w:tr>
        <w:trPr>
          <w:cantSplit w:val="true"/>
        </w:trPr>
        <w:tc>
          <w:tcPr>
            <w:tcW w:type="dxa" w:w="2448"/>
            <w:vAlign w:val="center"/>
            <w:tcMar>
              <w:top w:w="80" w:type="dxa"/>
              <w:start w:w="120" w:type="dxa"/>
              <w:bottom w:w="80" w:type="dxa"/>
              <w:end w:w="120" w:type="dxa"/>
            </w:tcMar>
            <w:shd w:fill="F7F9FA"/>
          </w:tcPr>
          <w:p>
            <w:r/>
            <w:r>
              <w:rPr>
                <w:rFonts w:ascii="Calibri" w:hAnsi="Calibri"/>
                <w:b w:val="0"/>
                <w:color w:val="161513"/>
                <w:sz w:val="18"/>
              </w:rPr>
              <w:t>AI key adapter is not IAM-signed</w:t>
            </w:r>
          </w:p>
        </w:tc>
        <w:tc>
          <w:tcPr>
            <w:tcW w:type="dxa" w:w="3240"/>
            <w:vAlign w:val="center"/>
            <w:tcMar>
              <w:top w:w="80" w:type="dxa"/>
              <w:start w:w="120" w:type="dxa"/>
              <w:bottom w:w="80" w:type="dxa"/>
              <w:end w:w="120" w:type="dxa"/>
            </w:tcMar>
            <w:shd w:fill="F7F9FA"/>
          </w:tcPr>
          <w:p>
            <w:r/>
            <w:r>
              <w:rPr>
                <w:rFonts w:ascii="Calibri" w:hAnsi="Calibri"/>
                <w:b w:val="0"/>
                <w:color w:val="161513"/>
                <w:sz w:val="18"/>
              </w:rPr>
              <w:t>Opt-in bearer key and no persistence</w:t>
            </w:r>
          </w:p>
        </w:tc>
        <w:tc>
          <w:tcPr>
            <w:tcW w:type="dxa" w:w="3528"/>
            <w:vAlign w:val="center"/>
            <w:tcMar>
              <w:top w:w="80" w:type="dxa"/>
              <w:start w:w="120" w:type="dxa"/>
              <w:bottom w:w="80" w:type="dxa"/>
              <w:end w:w="120" w:type="dxa"/>
            </w:tcMar>
            <w:shd w:fill="F7F9FA"/>
          </w:tcPr>
          <w:p>
            <w:r/>
            <w:r>
              <w:rPr>
                <w:rFonts w:ascii="Calibri" w:hAnsi="Calibri"/>
                <w:b w:val="0"/>
                <w:color w:val="161513"/>
                <w:sz w:val="18"/>
              </w:rPr>
              <w:t>Add OCI SDK resource-principal/instance-principal signing</w:t>
            </w:r>
          </w:p>
        </w:tc>
      </w:tr>
      <w:tr>
        <w:trPr>
          <w:cantSplit w:val="true"/>
        </w:trPr>
        <w:tc>
          <w:tcPr>
            <w:tcW w:type="dxa" w:w="2448"/>
            <w:vAlign w:val="center"/>
            <w:tcMar>
              <w:top w:w="80" w:type="dxa"/>
              <w:start w:w="120" w:type="dxa"/>
              <w:bottom w:w="80" w:type="dxa"/>
              <w:end w:w="120" w:type="dxa"/>
            </w:tcMar>
          </w:tcPr>
          <w:p>
            <w:r/>
            <w:r>
              <w:rPr>
                <w:rFonts w:ascii="Calibri" w:hAnsi="Calibri"/>
                <w:b w:val="0"/>
                <w:color w:val="161513"/>
                <w:sz w:val="18"/>
              </w:rPr>
              <w:t>Generic topology inference can miss OEM fields</w:t>
            </w:r>
          </w:p>
        </w:tc>
        <w:tc>
          <w:tcPr>
            <w:tcW w:type="dxa" w:w="3240"/>
            <w:vAlign w:val="center"/>
            <w:tcMar>
              <w:top w:w="80" w:type="dxa"/>
              <w:start w:w="120" w:type="dxa"/>
              <w:bottom w:w="80" w:type="dxa"/>
              <w:end w:w="120" w:type="dxa"/>
            </w:tcMar>
          </w:tcPr>
          <w:p>
            <w:r/>
            <w:r>
              <w:rPr>
                <w:rFonts w:ascii="Calibri" w:hAnsi="Calibri"/>
                <w:b w:val="0"/>
                <w:color w:val="161513"/>
                <w:sz w:val="18"/>
              </w:rPr>
              <w:t>Raw result remains available</w:t>
            </w:r>
          </w:p>
        </w:tc>
        <w:tc>
          <w:tcPr>
            <w:tcW w:type="dxa" w:w="3528"/>
            <w:vAlign w:val="center"/>
            <w:tcMar>
              <w:top w:w="80" w:type="dxa"/>
              <w:start w:w="120" w:type="dxa"/>
              <w:bottom w:w="80" w:type="dxa"/>
              <w:end w:w="120" w:type="dxa"/>
            </w:tcMar>
          </w:tcPr>
          <w:p>
            <w:r/>
            <w:r>
              <w:rPr>
                <w:rFonts w:ascii="Calibri" w:hAnsi="Calibri"/>
                <w:b w:val="0"/>
                <w:color w:val="161513"/>
                <w:sz w:val="18"/>
              </w:rPr>
              <w:t>Add OEM-version-specific schema adapters</w:t>
            </w:r>
          </w:p>
        </w:tc>
      </w:tr>
      <w:tr>
        <w:trPr>
          <w:cantSplit w:val="true"/>
        </w:trPr>
        <w:tc>
          <w:tcPr>
            <w:tcW w:type="dxa" w:w="2448"/>
            <w:vAlign w:val="center"/>
            <w:tcMar>
              <w:top w:w="80" w:type="dxa"/>
              <w:start w:w="120" w:type="dxa"/>
              <w:bottom w:w="80" w:type="dxa"/>
              <w:end w:w="120" w:type="dxa"/>
            </w:tcMar>
            <w:shd w:fill="F7F9FA"/>
          </w:tcPr>
          <w:p>
            <w:r/>
            <w:r>
              <w:rPr>
                <w:rFonts w:ascii="Calibri" w:hAnsi="Calibri"/>
                <w:b w:val="0"/>
                <w:color w:val="161513"/>
                <w:sz w:val="18"/>
              </w:rPr>
              <w:t>External alert delivery is platform-owned</w:t>
            </w:r>
          </w:p>
        </w:tc>
        <w:tc>
          <w:tcPr>
            <w:tcW w:type="dxa" w:w="3240"/>
            <w:vAlign w:val="center"/>
            <w:tcMar>
              <w:top w:w="80" w:type="dxa"/>
              <w:start w:w="120" w:type="dxa"/>
              <w:bottom w:w="80" w:type="dxa"/>
              <w:end w:w="120" w:type="dxa"/>
            </w:tcMar>
            <w:shd w:fill="F7F9FA"/>
          </w:tcPr>
          <w:p>
            <w:r/>
            <w:r>
              <w:rPr>
                <w:rFonts w:ascii="Calibri" w:hAnsi="Calibri"/>
                <w:b w:val="0"/>
                <w:color w:val="161513"/>
                <w:sz w:val="18"/>
              </w:rPr>
              <w:t>Persistent local alert records</w:t>
            </w:r>
          </w:p>
        </w:tc>
        <w:tc>
          <w:tcPr>
            <w:tcW w:type="dxa" w:w="3528"/>
            <w:vAlign w:val="center"/>
            <w:tcMar>
              <w:top w:w="80" w:type="dxa"/>
              <w:start w:w="120" w:type="dxa"/>
              <w:bottom w:w="80" w:type="dxa"/>
              <w:end w:w="120" w:type="dxa"/>
            </w:tcMar>
            <w:shd w:fill="F7F9FA"/>
          </w:tcPr>
          <w:p>
            <w:r/>
            <w:r>
              <w:rPr>
                <w:rFonts w:ascii="Calibri" w:hAnsi="Calibri"/>
                <w:b w:val="0"/>
                <w:color w:val="161513"/>
                <w:sz w:val="18"/>
              </w:rPr>
              <w:t>Integrate OCI Notifications with approved IAM policy</w:t>
            </w:r>
          </w:p>
        </w:tc>
      </w:tr>
      <w:tr>
        <w:trPr>
          <w:cantSplit w:val="true"/>
        </w:trPr>
        <w:tc>
          <w:tcPr>
            <w:tcW w:type="dxa" w:w="2448"/>
            <w:vAlign w:val="center"/>
            <w:tcMar>
              <w:top w:w="80" w:type="dxa"/>
              <w:start w:w="120" w:type="dxa"/>
              <w:bottom w:w="80" w:type="dxa"/>
              <w:end w:w="120" w:type="dxa"/>
            </w:tcMar>
          </w:tcPr>
          <w:p>
            <w:r/>
            <w:r>
              <w:rPr>
                <w:rFonts w:ascii="Calibri" w:hAnsi="Calibri"/>
                <w:b w:val="0"/>
                <w:color w:val="161513"/>
                <w:sz w:val="18"/>
              </w:rPr>
              <w:t>Cost is estimated</w:t>
            </w:r>
          </w:p>
        </w:tc>
        <w:tc>
          <w:tcPr>
            <w:tcW w:type="dxa" w:w="3240"/>
            <w:vAlign w:val="center"/>
            <w:tcMar>
              <w:top w:w="80" w:type="dxa"/>
              <w:start w:w="120" w:type="dxa"/>
              <w:bottom w:w="80" w:type="dxa"/>
              <w:end w:w="120" w:type="dxa"/>
            </w:tcMar>
          </w:tcPr>
          <w:p>
            <w:r/>
            <w:r>
              <w:rPr>
                <w:rFonts w:ascii="Calibri" w:hAnsi="Calibri"/>
                <w:b w:val="0"/>
                <w:color w:val="161513"/>
                <w:sz w:val="18"/>
              </w:rPr>
              <w:t>Configurable rates and clear label</w:t>
            </w:r>
          </w:p>
        </w:tc>
        <w:tc>
          <w:tcPr>
            <w:tcW w:type="dxa" w:w="3528"/>
            <w:vAlign w:val="center"/>
            <w:tcMar>
              <w:top w:w="80" w:type="dxa"/>
              <w:start w:w="120" w:type="dxa"/>
              <w:bottom w:w="80" w:type="dxa"/>
              <w:end w:w="120" w:type="dxa"/>
            </w:tcMar>
          </w:tcPr>
          <w:p>
            <w:r/>
            <w:r>
              <w:rPr>
                <w:rFonts w:ascii="Calibri" w:hAnsi="Calibri"/>
                <w:b w:val="0"/>
                <w:color w:val="161513"/>
                <w:sz w:val="18"/>
              </w:rPr>
              <w:t>Reconcile with OCI Cost Analysis / usage reports</w:t>
            </w:r>
          </w:p>
        </w:tc>
      </w:tr>
    </w:tbl>
    <w:p/>
    <w:p>
      <w:pPr>
        <w:pStyle w:val="Heading1"/>
        <w:keepNext/>
      </w:pPr>
      <w:r>
        <w:t>14. Configuration reference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24"/>
            <w:vAlign w:val="center"/>
            <w:tcMar>
              <w:top w:w="80" w:type="dxa"/>
              <w:start w:w="120" w:type="dxa"/>
              <w:bottom w:w="80" w:type="dxa"/>
              <w:end w:w="120" w:type="dxa"/>
            </w:tcMar>
            <w:shd w:fill="E8EEF5"/>
          </w:tcPr>
          <w:p>
            <w:r>
              <w:rPr>
                <w:b/>
                <w:color w:val="174A5B"/>
              </w:rPr>
            </w:r>
            <w:r>
              <w:rPr>
                <w:rFonts w:ascii="Calibri" w:hAnsi="Calibri"/>
                <w:b/>
                <w:color w:val="174A5B"/>
                <w:sz w:val="18"/>
              </w:rPr>
              <w:t>Variable</w:t>
            </w:r>
          </w:p>
        </w:tc>
        <w:tc>
          <w:tcPr>
            <w:tcW w:type="dxa" w:w="3240"/>
            <w:vAlign w:val="center"/>
            <w:tcMar>
              <w:top w:w="80" w:type="dxa"/>
              <w:start w:w="120" w:type="dxa"/>
              <w:bottom w:w="80" w:type="dxa"/>
              <w:end w:w="120" w:type="dxa"/>
            </w:tcMar>
            <w:shd w:fill="E8EEF5"/>
          </w:tcPr>
          <w:p>
            <w:r>
              <w:rPr>
                <w:b/>
                <w:color w:val="174A5B"/>
              </w:rPr>
            </w:r>
            <w:r>
              <w:rPr>
                <w:rFonts w:ascii="Calibri" w:hAnsi="Calibri"/>
                <w:b/>
                <w:color w:val="174A5B"/>
                <w:sz w:val="18"/>
              </w:rPr>
              <w:t>Purpose</w:t>
            </w:r>
          </w:p>
        </w:tc>
        <w:tc>
          <w:tcPr>
            <w:tcW w:type="dxa" w:w="2952"/>
            <w:vAlign w:val="center"/>
            <w:tcMar>
              <w:top w:w="80" w:type="dxa"/>
              <w:start w:w="120" w:type="dxa"/>
              <w:bottom w:w="80" w:type="dxa"/>
              <w:end w:w="120" w:type="dxa"/>
            </w:tcMar>
            <w:shd w:fill="E8EEF5"/>
          </w:tcPr>
          <w:p>
            <w:r>
              <w:rPr>
                <w:b/>
                <w:color w:val="174A5B"/>
              </w:rPr>
            </w:r>
            <w:r>
              <w:rPr>
                <w:rFonts w:ascii="Calibri" w:hAnsi="Calibri"/>
                <w:b/>
                <w:color w:val="174A5B"/>
                <w:sz w:val="18"/>
              </w:rPr>
              <w:t>Safe default / note</w:t>
            </w:r>
          </w:p>
        </w:tc>
      </w:tr>
      <w:tr>
        <w:trPr>
          <w:cantSplit w:val="true"/>
        </w:trPr>
        <w:tc>
          <w:tcPr>
            <w:tcW w:type="dxa" w:w="3024"/>
            <w:vAlign w:val="center"/>
            <w:tcMar>
              <w:top w:w="80" w:type="dxa"/>
              <w:start w:w="120" w:type="dxa"/>
              <w:bottom w:w="80" w:type="dxa"/>
              <w:end w:w="120" w:type="dxa"/>
            </w:tcMar>
          </w:tcPr>
          <w:p>
            <w:r/>
            <w:r>
              <w:rPr>
                <w:rFonts w:ascii="Calibri" w:hAnsi="Calibri"/>
                <w:b w:val="0"/>
                <w:color w:val="161513"/>
                <w:sz w:val="18"/>
              </w:rPr>
              <w:t>STREAMLIT_ADDRESS / PORT</w:t>
            </w:r>
          </w:p>
        </w:tc>
        <w:tc>
          <w:tcPr>
            <w:tcW w:type="dxa" w:w="3240"/>
            <w:vAlign w:val="center"/>
            <w:tcMar>
              <w:top w:w="80" w:type="dxa"/>
              <w:start w:w="120" w:type="dxa"/>
              <w:bottom w:w="80" w:type="dxa"/>
              <w:end w:w="120" w:type="dxa"/>
            </w:tcMar>
          </w:tcPr>
          <w:p>
            <w:r/>
            <w:r>
              <w:rPr>
                <w:rFonts w:ascii="Calibri" w:hAnsi="Calibri"/>
                <w:b w:val="0"/>
                <w:color w:val="161513"/>
                <w:sz w:val="18"/>
              </w:rPr>
              <w:t>Listener</w:t>
            </w:r>
          </w:p>
        </w:tc>
        <w:tc>
          <w:tcPr>
            <w:tcW w:type="dxa" w:w="2952"/>
            <w:vAlign w:val="center"/>
            <w:tcMar>
              <w:top w:w="80" w:type="dxa"/>
              <w:start w:w="120" w:type="dxa"/>
              <w:bottom w:w="80" w:type="dxa"/>
              <w:end w:w="120" w:type="dxa"/>
            </w:tcMar>
          </w:tcPr>
          <w:p>
            <w:r/>
            <w:r>
              <w:rPr>
                <w:rFonts w:ascii="Calibri" w:hAnsi="Calibri"/>
                <w:b w:val="0"/>
                <w:color w:val="161513"/>
                <w:sz w:val="18"/>
              </w:rPr>
              <w:t>127.0.0.1 / 8501</w:t>
            </w:r>
          </w:p>
        </w:tc>
      </w:tr>
      <w:tr>
        <w:trPr>
          <w:cantSplit w:val="true"/>
        </w:trPr>
        <w:tc>
          <w:tcPr>
            <w:tcW w:type="dxa" w:w="3024"/>
            <w:vAlign w:val="center"/>
            <w:tcMar>
              <w:top w:w="80" w:type="dxa"/>
              <w:start w:w="120" w:type="dxa"/>
              <w:bottom w:w="80" w:type="dxa"/>
              <w:end w:w="120" w:type="dxa"/>
            </w:tcMar>
            <w:shd w:fill="F7F9FA"/>
          </w:tcPr>
          <w:p>
            <w:r/>
            <w:r>
              <w:rPr>
                <w:rFonts w:ascii="Calibri" w:hAnsi="Calibri"/>
                <w:b w:val="0"/>
                <w:color w:val="161513"/>
                <w:sz w:val="18"/>
              </w:rPr>
              <w:t>OEM_MCP_ENDPOINT</w:t>
            </w:r>
          </w:p>
        </w:tc>
        <w:tc>
          <w:tcPr>
            <w:tcW w:type="dxa" w:w="3240"/>
            <w:vAlign w:val="center"/>
            <w:tcMar>
              <w:top w:w="80" w:type="dxa"/>
              <w:start w:w="120" w:type="dxa"/>
              <w:bottom w:w="80" w:type="dxa"/>
              <w:end w:w="120" w:type="dxa"/>
            </w:tcMar>
            <w:shd w:fill="F7F9FA"/>
          </w:tcPr>
          <w:p>
            <w:r/>
            <w:r>
              <w:rPr>
                <w:rFonts w:ascii="Calibri" w:hAnsi="Calibri"/>
                <w:b w:val="0"/>
                <w:color w:val="161513"/>
                <w:sz w:val="18"/>
              </w:rPr>
              <w:t>OEM MCP URL</w:t>
            </w:r>
          </w:p>
        </w:tc>
        <w:tc>
          <w:tcPr>
            <w:tcW w:type="dxa" w:w="2952"/>
            <w:vAlign w:val="center"/>
            <w:tcMar>
              <w:top w:w="80" w:type="dxa"/>
              <w:start w:w="120" w:type="dxa"/>
              <w:bottom w:w="80" w:type="dxa"/>
              <w:end w:w="120" w:type="dxa"/>
            </w:tcMar>
            <w:shd w:fill="F7F9FA"/>
          </w:tcPr>
          <w:p>
            <w:r/>
            <w:r>
              <w:rPr>
                <w:rFonts w:ascii="Calibri" w:hAnsi="Calibri"/>
                <w:b w:val="0"/>
                <w:color w:val="161513"/>
                <w:sz w:val="18"/>
              </w:rPr>
              <w:t>HTTPS endpoint required</w:t>
            </w:r>
          </w:p>
        </w:tc>
      </w:tr>
      <w:tr>
        <w:trPr>
          <w:cantSplit w:val="true"/>
        </w:trPr>
        <w:tc>
          <w:tcPr>
            <w:tcW w:type="dxa" w:w="3024"/>
            <w:vAlign w:val="center"/>
            <w:tcMar>
              <w:top w:w="80" w:type="dxa"/>
              <w:start w:w="120" w:type="dxa"/>
              <w:bottom w:w="80" w:type="dxa"/>
              <w:end w:w="120" w:type="dxa"/>
            </w:tcMar>
          </w:tcPr>
          <w:p>
            <w:r/>
            <w:r>
              <w:rPr>
                <w:rFonts w:ascii="Calibri" w:hAnsi="Calibri"/>
                <w:b w:val="0"/>
                <w:color w:val="161513"/>
                <w:sz w:val="18"/>
              </w:rPr>
              <w:t>OEM_MCP_USERNAME / PASSWORD</w:t>
            </w:r>
          </w:p>
        </w:tc>
        <w:tc>
          <w:tcPr>
            <w:tcW w:type="dxa" w:w="3240"/>
            <w:vAlign w:val="center"/>
            <w:tcMar>
              <w:top w:w="80" w:type="dxa"/>
              <w:start w:w="120" w:type="dxa"/>
              <w:bottom w:w="80" w:type="dxa"/>
              <w:end w:w="120" w:type="dxa"/>
            </w:tcMar>
          </w:tcPr>
          <w:p>
            <w:r/>
            <w:r>
              <w:rPr>
                <w:rFonts w:ascii="Calibri" w:hAnsi="Calibri"/>
                <w:b w:val="0"/>
                <w:color w:val="161513"/>
                <w:sz w:val="18"/>
              </w:rPr>
              <w:t>OEM credentials</w:t>
            </w:r>
          </w:p>
        </w:tc>
        <w:tc>
          <w:tcPr>
            <w:tcW w:type="dxa" w:w="2952"/>
            <w:vAlign w:val="center"/>
            <w:tcMar>
              <w:top w:w="80" w:type="dxa"/>
              <w:start w:w="120" w:type="dxa"/>
              <w:bottom w:w="80" w:type="dxa"/>
              <w:end w:w="120" w:type="dxa"/>
            </w:tcMar>
          </w:tcPr>
          <w:p>
            <w:r/>
            <w:r>
              <w:rPr>
                <w:rFonts w:ascii="Calibri" w:hAnsi="Calibri"/>
                <w:b w:val="0"/>
                <w:color w:val="161513"/>
                <w:sz w:val="18"/>
              </w:rPr>
              <w:t>Leave password blank and enter in GUI</w:t>
            </w:r>
          </w:p>
        </w:tc>
      </w:tr>
      <w:tr>
        <w:trPr>
          <w:cantSplit w:val="true"/>
        </w:trPr>
        <w:tc>
          <w:tcPr>
            <w:tcW w:type="dxa" w:w="3024"/>
            <w:vAlign w:val="center"/>
            <w:tcMar>
              <w:top w:w="80" w:type="dxa"/>
              <w:start w:w="120" w:type="dxa"/>
              <w:bottom w:w="80" w:type="dxa"/>
              <w:end w:w="120" w:type="dxa"/>
            </w:tcMar>
            <w:shd w:fill="F7F9FA"/>
          </w:tcPr>
          <w:p>
            <w:r/>
            <w:r>
              <w:rPr>
                <w:rFonts w:ascii="Calibri" w:hAnsi="Calibri"/>
                <w:b w:val="0"/>
                <w:color w:val="161513"/>
                <w:sz w:val="18"/>
              </w:rPr>
              <w:t>OEM_MCP_VERIFY_TLS / CA_BUNDLE</w:t>
            </w:r>
          </w:p>
        </w:tc>
        <w:tc>
          <w:tcPr>
            <w:tcW w:type="dxa" w:w="3240"/>
            <w:vAlign w:val="center"/>
            <w:tcMar>
              <w:top w:w="80" w:type="dxa"/>
              <w:start w:w="120" w:type="dxa"/>
              <w:bottom w:w="80" w:type="dxa"/>
              <w:end w:w="120" w:type="dxa"/>
            </w:tcMar>
            <w:shd w:fill="F7F9FA"/>
          </w:tcPr>
          <w:p>
            <w:r/>
            <w:r>
              <w:rPr>
                <w:rFonts w:ascii="Calibri" w:hAnsi="Calibri"/>
                <w:b w:val="0"/>
                <w:color w:val="161513"/>
                <w:sz w:val="18"/>
              </w:rPr>
              <w:t>TLS trust</w:t>
            </w:r>
          </w:p>
        </w:tc>
        <w:tc>
          <w:tcPr>
            <w:tcW w:type="dxa" w:w="2952"/>
            <w:vAlign w:val="center"/>
            <w:tcMar>
              <w:top w:w="80" w:type="dxa"/>
              <w:start w:w="120" w:type="dxa"/>
              <w:bottom w:w="80" w:type="dxa"/>
              <w:end w:w="120" w:type="dxa"/>
            </w:tcMar>
            <w:shd w:fill="F7F9FA"/>
          </w:tcPr>
          <w:p>
            <w:r/>
            <w:r>
              <w:rPr>
                <w:rFonts w:ascii="Calibri" w:hAnsi="Calibri"/>
                <w:b w:val="0"/>
                <w:color w:val="161513"/>
                <w:sz w:val="18"/>
              </w:rPr>
              <w:t>true / optional private CA</w:t>
            </w:r>
          </w:p>
        </w:tc>
      </w:tr>
      <w:tr>
        <w:trPr>
          <w:cantSplit w:val="true"/>
        </w:trPr>
        <w:tc>
          <w:tcPr>
            <w:tcW w:type="dxa" w:w="3024"/>
            <w:vAlign w:val="center"/>
            <w:tcMar>
              <w:top w:w="80" w:type="dxa"/>
              <w:start w:w="120" w:type="dxa"/>
              <w:bottom w:w="80" w:type="dxa"/>
              <w:end w:w="120" w:type="dxa"/>
            </w:tcMar>
          </w:tcPr>
          <w:p>
            <w:r/>
            <w:r>
              <w:rPr>
                <w:rFonts w:ascii="Calibri" w:hAnsi="Calibri"/>
                <w:b w:val="0"/>
                <w:color w:val="161513"/>
                <w:sz w:val="18"/>
              </w:rPr>
              <w:t>OEM_MCP_POLICY_FILE</w:t>
            </w:r>
          </w:p>
        </w:tc>
        <w:tc>
          <w:tcPr>
            <w:tcW w:type="dxa" w:w="3240"/>
            <w:vAlign w:val="center"/>
            <w:tcMar>
              <w:top w:w="80" w:type="dxa"/>
              <w:start w:w="120" w:type="dxa"/>
              <w:bottom w:w="80" w:type="dxa"/>
              <w:end w:w="120" w:type="dxa"/>
            </w:tcMar>
          </w:tcPr>
          <w:p>
            <w:r/>
            <w:r>
              <w:rPr>
                <w:rFonts w:ascii="Calibri" w:hAnsi="Calibri"/>
                <w:b w:val="0"/>
                <w:color w:val="161513"/>
                <w:sz w:val="18"/>
              </w:rPr>
              <w:t>Tool/target policy</w:t>
            </w:r>
          </w:p>
        </w:tc>
        <w:tc>
          <w:tcPr>
            <w:tcW w:type="dxa" w:w="2952"/>
            <w:vAlign w:val="center"/>
            <w:tcMar>
              <w:top w:w="80" w:type="dxa"/>
              <w:start w:w="120" w:type="dxa"/>
              <w:bottom w:w="80" w:type="dxa"/>
              <w:end w:w="120" w:type="dxa"/>
            </w:tcMar>
          </w:tcPr>
          <w:p>
            <w:r/>
            <w:r>
              <w:rPr>
                <w:rFonts w:ascii="Calibri" w:hAnsi="Calibri"/>
                <w:b w:val="0"/>
                <w:color w:val="161513"/>
                <w:sz w:val="18"/>
              </w:rPr>
              <w:t>config/policy.example.json</w:t>
            </w:r>
          </w:p>
        </w:tc>
      </w:tr>
      <w:tr>
        <w:trPr>
          <w:cantSplit w:val="true"/>
        </w:trPr>
        <w:tc>
          <w:tcPr>
            <w:tcW w:type="dxa" w:w="3024"/>
            <w:vAlign w:val="center"/>
            <w:tcMar>
              <w:top w:w="80" w:type="dxa"/>
              <w:start w:w="120" w:type="dxa"/>
              <w:bottom w:w="80" w:type="dxa"/>
              <w:end w:w="120" w:type="dxa"/>
            </w:tcMar>
            <w:shd w:fill="F7F9FA"/>
          </w:tcPr>
          <w:p>
            <w:r/>
            <w:r>
              <w:rPr>
                <w:rFonts w:ascii="Calibri" w:hAnsi="Calibri"/>
                <w:b w:val="0"/>
                <w:color w:val="161513"/>
                <w:sz w:val="18"/>
              </w:rPr>
              <w:t>OEM_MCP_OPERATOR_ID / ROLE</w:t>
            </w:r>
          </w:p>
        </w:tc>
        <w:tc>
          <w:tcPr>
            <w:tcW w:type="dxa" w:w="3240"/>
            <w:vAlign w:val="center"/>
            <w:tcMar>
              <w:top w:w="80" w:type="dxa"/>
              <w:start w:w="120" w:type="dxa"/>
              <w:bottom w:w="80" w:type="dxa"/>
              <w:end w:w="120" w:type="dxa"/>
            </w:tcMar>
            <w:shd w:fill="F7F9FA"/>
          </w:tcPr>
          <w:p>
            <w:r/>
            <w:r>
              <w:rPr>
                <w:rFonts w:ascii="Calibri" w:hAnsi="Calibri"/>
                <w:b w:val="0"/>
                <w:color w:val="161513"/>
                <w:sz w:val="18"/>
              </w:rPr>
              <w:t>Procedural identity and policy role</w:t>
            </w:r>
          </w:p>
        </w:tc>
        <w:tc>
          <w:tcPr>
            <w:tcW w:type="dxa" w:w="2952"/>
            <w:vAlign w:val="center"/>
            <w:tcMar>
              <w:top w:w="80" w:type="dxa"/>
              <w:start w:w="120" w:type="dxa"/>
              <w:bottom w:w="80" w:type="dxa"/>
              <w:end w:w="120" w:type="dxa"/>
            </w:tcMar>
            <w:shd w:fill="F7F9FA"/>
          </w:tcPr>
          <w:p>
            <w:r/>
            <w:r>
              <w:rPr>
                <w:rFonts w:ascii="Calibri" w:hAnsi="Calibri"/>
                <w:b w:val="0"/>
                <w:color w:val="161513"/>
                <w:sz w:val="18"/>
              </w:rPr>
              <w:t>operator / operator</w:t>
            </w:r>
          </w:p>
        </w:tc>
      </w:tr>
      <w:tr>
        <w:trPr>
          <w:cantSplit w:val="true"/>
        </w:trPr>
        <w:tc>
          <w:tcPr>
            <w:tcW w:type="dxa" w:w="3024"/>
            <w:vAlign w:val="center"/>
            <w:tcMar>
              <w:top w:w="80" w:type="dxa"/>
              <w:start w:w="120" w:type="dxa"/>
              <w:bottom w:w="80" w:type="dxa"/>
              <w:end w:w="120" w:type="dxa"/>
            </w:tcMar>
          </w:tcPr>
          <w:p>
            <w:r/>
            <w:r>
              <w:rPr>
                <w:rFonts w:ascii="Calibri" w:hAnsi="Calibri"/>
                <w:b w:val="0"/>
                <w:color w:val="161513"/>
                <w:sz w:val="18"/>
              </w:rPr>
              <w:t>OEM_MCP_ALLOW_MUTATING_TOOLS</w:t>
            </w:r>
          </w:p>
        </w:tc>
        <w:tc>
          <w:tcPr>
            <w:tcW w:type="dxa" w:w="3240"/>
            <w:vAlign w:val="center"/>
            <w:tcMar>
              <w:top w:w="80" w:type="dxa"/>
              <w:start w:w="120" w:type="dxa"/>
              <w:bottom w:w="80" w:type="dxa"/>
              <w:end w:w="120" w:type="dxa"/>
            </w:tcMar>
          </w:tcPr>
          <w:p>
            <w:r/>
            <w:r>
              <w:rPr>
                <w:rFonts w:ascii="Calibri" w:hAnsi="Calibri"/>
                <w:b w:val="0"/>
                <w:color w:val="161513"/>
                <w:sz w:val="18"/>
              </w:rPr>
              <w:t>Administrative mutation gate</w:t>
            </w:r>
          </w:p>
        </w:tc>
        <w:tc>
          <w:tcPr>
            <w:tcW w:type="dxa" w:w="2952"/>
            <w:vAlign w:val="center"/>
            <w:tcMar>
              <w:top w:w="80" w:type="dxa"/>
              <w:start w:w="120" w:type="dxa"/>
              <w:bottom w:w="80" w:type="dxa"/>
              <w:end w:w="120" w:type="dxa"/>
            </w:tcMar>
          </w:tcPr>
          <w:p>
            <w:r/>
            <w:r>
              <w:rPr>
                <w:rFonts w:ascii="Calibri" w:hAnsi="Calibri"/>
                <w:b w:val="0"/>
                <w:color w:val="161513"/>
                <w:sz w:val="18"/>
              </w:rPr>
              <w:t>false</w:t>
            </w:r>
          </w:p>
        </w:tc>
      </w:tr>
      <w:tr>
        <w:trPr>
          <w:cantSplit w:val="true"/>
        </w:trPr>
        <w:tc>
          <w:tcPr>
            <w:tcW w:type="dxa" w:w="3024"/>
            <w:vAlign w:val="center"/>
            <w:tcMar>
              <w:top w:w="80" w:type="dxa"/>
              <w:start w:w="120" w:type="dxa"/>
              <w:bottom w:w="80" w:type="dxa"/>
              <w:end w:w="120" w:type="dxa"/>
            </w:tcMar>
            <w:shd w:fill="F7F9FA"/>
          </w:tcPr>
          <w:p>
            <w:r/>
            <w:r>
              <w:rPr>
                <w:rFonts w:ascii="Calibri" w:hAnsi="Calibri"/>
                <w:b w:val="0"/>
                <w:color w:val="161513"/>
                <w:sz w:val="18"/>
              </w:rPr>
              <w:t>OEM_MCP_ALLOW_NONSELECT_SQL</w:t>
            </w:r>
          </w:p>
        </w:tc>
        <w:tc>
          <w:tcPr>
            <w:tcW w:type="dxa" w:w="3240"/>
            <w:vAlign w:val="center"/>
            <w:tcMar>
              <w:top w:w="80" w:type="dxa"/>
              <w:start w:w="120" w:type="dxa"/>
              <w:bottom w:w="80" w:type="dxa"/>
              <w:end w:w="120" w:type="dxa"/>
            </w:tcMar>
            <w:shd w:fill="F7F9FA"/>
          </w:tcPr>
          <w:p>
            <w:r/>
            <w:r>
              <w:rPr>
                <w:rFonts w:ascii="Calibri" w:hAnsi="Calibri"/>
                <w:b w:val="0"/>
                <w:color w:val="161513"/>
                <w:sz w:val="18"/>
              </w:rPr>
              <w:t>Administrative SQL gate</w:t>
            </w:r>
          </w:p>
        </w:tc>
        <w:tc>
          <w:tcPr>
            <w:tcW w:type="dxa" w:w="2952"/>
            <w:vAlign w:val="center"/>
            <w:tcMar>
              <w:top w:w="80" w:type="dxa"/>
              <w:start w:w="120" w:type="dxa"/>
              <w:bottom w:w="80" w:type="dxa"/>
              <w:end w:w="120" w:type="dxa"/>
            </w:tcMar>
            <w:shd w:fill="F7F9FA"/>
          </w:tcPr>
          <w:p>
            <w:r/>
            <w:r>
              <w:rPr>
                <w:rFonts w:ascii="Calibri" w:hAnsi="Calibri"/>
                <w:b w:val="0"/>
                <w:color w:val="161513"/>
                <w:sz w:val="18"/>
              </w:rPr>
              <w:t>false</w:t>
            </w:r>
          </w:p>
        </w:tc>
      </w:tr>
      <w:tr>
        <w:trPr>
          <w:cantSplit w:val="true"/>
        </w:trPr>
        <w:tc>
          <w:tcPr>
            <w:tcW w:type="dxa" w:w="3024"/>
            <w:vAlign w:val="center"/>
            <w:tcMar>
              <w:top w:w="80" w:type="dxa"/>
              <w:start w:w="120" w:type="dxa"/>
              <w:bottom w:w="80" w:type="dxa"/>
              <w:end w:w="120" w:type="dxa"/>
            </w:tcMar>
          </w:tcPr>
          <w:p>
            <w:r/>
            <w:r>
              <w:rPr>
                <w:rFonts w:ascii="Calibri" w:hAnsi="Calibri"/>
                <w:b w:val="0"/>
                <w:color w:val="161513"/>
                <w:sz w:val="18"/>
              </w:rPr>
              <w:t>OEM_MCP_JOB_WORKERS</w:t>
            </w:r>
          </w:p>
        </w:tc>
        <w:tc>
          <w:tcPr>
            <w:tcW w:type="dxa" w:w="3240"/>
            <w:vAlign w:val="center"/>
            <w:tcMar>
              <w:top w:w="80" w:type="dxa"/>
              <w:start w:w="120" w:type="dxa"/>
              <w:bottom w:w="80" w:type="dxa"/>
              <w:end w:w="120" w:type="dxa"/>
            </w:tcMar>
          </w:tcPr>
          <w:p>
            <w:r/>
            <w:r>
              <w:rPr>
                <w:rFonts w:ascii="Calibri" w:hAnsi="Calibri"/>
                <w:b w:val="0"/>
                <w:color w:val="161513"/>
                <w:sz w:val="18"/>
              </w:rPr>
              <w:t>Bounded executor size</w:t>
            </w:r>
          </w:p>
        </w:tc>
        <w:tc>
          <w:tcPr>
            <w:tcW w:type="dxa" w:w="2952"/>
            <w:vAlign w:val="center"/>
            <w:tcMar>
              <w:top w:w="80" w:type="dxa"/>
              <w:start w:w="120" w:type="dxa"/>
              <w:bottom w:w="80" w:type="dxa"/>
              <w:end w:w="120" w:type="dxa"/>
            </w:tcMar>
          </w:tcPr>
          <w:p>
            <w:r/>
            <w:r>
              <w:rPr>
                <w:rFonts w:ascii="Calibri" w:hAnsi="Calibri"/>
                <w:b w:val="0"/>
                <w:color w:val="161513"/>
                <w:sz w:val="18"/>
              </w:rPr>
              <w:t>2</w:t>
            </w:r>
          </w:p>
        </w:tc>
      </w:tr>
      <w:tr>
        <w:trPr>
          <w:cantSplit w:val="true"/>
        </w:trPr>
        <w:tc>
          <w:tcPr>
            <w:tcW w:type="dxa" w:w="3024"/>
            <w:vAlign w:val="center"/>
            <w:tcMar>
              <w:top w:w="80" w:type="dxa"/>
              <w:start w:w="120" w:type="dxa"/>
              <w:bottom w:w="80" w:type="dxa"/>
              <w:end w:w="120" w:type="dxa"/>
            </w:tcMar>
            <w:shd w:fill="F7F9FA"/>
          </w:tcPr>
          <w:p>
            <w:r/>
            <w:r>
              <w:rPr>
                <w:rFonts w:ascii="Calibri" w:hAnsi="Calibri"/>
                <w:b w:val="0"/>
                <w:color w:val="161513"/>
                <w:sz w:val="18"/>
              </w:rPr>
              <w:t>OCI_GENAI_OPENAI_ENDPOINT</w:t>
            </w:r>
          </w:p>
        </w:tc>
        <w:tc>
          <w:tcPr>
            <w:tcW w:type="dxa" w:w="3240"/>
            <w:vAlign w:val="center"/>
            <w:tcMar>
              <w:top w:w="80" w:type="dxa"/>
              <w:start w:w="120" w:type="dxa"/>
              <w:bottom w:w="80" w:type="dxa"/>
              <w:end w:w="120" w:type="dxa"/>
            </w:tcMar>
            <w:shd w:fill="F7F9FA"/>
          </w:tcPr>
          <w:p>
            <w:r/>
            <w:r>
              <w:rPr>
                <w:rFonts w:ascii="Calibri" w:hAnsi="Calibri"/>
                <w:b w:val="0"/>
                <w:color w:val="161513"/>
                <w:sz w:val="18"/>
              </w:rPr>
              <w:t>Optional OCI AI base URL</w:t>
            </w:r>
          </w:p>
        </w:tc>
        <w:tc>
          <w:tcPr>
            <w:tcW w:type="dxa" w:w="2952"/>
            <w:vAlign w:val="center"/>
            <w:tcMar>
              <w:top w:w="80" w:type="dxa"/>
              <w:start w:w="120" w:type="dxa"/>
              <w:bottom w:w="80" w:type="dxa"/>
              <w:end w:w="120" w:type="dxa"/>
            </w:tcMar>
            <w:shd w:fill="F7F9FA"/>
          </w:tcPr>
          <w:p>
            <w:r/>
            <w:r>
              <w:rPr>
                <w:rFonts w:ascii="Calibri" w:hAnsi="Calibri"/>
                <w:b w:val="0"/>
                <w:color w:val="161513"/>
                <w:sz w:val="18"/>
              </w:rPr>
              <w:t>Region-specific HTTPS URL</w:t>
            </w:r>
          </w:p>
        </w:tc>
      </w:tr>
      <w:tr>
        <w:trPr>
          <w:cantSplit w:val="true"/>
        </w:trPr>
        <w:tc>
          <w:tcPr>
            <w:tcW w:type="dxa" w:w="3024"/>
            <w:vAlign w:val="center"/>
            <w:tcMar>
              <w:top w:w="80" w:type="dxa"/>
              <w:start w:w="120" w:type="dxa"/>
              <w:bottom w:w="80" w:type="dxa"/>
              <w:end w:w="120" w:type="dxa"/>
            </w:tcMar>
          </w:tcPr>
          <w:p>
            <w:r/>
            <w:r>
              <w:rPr>
                <w:rFonts w:ascii="Calibri" w:hAnsi="Calibri"/>
                <w:b w:val="0"/>
                <w:color w:val="161513"/>
                <w:sz w:val="18"/>
              </w:rPr>
              <w:t>OCI_GENAI_MODEL / API_KEY</w:t>
            </w:r>
          </w:p>
        </w:tc>
        <w:tc>
          <w:tcPr>
            <w:tcW w:type="dxa" w:w="3240"/>
            <w:vAlign w:val="center"/>
            <w:tcMar>
              <w:top w:w="80" w:type="dxa"/>
              <w:start w:w="120" w:type="dxa"/>
              <w:bottom w:w="80" w:type="dxa"/>
              <w:end w:w="120" w:type="dxa"/>
            </w:tcMar>
          </w:tcPr>
          <w:p>
            <w:r/>
            <w:r>
              <w:rPr>
                <w:rFonts w:ascii="Calibri" w:hAnsi="Calibri"/>
                <w:b w:val="0"/>
                <w:color w:val="161513"/>
                <w:sz w:val="18"/>
              </w:rPr>
              <w:t>Optional model and credential</w:t>
            </w:r>
          </w:p>
        </w:tc>
        <w:tc>
          <w:tcPr>
            <w:tcW w:type="dxa" w:w="2952"/>
            <w:vAlign w:val="center"/>
            <w:tcMar>
              <w:top w:w="80" w:type="dxa"/>
              <w:start w:w="120" w:type="dxa"/>
              <w:bottom w:w="80" w:type="dxa"/>
              <w:end w:w="120" w:type="dxa"/>
            </w:tcMar>
          </w:tcPr>
          <w:p>
            <w:r/>
            <w:r>
              <w:rPr>
                <w:rFonts w:ascii="Calibri" w:hAnsi="Calibri"/>
                <w:b w:val="0"/>
                <w:color w:val="161513"/>
                <w:sz w:val="18"/>
              </w:rPr>
              <w:t>Blank; never commit a real key</w:t>
            </w:r>
          </w:p>
        </w:tc>
      </w:tr>
      <w:tr>
        <w:trPr>
          <w:cantSplit w:val="true"/>
        </w:trPr>
        <w:tc>
          <w:tcPr>
            <w:tcW w:type="dxa" w:w="3024"/>
            <w:vAlign w:val="center"/>
            <w:tcMar>
              <w:top w:w="80" w:type="dxa"/>
              <w:start w:w="120" w:type="dxa"/>
              <w:bottom w:w="80" w:type="dxa"/>
              <w:end w:w="120" w:type="dxa"/>
            </w:tcMar>
            <w:shd w:fill="F7F9FA"/>
          </w:tcPr>
          <w:p>
            <w:r/>
            <w:r>
              <w:rPr>
                <w:rFonts w:ascii="Calibri" w:hAnsi="Calibri"/>
                <w:b w:val="0"/>
                <w:color w:val="161513"/>
                <w:sz w:val="18"/>
              </w:rPr>
              <w:t>OCI_GENAI_*_USD_PER_MILLION</w:t>
            </w:r>
          </w:p>
        </w:tc>
        <w:tc>
          <w:tcPr>
            <w:tcW w:type="dxa" w:w="3240"/>
            <w:vAlign w:val="center"/>
            <w:tcMar>
              <w:top w:w="80" w:type="dxa"/>
              <w:start w:w="120" w:type="dxa"/>
              <w:bottom w:w="80" w:type="dxa"/>
              <w:end w:w="120" w:type="dxa"/>
            </w:tcMar>
            <w:shd w:fill="F7F9FA"/>
          </w:tcPr>
          <w:p>
            <w:r/>
            <w:r>
              <w:rPr>
                <w:rFonts w:ascii="Calibri" w:hAnsi="Calibri"/>
                <w:b w:val="0"/>
                <w:color w:val="161513"/>
                <w:sz w:val="18"/>
              </w:rPr>
              <w:t>Cost estimate rates</w:t>
            </w:r>
          </w:p>
        </w:tc>
        <w:tc>
          <w:tcPr>
            <w:tcW w:type="dxa" w:w="2952"/>
            <w:vAlign w:val="center"/>
            <w:tcMar>
              <w:top w:w="80" w:type="dxa"/>
              <w:start w:w="120" w:type="dxa"/>
              <w:bottom w:w="80" w:type="dxa"/>
              <w:end w:w="120" w:type="dxa"/>
            </w:tcMar>
            <w:shd w:fill="F7F9FA"/>
          </w:tcPr>
          <w:p>
            <w:r/>
            <w:r>
              <w:rPr>
                <w:rFonts w:ascii="Calibri" w:hAnsi="Calibri"/>
                <w:b w:val="0"/>
                <w:color w:val="161513"/>
                <w:sz w:val="18"/>
              </w:rPr>
              <w:t>0 until current rates are configured</w:t>
            </w:r>
          </w:p>
        </w:tc>
      </w:tr>
    </w:tbl>
    <w:p/>
    <w:p>
      <w:pPr>
        <w:pStyle w:val="Heading1"/>
        <w:keepNext/>
      </w:pPr>
      <w:r>
        <w:t>15. References</w:t>
      </w:r>
    </w:p>
    <w:p>
      <w:pPr>
        <w:pStyle w:val="ListBullet"/>
        <w:keepLines/>
      </w:pPr>
      <w:r>
        <w:t>Oracle Enterprise Manager 24ai — Enterprise Manager Model Context Protocol Server: https://docs.oracle.com/en/enterprise-manager/cloud-control/enterprise-manager-cloud-control/24.1/emadm/enterprise-manager-model-context-protocol-server.html</w:t>
      </w:r>
    </w:p>
    <w:p>
      <w:pPr>
        <w:pStyle w:val="ListBullet"/>
        <w:keepLines/>
      </w:pPr>
      <w:r>
        <w:t>Oracle blog — Oracle Enterprise Manager MCP Server: Bringing Enterprise Manager Data to AI Agents: https://blogs.oracle.com/observability/oracle-enterprise-manager-mcp-server-bringing-enterprise-manager-data-to-ai-agents</w:t>
      </w:r>
    </w:p>
    <w:p>
      <w:pPr>
        <w:pStyle w:val="ListBullet"/>
        <w:keepLines/>
      </w:pPr>
      <w:r>
        <w:t>Oracle OCI Architecture Diagram Toolkit and graphics guidance: https://docs.oracle.com/en-us/iaas/Content/General/Reference/graphicsfordiagrams.htm</w:t>
      </w:r>
    </w:p>
    <w:p>
      <w:pPr>
        <w:pStyle w:val="ListBullet"/>
        <w:keepLines/>
      </w:pPr>
      <w:r>
        <w:t>Oracle OCI Generative AI OpenAI-compatible API: https://docs.oracle.com/en-us/iaas/Content/generative-ai/openai-compatible-api.htm</w:t>
      </w:r>
    </w:p>
    <w:p>
      <w:pPr>
        <w:pStyle w:val="ListBullet"/>
        <w:keepLines/>
      </w:pPr>
      <w:r>
        <w:t>Oracle Cloud Adoption Framework — Monitoring and Observability: https://docs.oracle.com/en-us/iaas/Content/cloud-adoption-framework/monitoring-and-observability.htm</w:t>
      </w:r>
    </w:p>
    <w:p>
      <w:pPr>
        <w:pStyle w:val="ListBullet"/>
        <w:keepLines/>
      </w:pPr>
      <w:r>
        <w:t>Model Context Protocol lifecycle specification 2025-11-25: https://modelcontextprotocol.io/specification/2025-11-25/basic/lifecycle</w:t>
      </w:r>
    </w:p>
    <w:p>
      <w:pPr>
        <w:pStyle w:val="ListBullet"/>
        <w:keepLines/>
      </w:pPr>
      <w:r>
        <w:t>Project README, SECURITY.md, tests and source modules in this repository, version 1.0.0.</w:t>
      </w:r>
    </w:p>
    <w:tbl>
      <w:tblPr>
        <w:tblW w:type="auto" w:w="0"/>
        <w:jc w:val="center"/>
        <w:tblLook w:firstColumn="1" w:firstRow="1" w:lastColumn="0" w:lastRow="0" w:noHBand="0" w:noVBand="1" w:val="04A0"/>
      </w:tblPr>
      <w:tblGrid>
        <w:gridCol w:w="9792"/>
      </w:tblGrid>
      <w:tr>
        <w:tc>
          <w:tcPr>
            <w:tcW w:type="dxa" w:w="9792"/>
            <w:shd w:fill="E7F4F3"/>
            <w:tcMar>
              <w:top w:w="140" w:type="dxa"/>
              <w:start w:w="180" w:type="dxa"/>
              <w:bottom w:w="140" w:type="dxa"/>
              <w:end w:w="180" w:type="dxa"/>
            </w:tcMar>
          </w:tcPr>
          <w:p>
            <w:r>
              <w:rPr>
                <w:b/>
                <w:color w:val="174A5B"/>
              </w:rPr>
              <w:t xml:space="preserve">Artifact set. </w:t>
            </w:r>
            <w:r>
              <w:t>The repository folder docs/architecture contains the editable draw.io source, SVG and PNG renders, this DOCX and its PDF rendering. The README embeds the SVG and links all source formats.</w:t>
            </w:r>
          </w:p>
        </w:tc>
        <w:trPr>
          <w:tblHeader/>
        </w:trPr>
      </w:tr>
    </w:tbl>
    <w:p/>
    <w:sectPr>
      <w:headerReference w:type="default" r:id="rId9"/>
      <w:footerReference w:type="default" r:id="rId10"/>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6504B"/>
        <w:sz w:val="16"/>
      </w:rPr>
      <w:t xml:space="preserve">OEM MCP Streamlit Operations Client  •  Version 1.0.0  •  Page </w:t>
    </w:r>
    <w:r>
      <w:rPr>
        <w:rFonts w:ascii="Calibri" w:hAnsi="Calibri"/>
        <w:color w:val="56504B"/>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6" w:color="C74634"/>
      </w:pBdr>
    </w:pPr>
    <w:r>
      <w:rPr>
        <w:rFonts w:ascii="Calibri" w:hAnsi="Calibri"/>
        <w:b/>
        <w:color w:val="56504B"/>
        <w:sz w:val="16"/>
      </w:rPr>
      <w:t>ORACLE ENTERPRISE MANAGER  |  SOLUTION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3" w:lineRule="auto"/>
    </w:pPr>
    <w:rPr>
      <w:rFonts w:ascii="Calibri" w:hAnsi="Calibri"/>
      <w:color w:val="1615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6D8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6D8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4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C746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6504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OEM MCP Streamlit Operations Client — Software Solution Design</dc:title>
  <dc:subject>OCI architecture and implementation design for priorities 2 through 13</dc:subject>
  <dc:creator/>
  <cp:keywords>Oracle Enterprise Manager, MCP, Streamlit, OCI, architecture, solution design</cp:keywords>
  <dc:description>generated by python-docx</dc:description>
  <cp:lastModifiedBy/>
  <cp:revision>1</cp:revision>
  <dcterms:created xsi:type="dcterms:W3CDTF">2013-12-23T23:15:00Z</dcterms:created>
  <dcterms:modified xsi:type="dcterms:W3CDTF">2013-12-23T23:15:00Z</dcterms:modified>
  <cp:category/>
</cp:coreProperties>
</file>