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C1395" w14:textId="1EE51089" w:rsidR="00753200" w:rsidRPr="00753200" w:rsidRDefault="00B0340A" w:rsidP="00753200">
      <w:r w:rsidRPr="00B0340A">
        <w:rPr>
          <w:b/>
          <w:bCs/>
          <w:highlight w:val="green"/>
        </w:rPr>
        <w:t>[</w:t>
      </w:r>
      <w:r w:rsidR="00753200" w:rsidRPr="00753200">
        <w:rPr>
          <w:b/>
          <w:bCs/>
          <w:highlight w:val="green"/>
        </w:rPr>
        <w:t>Opening</w:t>
      </w:r>
      <w:r w:rsidR="00EC0570" w:rsidRPr="00B0340A">
        <w:rPr>
          <w:highlight w:val="green"/>
        </w:rPr>
        <w:t xml:space="preserve"> </w:t>
      </w:r>
      <w:r w:rsidRPr="00B0340A">
        <w:rPr>
          <w:highlight w:val="green"/>
        </w:rPr>
        <w:t>slide with title and my name]</w:t>
      </w:r>
      <w:r w:rsidR="00753200" w:rsidRPr="00753200">
        <w:br/>
        <w:t xml:space="preserve">Good afternoon. I hope the coffee was strong, because the topic I want to share with you is not exactly light: </w:t>
      </w:r>
      <w:r w:rsidR="00753200" w:rsidRPr="00753200">
        <w:rPr>
          <w:i/>
          <w:iCs/>
        </w:rPr>
        <w:t>trust</w:t>
      </w:r>
      <w:r w:rsidR="00753200" w:rsidRPr="00753200">
        <w:t xml:space="preserve"> — or rather, what happens when trust breaks down</w:t>
      </w:r>
      <w:r w:rsidR="009A4BEB">
        <w:t xml:space="preserve"> in key relations</w:t>
      </w:r>
      <w:r w:rsidR="00753200" w:rsidRPr="00753200">
        <w:t>.</w:t>
      </w:r>
    </w:p>
    <w:p w14:paraId="64B825FA" w14:textId="139C68B1" w:rsidR="00753200" w:rsidRPr="00753200" w:rsidRDefault="00753200" w:rsidP="00753200">
      <w:r w:rsidRPr="00753200">
        <w:t xml:space="preserve">At the EUISS </w:t>
      </w:r>
      <w:r w:rsidR="006D12F6">
        <w:t>we’re drafting</w:t>
      </w:r>
      <w:r w:rsidRPr="00753200">
        <w:t xml:space="preserve"> a new project called </w:t>
      </w:r>
      <w:r w:rsidRPr="00753200">
        <w:rPr>
          <w:i/>
          <w:iCs/>
        </w:rPr>
        <w:t>“Beyond Broken Trust: Dealing with Deep Uncertainty in Transatlantic Relations.”</w:t>
      </w:r>
      <w:r w:rsidRPr="00753200">
        <w:t xml:space="preserve"> And the truth is, few words capture the last eight months of Europe–US relations better than: </w:t>
      </w:r>
      <w:r w:rsidRPr="00753200">
        <w:rPr>
          <w:b/>
          <w:bCs/>
        </w:rPr>
        <w:t>broken trust</w:t>
      </w:r>
      <w:r w:rsidRPr="00753200">
        <w:t>.</w:t>
      </w:r>
    </w:p>
    <w:p w14:paraId="0795C290" w14:textId="77777777" w:rsidR="00753200" w:rsidRPr="00753200" w:rsidRDefault="00753200" w:rsidP="00753200">
      <w:r w:rsidRPr="00753200">
        <w:pict w14:anchorId="17D76F20">
          <v:rect id="_x0000_i1055" style="width:0;height:1.5pt" o:hralign="center" o:hrstd="t" o:hr="t" fillcolor="#a0a0a0" stroked="f"/>
        </w:pict>
      </w:r>
    </w:p>
    <w:p w14:paraId="1F899750" w14:textId="77777777" w:rsidR="0034219A" w:rsidRDefault="00753200" w:rsidP="00753200">
      <w:pPr>
        <w:rPr>
          <w:b/>
          <w:bCs/>
        </w:rPr>
      </w:pPr>
      <w:r w:rsidRPr="00753200">
        <w:rPr>
          <w:b/>
          <w:bCs/>
        </w:rPr>
        <w:t>Diagnosis – what happened?</w:t>
      </w:r>
    </w:p>
    <w:p w14:paraId="1755C084" w14:textId="4E69E47C" w:rsidR="00753200" w:rsidRPr="00753200" w:rsidRDefault="0034219A" w:rsidP="00753200">
      <w:r w:rsidRPr="0034219A">
        <w:rPr>
          <w:highlight w:val="green"/>
        </w:rPr>
        <w:t>[Visual: animated timeline]</w:t>
      </w:r>
      <w:r w:rsidR="00753200" w:rsidRPr="00753200">
        <w:br/>
        <w:t xml:space="preserve">Now, tension in transatlantic ties is nothing new. We saw </w:t>
      </w:r>
      <w:r w:rsidR="006D12F6">
        <w:t>episodes of it</w:t>
      </w:r>
      <w:r w:rsidR="00753200" w:rsidRPr="00753200">
        <w:t xml:space="preserve"> under </w:t>
      </w:r>
      <w:r w:rsidR="006D12F6">
        <w:t xml:space="preserve">Bush, </w:t>
      </w:r>
      <w:r w:rsidR="00753200" w:rsidRPr="00753200">
        <w:t>Obama, Trump I, even under Biden. But what we are facing in 2025 is of a different order.</w:t>
      </w:r>
    </w:p>
    <w:p w14:paraId="4FC75641" w14:textId="0723C80C" w:rsidR="00753200" w:rsidRPr="00753200" w:rsidRDefault="007D4DE6" w:rsidP="00753200">
      <w:r>
        <w:t>First, t</w:t>
      </w:r>
      <w:r w:rsidR="00753200" w:rsidRPr="00753200">
        <w:t xml:space="preserve">he </w:t>
      </w:r>
      <w:proofErr w:type="spellStart"/>
      <w:r w:rsidR="00753200" w:rsidRPr="00753200">
        <w:t>new</w:t>
      </w:r>
      <w:proofErr w:type="spellEnd"/>
      <w:r w:rsidR="00753200" w:rsidRPr="00753200">
        <w:t xml:space="preserve"> US administration has openly questioned </w:t>
      </w:r>
      <w:r w:rsidR="00D27C9C">
        <w:t xml:space="preserve">some of the </w:t>
      </w:r>
      <w:r w:rsidR="00753200" w:rsidRPr="00753200">
        <w:t xml:space="preserve">values that Europeans have long taken as the foundation of our partnership: </w:t>
      </w:r>
      <w:r w:rsidR="00F24B47">
        <w:t xml:space="preserve">the depth of the transatlantic bond, the mutual </w:t>
      </w:r>
      <w:r w:rsidR="002F218D">
        <w:t>benefits of our trade</w:t>
      </w:r>
      <w:r w:rsidR="00D6467C">
        <w:t>, the support for multilateralism</w:t>
      </w:r>
      <w:r w:rsidR="002F218D">
        <w:t>.</w:t>
      </w:r>
    </w:p>
    <w:p w14:paraId="2D44CE56" w14:textId="605F33FB" w:rsidR="00753200" w:rsidRPr="00753200" w:rsidRDefault="007D4DE6" w:rsidP="00753200">
      <w:r>
        <w:t>Second,</w:t>
      </w:r>
      <w:r w:rsidR="00753200" w:rsidRPr="00753200">
        <w:t xml:space="preserve"> </w:t>
      </w:r>
      <w:r w:rsidR="00753200" w:rsidRPr="00753200">
        <w:rPr>
          <w:b/>
          <w:bCs/>
        </w:rPr>
        <w:t>unpredictability</w:t>
      </w:r>
      <w:r w:rsidR="00753200" w:rsidRPr="00753200">
        <w:t xml:space="preserve"> has become the norm. Policies are announced, reversed, then reversed again. Negotiations shift dramatically within days. Decision-making is increasingly confined to the Oval Office, and outcomes seem to depend on presidential mood </w:t>
      </w:r>
      <w:r w:rsidR="0070376F">
        <w:t>– and are prone to change</w:t>
      </w:r>
      <w:r w:rsidR="00753200" w:rsidRPr="00753200">
        <w:t>.</w:t>
      </w:r>
    </w:p>
    <w:p w14:paraId="43AC8119" w14:textId="7931C8B2" w:rsidR="00753200" w:rsidRDefault="009059A9" w:rsidP="00753200">
      <w:r>
        <w:t>This deep uncertainty reduces predictability of behaviour</w:t>
      </w:r>
      <w:r w:rsidR="00753200" w:rsidRPr="00753200">
        <w:t xml:space="preserve">. And without predictability, trust </w:t>
      </w:r>
      <w:r>
        <w:t xml:space="preserve">between partners </w:t>
      </w:r>
      <w:r w:rsidR="00753200" w:rsidRPr="00753200">
        <w:t>collapses.</w:t>
      </w:r>
    </w:p>
    <w:p w14:paraId="321E2E70" w14:textId="5035380C" w:rsidR="0034219A" w:rsidRPr="00753200" w:rsidRDefault="0034219A" w:rsidP="00753200">
      <w:r w:rsidRPr="0034219A">
        <w:rPr>
          <w:highlight w:val="green"/>
        </w:rPr>
        <w:t xml:space="preserve">[Visual: </w:t>
      </w:r>
      <w:r>
        <w:rPr>
          <w:highlight w:val="green"/>
        </w:rPr>
        <w:t>EU facets</w:t>
      </w:r>
      <w:r w:rsidRPr="0034219A">
        <w:rPr>
          <w:highlight w:val="green"/>
        </w:rPr>
        <w:t>]</w:t>
      </w:r>
    </w:p>
    <w:p w14:paraId="4BE17D57" w14:textId="77777777" w:rsidR="00753200" w:rsidRPr="00753200" w:rsidRDefault="00753200" w:rsidP="00753200">
      <w:r w:rsidRPr="00753200">
        <w:pict w14:anchorId="3ECEDC97">
          <v:rect id="_x0000_i1056" style="width:0;height:1.5pt" o:hralign="center" o:hrstd="t" o:hr="t" fillcolor="#a0a0a0" stroked="f"/>
        </w:pict>
      </w:r>
    </w:p>
    <w:p w14:paraId="5FF0F324" w14:textId="69961A6D" w:rsidR="00691D07" w:rsidRDefault="00753200" w:rsidP="00753200">
      <w:r w:rsidRPr="00753200">
        <w:rPr>
          <w:b/>
          <w:bCs/>
        </w:rPr>
        <w:t xml:space="preserve">Examples </w:t>
      </w:r>
      <w:r w:rsidRPr="00753200">
        <w:br/>
        <w:t>Think</w:t>
      </w:r>
      <w:r w:rsidR="009059A9">
        <w:t>, for instance,</w:t>
      </w:r>
      <w:r w:rsidRPr="00753200">
        <w:t xml:space="preserve"> of trade: </w:t>
      </w:r>
      <w:r w:rsidR="00691D07">
        <w:t xml:space="preserve">in April </w:t>
      </w:r>
      <w:r w:rsidRPr="00753200">
        <w:t xml:space="preserve">Washington </w:t>
      </w:r>
      <w:r w:rsidR="00691D07">
        <w:t>imposed</w:t>
      </w:r>
      <w:r w:rsidRPr="00753200">
        <w:t xml:space="preserve"> tariffs</w:t>
      </w:r>
      <w:r w:rsidR="00691D07">
        <w:t xml:space="preserve"> on the EU</w:t>
      </w:r>
      <w:r w:rsidRPr="00753200">
        <w:t xml:space="preserve">; the next week, they’re </w:t>
      </w:r>
      <w:proofErr w:type="gramStart"/>
      <w:r w:rsidRPr="00753200">
        <w:t>lifted</w:t>
      </w:r>
      <w:proofErr w:type="gramEnd"/>
      <w:r w:rsidR="009059A9">
        <w:t xml:space="preserve"> and a negotiation begins; when these appear </w:t>
      </w:r>
      <w:r w:rsidR="00D943C9">
        <w:t>imminent, the US issued a new letter slapping 30% tariffs</w:t>
      </w:r>
      <w:r w:rsidRPr="00753200">
        <w:t>.</w:t>
      </w:r>
      <w:r w:rsidR="00D943C9">
        <w:t xml:space="preserve"> In the end, the </w:t>
      </w:r>
      <w:r w:rsidR="00691D07">
        <w:t>agreement of 15</w:t>
      </w:r>
      <w:r w:rsidR="003234FB">
        <w:t>%, despite being</w:t>
      </w:r>
      <w:r w:rsidR="00691D07">
        <w:t xml:space="preserve"> suboptimal,</w:t>
      </w:r>
      <w:r w:rsidR="003234FB">
        <w:t xml:space="preserve"> was</w:t>
      </w:r>
      <w:r w:rsidR="00691D07">
        <w:t xml:space="preserve"> the best given the circumstances. </w:t>
      </w:r>
      <w:r w:rsidR="003234FB">
        <w:t>But Europeans aren’t sure it will last.</w:t>
      </w:r>
    </w:p>
    <w:p w14:paraId="61A80F4B" w14:textId="5BEE0BC1" w:rsidR="0034219A" w:rsidRPr="00753200" w:rsidRDefault="0034219A" w:rsidP="0034219A">
      <w:r w:rsidRPr="0034219A">
        <w:rPr>
          <w:highlight w:val="green"/>
        </w:rPr>
        <w:t xml:space="preserve">[Visual: </w:t>
      </w:r>
      <w:r>
        <w:rPr>
          <w:highlight w:val="green"/>
        </w:rPr>
        <w:t>EU tariffs timeline</w:t>
      </w:r>
      <w:r w:rsidRPr="0034219A">
        <w:rPr>
          <w:highlight w:val="green"/>
        </w:rPr>
        <w:t>]</w:t>
      </w:r>
    </w:p>
    <w:p w14:paraId="2492439B" w14:textId="481AB6CB" w:rsidR="00753200" w:rsidRPr="00753200" w:rsidRDefault="00753200" w:rsidP="00753200">
      <w:r w:rsidRPr="00753200">
        <w:t xml:space="preserve">Or Ukraine: </w:t>
      </w:r>
      <w:r w:rsidR="003234FB">
        <w:t>parts of the government wanted to cut all weapons to Ukraine</w:t>
      </w:r>
      <w:r w:rsidRPr="00753200">
        <w:t xml:space="preserve">, </w:t>
      </w:r>
      <w:r w:rsidR="003234FB">
        <w:t xml:space="preserve">the week later </w:t>
      </w:r>
      <w:r w:rsidRPr="00753200">
        <w:t>new weapons the next.</w:t>
      </w:r>
      <w:r w:rsidR="00691D07">
        <w:t xml:space="preserve"> Although the US has recently been closer to Ukraine, a new </w:t>
      </w:r>
      <w:r w:rsidR="003234FB">
        <w:t>summit with Putin could change everything.</w:t>
      </w:r>
    </w:p>
    <w:p w14:paraId="1A385259" w14:textId="77777777" w:rsidR="00753200" w:rsidRDefault="00753200" w:rsidP="00753200">
      <w:r w:rsidRPr="00753200">
        <w:t>The same applies in defence, climate, China policy, AI. Each swing undermines Europe’s confidence that cooperation will hold.</w:t>
      </w:r>
    </w:p>
    <w:p w14:paraId="1DA74D69" w14:textId="446D8D23" w:rsidR="0034219A" w:rsidRPr="00753200" w:rsidRDefault="0034219A" w:rsidP="00753200">
      <w:r w:rsidRPr="0034219A">
        <w:rPr>
          <w:highlight w:val="green"/>
        </w:rPr>
        <w:lastRenderedPageBreak/>
        <w:t xml:space="preserve">[Visual: </w:t>
      </w:r>
      <w:r>
        <w:rPr>
          <w:highlight w:val="green"/>
        </w:rPr>
        <w:t>trust across the globe</w:t>
      </w:r>
      <w:r w:rsidRPr="0034219A">
        <w:rPr>
          <w:highlight w:val="green"/>
        </w:rPr>
        <w:t>]</w:t>
      </w:r>
    </w:p>
    <w:p w14:paraId="7DBBED48" w14:textId="60F500D4" w:rsidR="00753200" w:rsidRPr="00753200" w:rsidRDefault="00753200" w:rsidP="00753200">
      <w:r w:rsidRPr="00753200">
        <w:t>And it’s not just Europe. Across the globe, US partners report similar drops in trust</w:t>
      </w:r>
      <w:r w:rsidR="0034219A">
        <w:t>: favourable views of the US dropped by more than 10% between 2024 and 2025 among key US partners. S</w:t>
      </w:r>
      <w:r w:rsidRPr="00753200">
        <w:t>ome at the same time as us, others earlier, meaning they may have lessons to share.</w:t>
      </w:r>
    </w:p>
    <w:p w14:paraId="2D8AD1E7" w14:textId="77777777" w:rsidR="00753200" w:rsidRPr="00753200" w:rsidRDefault="00753200" w:rsidP="00753200">
      <w:r w:rsidRPr="00753200">
        <w:pict w14:anchorId="20F16F04">
          <v:rect id="_x0000_i1057" style="width:0;height:1.5pt" o:hralign="center" o:hrstd="t" o:hr="t" fillcolor="#a0a0a0" stroked="f"/>
        </w:pict>
      </w:r>
    </w:p>
    <w:p w14:paraId="41A35060" w14:textId="3E80B884" w:rsidR="00753200" w:rsidRPr="00753200" w:rsidRDefault="00753200" w:rsidP="00753200">
      <w:r w:rsidRPr="00753200">
        <w:rPr>
          <w:b/>
          <w:bCs/>
        </w:rPr>
        <w:t xml:space="preserve">Why it matters </w:t>
      </w:r>
      <w:r w:rsidRPr="00753200">
        <w:br/>
        <w:t>This mistrust is Europe’s biggest transatlantic challenge today. The US remains a crucial partner — but cooperation becomes far harder when we cannot rely on consistency.</w:t>
      </w:r>
    </w:p>
    <w:p w14:paraId="314F5B54" w14:textId="77777777" w:rsidR="00753200" w:rsidRPr="00753200" w:rsidRDefault="00753200" w:rsidP="00753200">
      <w:r w:rsidRPr="00753200">
        <w:pict w14:anchorId="693C9DFB">
          <v:rect id="_x0000_i1058" style="width:0;height:1.5pt" o:hralign="center" o:hrstd="t" o:hr="t" fillcolor="#a0a0a0" stroked="f"/>
        </w:pict>
      </w:r>
    </w:p>
    <w:p w14:paraId="5104BE74" w14:textId="366CACDD" w:rsidR="0019134A" w:rsidRDefault="00EC0570" w:rsidP="00753200">
      <w:pPr>
        <w:rPr>
          <w:b/>
          <w:bCs/>
        </w:rPr>
      </w:pPr>
      <w:r>
        <w:rPr>
          <w:b/>
          <w:bCs/>
        </w:rPr>
        <w:t>Beyond broken trust</w:t>
      </w:r>
    </w:p>
    <w:p w14:paraId="513CA85D" w14:textId="09742E6D" w:rsidR="0019134A" w:rsidRPr="00753200" w:rsidRDefault="0019134A" w:rsidP="0019134A">
      <w:r w:rsidRPr="0034219A">
        <w:rPr>
          <w:highlight w:val="green"/>
        </w:rPr>
        <w:t xml:space="preserve">[Visual: </w:t>
      </w:r>
      <w:r>
        <w:rPr>
          <w:highlight w:val="green"/>
        </w:rPr>
        <w:t xml:space="preserve">the 5 points below – </w:t>
      </w:r>
      <w:r w:rsidR="00B0340A">
        <w:rPr>
          <w:highlight w:val="green"/>
        </w:rPr>
        <w:t>just the parts highlighted</w:t>
      </w:r>
      <w:r w:rsidRPr="0034219A">
        <w:rPr>
          <w:highlight w:val="green"/>
        </w:rPr>
        <w:t>]</w:t>
      </w:r>
    </w:p>
    <w:p w14:paraId="2EFBCB5B" w14:textId="77777777" w:rsidR="00CD30F6" w:rsidRDefault="00753200" w:rsidP="00753200">
      <w:r w:rsidRPr="00753200">
        <w:br/>
      </w:r>
      <w:r w:rsidR="00CD30F6">
        <w:t xml:space="preserve">The </w:t>
      </w:r>
      <w:r w:rsidR="00CD30F6" w:rsidRPr="00753200">
        <w:t>threats we share with the US have not disappeared. Cooperation remains necessary</w:t>
      </w:r>
      <w:r w:rsidR="00CD30F6">
        <w:t xml:space="preserve"> in many areas, despite broken trust</w:t>
      </w:r>
      <w:r w:rsidR="00CD30F6">
        <w:t>.</w:t>
      </w:r>
      <w:r w:rsidR="00CD30F6" w:rsidRPr="00753200">
        <w:t xml:space="preserve"> </w:t>
      </w:r>
    </w:p>
    <w:p w14:paraId="4C6F60EF" w14:textId="54968F14" w:rsidR="00753200" w:rsidRPr="00753200" w:rsidRDefault="00753200" w:rsidP="00753200">
      <w:pPr>
        <w:rPr>
          <w:b/>
          <w:bCs/>
        </w:rPr>
      </w:pPr>
      <w:r w:rsidRPr="00753200">
        <w:t xml:space="preserve">So, how do we go </w:t>
      </w:r>
      <w:r w:rsidRPr="00753200">
        <w:rPr>
          <w:i/>
          <w:iCs/>
        </w:rPr>
        <w:t>beyond</w:t>
      </w:r>
      <w:r w:rsidRPr="00753200">
        <w:t xml:space="preserve"> broken trust? </w:t>
      </w:r>
      <w:r w:rsidR="009C45B2">
        <w:t xml:space="preserve">How do we deal with deep uncertainty? </w:t>
      </w:r>
      <w:proofErr w:type="gramStart"/>
      <w:r w:rsidRPr="00753200">
        <w:t>Our</w:t>
      </w:r>
      <w:proofErr w:type="gramEnd"/>
      <w:r w:rsidRPr="00753200">
        <w:t xml:space="preserve"> preliminary findings suggest five directions:</w:t>
      </w:r>
    </w:p>
    <w:p w14:paraId="67E68C3C" w14:textId="1955F562" w:rsidR="00753200" w:rsidRPr="00753200" w:rsidRDefault="00753200" w:rsidP="00753200">
      <w:pPr>
        <w:numPr>
          <w:ilvl w:val="0"/>
          <w:numId w:val="4"/>
        </w:numPr>
      </w:pPr>
      <w:r w:rsidRPr="00753200">
        <w:rPr>
          <w:b/>
          <w:bCs/>
          <w:highlight w:val="green"/>
        </w:rPr>
        <w:t>Stay pragmatic</w:t>
      </w:r>
      <w:r w:rsidRPr="00753200">
        <w:t xml:space="preserve"> –</w:t>
      </w:r>
      <w:r w:rsidR="00CD30F6">
        <w:t xml:space="preserve"> focus on areas that can be </w:t>
      </w:r>
      <w:proofErr w:type="gramStart"/>
      <w:r w:rsidR="00CD30F6">
        <w:t>fruitful</w:t>
      </w:r>
      <w:proofErr w:type="gramEnd"/>
      <w:r w:rsidR="004A6E80">
        <w:t xml:space="preserve"> when possible</w:t>
      </w:r>
      <w:r w:rsidR="00CD30F6">
        <w:t xml:space="preserve">, without </w:t>
      </w:r>
      <w:r w:rsidR="004A6E80">
        <w:t>pushing on</w:t>
      </w:r>
      <w:r w:rsidR="00CD30F6">
        <w:t xml:space="preserve"> the</w:t>
      </w:r>
      <w:r w:rsidR="004A6E80">
        <w:t xml:space="preserve"> points of friction</w:t>
      </w:r>
      <w:r w:rsidRPr="00753200">
        <w:t>.</w:t>
      </w:r>
    </w:p>
    <w:p w14:paraId="129ECAB8" w14:textId="2D0D6F47" w:rsidR="00753200" w:rsidRPr="00753200" w:rsidRDefault="00753200" w:rsidP="00753200">
      <w:pPr>
        <w:numPr>
          <w:ilvl w:val="0"/>
          <w:numId w:val="4"/>
        </w:numPr>
      </w:pPr>
      <w:r w:rsidRPr="00753200">
        <w:rPr>
          <w:b/>
          <w:bCs/>
          <w:highlight w:val="green"/>
        </w:rPr>
        <w:t>Show persistence</w:t>
      </w:r>
      <w:r w:rsidRPr="00753200">
        <w:t xml:space="preserve"> – Europe’s consistenc</w:t>
      </w:r>
      <w:r w:rsidR="009C45B2">
        <w:t xml:space="preserve">y of engagement </w:t>
      </w:r>
      <w:r w:rsidRPr="00753200">
        <w:t xml:space="preserve">can signal </w:t>
      </w:r>
      <w:r w:rsidR="009C45B2">
        <w:t xml:space="preserve">our </w:t>
      </w:r>
      <w:r w:rsidRPr="00753200">
        <w:t>seriousness to Washington.</w:t>
      </w:r>
      <w:r w:rsidR="009C45B2">
        <w:t xml:space="preserve"> We saw it in the form of Ukraine diplomacy: relentless engagement to manage uncertainty. </w:t>
      </w:r>
    </w:p>
    <w:p w14:paraId="70D39E0D" w14:textId="499B35F1" w:rsidR="00753200" w:rsidRPr="00753200" w:rsidRDefault="00753200" w:rsidP="00753200">
      <w:pPr>
        <w:numPr>
          <w:ilvl w:val="0"/>
          <w:numId w:val="4"/>
        </w:numPr>
      </w:pPr>
      <w:r w:rsidRPr="00753200">
        <w:rPr>
          <w:b/>
          <w:bCs/>
          <w:highlight w:val="green"/>
        </w:rPr>
        <w:t xml:space="preserve">Prepare for </w:t>
      </w:r>
      <w:r w:rsidR="004A6E80" w:rsidRPr="009428EA">
        <w:rPr>
          <w:b/>
          <w:bCs/>
          <w:highlight w:val="green"/>
        </w:rPr>
        <w:t xml:space="preserve">more </w:t>
      </w:r>
      <w:r w:rsidRPr="00753200">
        <w:rPr>
          <w:b/>
          <w:bCs/>
          <w:highlight w:val="green"/>
        </w:rPr>
        <w:t>friction</w:t>
      </w:r>
      <w:r w:rsidRPr="00753200">
        <w:t xml:space="preserve"> – </w:t>
      </w:r>
      <w:r w:rsidR="004A6E80">
        <w:t xml:space="preserve">Be aware that </w:t>
      </w:r>
      <w:r w:rsidRPr="00753200">
        <w:t>new conflicts are likely</w:t>
      </w:r>
      <w:r w:rsidR="009C45B2">
        <w:t xml:space="preserve"> to emerge</w:t>
      </w:r>
      <w:r w:rsidRPr="00753200">
        <w:t xml:space="preserve">; </w:t>
      </w:r>
      <w:r w:rsidR="004A6E80">
        <w:t xml:space="preserve">don’t take </w:t>
      </w:r>
      <w:r w:rsidR="00EC0570">
        <w:t>past agreements for granted. F</w:t>
      </w:r>
      <w:r w:rsidRPr="00753200">
        <w:t>oresight is essential</w:t>
      </w:r>
      <w:r w:rsidR="009C45B2">
        <w:t xml:space="preserve"> so we are well prepared</w:t>
      </w:r>
      <w:r w:rsidRPr="00753200">
        <w:t>.</w:t>
      </w:r>
    </w:p>
    <w:p w14:paraId="0163552F" w14:textId="3A86B19E" w:rsidR="00753200" w:rsidRPr="00753200" w:rsidRDefault="00753200" w:rsidP="00753200">
      <w:pPr>
        <w:numPr>
          <w:ilvl w:val="0"/>
          <w:numId w:val="4"/>
        </w:numPr>
      </w:pPr>
      <w:r w:rsidRPr="00753200">
        <w:rPr>
          <w:b/>
          <w:bCs/>
          <w:highlight w:val="green"/>
        </w:rPr>
        <w:t>Build autonomy</w:t>
      </w:r>
      <w:r w:rsidRPr="00753200">
        <w:t xml:space="preserve"> – in some areas, Europe must be able to act </w:t>
      </w:r>
      <w:r w:rsidR="009C45B2">
        <w:t>without Washington</w:t>
      </w:r>
      <w:r w:rsidRPr="00753200">
        <w:t>.</w:t>
      </w:r>
      <w:r w:rsidR="00EC0570">
        <w:t xml:space="preserve"> And in others, while cooperation continues, building autonomy will help to navigate future tensions.</w:t>
      </w:r>
    </w:p>
    <w:p w14:paraId="5AC7944F" w14:textId="74FDCB42" w:rsidR="00753200" w:rsidRPr="00753200" w:rsidRDefault="009428EA" w:rsidP="00753200">
      <w:pPr>
        <w:numPr>
          <w:ilvl w:val="0"/>
          <w:numId w:val="4"/>
        </w:numPr>
      </w:pPr>
      <w:r w:rsidRPr="009428EA">
        <w:rPr>
          <w:b/>
          <w:bCs/>
          <w:highlight w:val="green"/>
        </w:rPr>
        <w:t>Don’t act alone</w:t>
      </w:r>
      <w:r w:rsidR="00753200" w:rsidRPr="00753200">
        <w:t xml:space="preserve"> – </w:t>
      </w:r>
      <w:r>
        <w:t>M</w:t>
      </w:r>
      <w:r w:rsidR="00753200" w:rsidRPr="00753200">
        <w:t>any countries</w:t>
      </w:r>
      <w:r>
        <w:t xml:space="preserve"> are in the same situation as Europe</w:t>
      </w:r>
      <w:r w:rsidR="009C45B2">
        <w:t xml:space="preserve">, </w:t>
      </w:r>
      <w:r>
        <w:t>while others have already learned how to deal</w:t>
      </w:r>
      <w:r w:rsidR="009C45B2">
        <w:t xml:space="preserve"> with Washington</w:t>
      </w:r>
      <w:r w:rsidR="00753200" w:rsidRPr="00753200">
        <w:t xml:space="preserve">. If Europe wants influence, it must invest seriously </w:t>
      </w:r>
      <w:r>
        <w:t>in partnerships across the world.</w:t>
      </w:r>
    </w:p>
    <w:p w14:paraId="3591894C" w14:textId="77777777" w:rsidR="00753200" w:rsidRPr="00753200" w:rsidRDefault="00753200" w:rsidP="00753200">
      <w:r w:rsidRPr="00753200">
        <w:pict w14:anchorId="5585827F">
          <v:rect id="_x0000_i1059" style="width:0;height:1.5pt" o:hralign="center" o:hrstd="t" o:hr="t" fillcolor="#a0a0a0" stroked="f"/>
        </w:pict>
      </w:r>
    </w:p>
    <w:p w14:paraId="19ED9A5E" w14:textId="48F9714F" w:rsidR="0019134A" w:rsidRDefault="00753200" w:rsidP="00753200">
      <w:pPr>
        <w:rPr>
          <w:b/>
          <w:bCs/>
        </w:rPr>
      </w:pPr>
      <w:r w:rsidRPr="00753200">
        <w:rPr>
          <w:b/>
          <w:bCs/>
        </w:rPr>
        <w:t xml:space="preserve">Closing </w:t>
      </w:r>
    </w:p>
    <w:p w14:paraId="652D6140" w14:textId="77777777" w:rsidR="009428EA" w:rsidRDefault="0019134A" w:rsidP="0019134A">
      <w:pPr>
        <w:rPr>
          <w:highlight w:val="green"/>
        </w:rPr>
      </w:pPr>
      <w:r w:rsidRPr="0034219A">
        <w:rPr>
          <w:highlight w:val="green"/>
        </w:rPr>
        <w:lastRenderedPageBreak/>
        <w:t xml:space="preserve">[Visual: </w:t>
      </w:r>
      <w:r w:rsidR="009428EA">
        <w:rPr>
          <w:highlight w:val="green"/>
        </w:rPr>
        <w:t>the text below</w:t>
      </w:r>
    </w:p>
    <w:p w14:paraId="176C57D5" w14:textId="170AE232" w:rsidR="009428EA" w:rsidRPr="00232D64" w:rsidRDefault="009428EA" w:rsidP="0019134A">
      <w:pPr>
        <w:rPr>
          <w:b/>
          <w:bCs/>
          <w:i/>
          <w:iCs/>
          <w:highlight w:val="green"/>
        </w:rPr>
      </w:pPr>
      <w:r w:rsidRPr="00753200">
        <w:rPr>
          <w:b/>
          <w:bCs/>
          <w:i/>
          <w:iCs/>
          <w:highlight w:val="green"/>
        </w:rPr>
        <w:t xml:space="preserve">Beyond Broken Trust: Dealing with </w:t>
      </w:r>
      <w:r w:rsidRPr="00232D64">
        <w:rPr>
          <w:b/>
          <w:bCs/>
          <w:i/>
          <w:iCs/>
          <w:highlight w:val="green"/>
        </w:rPr>
        <w:t>deep uncertainty in transatlantic relations</w:t>
      </w:r>
    </w:p>
    <w:p w14:paraId="44855DC7" w14:textId="0630ECB9" w:rsidR="009428EA" w:rsidRPr="00232D64" w:rsidRDefault="009428EA" w:rsidP="0019134A">
      <w:pPr>
        <w:rPr>
          <w:i/>
          <w:iCs/>
          <w:highlight w:val="green"/>
        </w:rPr>
      </w:pPr>
      <w:r w:rsidRPr="00232D64">
        <w:rPr>
          <w:i/>
          <w:iCs/>
          <w:highlight w:val="green"/>
        </w:rPr>
        <w:t>EUISS Chaillot Paper</w:t>
      </w:r>
    </w:p>
    <w:p w14:paraId="0860E94B" w14:textId="03EBA97B" w:rsidR="00BC0C84" w:rsidRPr="00232D64" w:rsidRDefault="00BC0C84" w:rsidP="0019134A">
      <w:pPr>
        <w:rPr>
          <w:i/>
          <w:iCs/>
          <w:highlight w:val="green"/>
        </w:rPr>
      </w:pPr>
      <w:r w:rsidRPr="00232D64">
        <w:rPr>
          <w:i/>
          <w:iCs/>
          <w:highlight w:val="green"/>
        </w:rPr>
        <w:t>Publication date: October 2025</w:t>
      </w:r>
    </w:p>
    <w:p w14:paraId="572753BA" w14:textId="77777777" w:rsidR="001F4B82" w:rsidRPr="00232D64" w:rsidRDefault="001F4B82" w:rsidP="001F4B82">
      <w:pPr>
        <w:rPr>
          <w:b/>
          <w:bCs/>
          <w:highlight w:val="green"/>
        </w:rPr>
      </w:pPr>
      <w:r w:rsidRPr="00232D64">
        <w:rPr>
          <w:b/>
          <w:bCs/>
          <w:highlight w:val="green"/>
        </w:rPr>
        <w:t>Part I: Broken trust across domains</w:t>
      </w:r>
    </w:p>
    <w:p w14:paraId="034A5EE6" w14:textId="471001B1" w:rsidR="001F4B82" w:rsidRPr="00232D64" w:rsidRDefault="001F4B82" w:rsidP="0019134A">
      <w:pPr>
        <w:rPr>
          <w:i/>
          <w:iCs/>
          <w:highlight w:val="green"/>
        </w:rPr>
      </w:pPr>
      <w:r w:rsidRPr="00232D64">
        <w:rPr>
          <w:i/>
          <w:iCs/>
          <w:highlight w:val="green"/>
        </w:rPr>
        <w:t>Topics covered: European defence, Ukraine reconstruction, China policy, disinformation, big tech, climate diplomacy</w:t>
      </w:r>
    </w:p>
    <w:p w14:paraId="007C24AE" w14:textId="77777777" w:rsidR="00232D64" w:rsidRPr="00232D64" w:rsidRDefault="00232D64" w:rsidP="00232D64">
      <w:pPr>
        <w:rPr>
          <w:b/>
          <w:bCs/>
          <w:highlight w:val="green"/>
        </w:rPr>
      </w:pPr>
      <w:r w:rsidRPr="00232D64">
        <w:rPr>
          <w:b/>
          <w:bCs/>
          <w:highlight w:val="green"/>
        </w:rPr>
        <w:t>Part I: Broken trust around the globe</w:t>
      </w:r>
    </w:p>
    <w:p w14:paraId="2AC5CD12" w14:textId="6E55F147" w:rsidR="001F4B82" w:rsidRPr="00232D64" w:rsidRDefault="00232D64" w:rsidP="0019134A">
      <w:pPr>
        <w:rPr>
          <w:i/>
          <w:iCs/>
          <w:highlight w:val="green"/>
        </w:rPr>
      </w:pPr>
      <w:r w:rsidRPr="00232D64">
        <w:rPr>
          <w:i/>
          <w:iCs/>
          <w:highlight w:val="green"/>
        </w:rPr>
        <w:t xml:space="preserve">Regions covered: Americas, East Asia, Western Balkans, the Gulf, </w:t>
      </w:r>
      <w:proofErr w:type="spellStart"/>
      <w:r w:rsidRPr="00232D64">
        <w:rPr>
          <w:i/>
          <w:iCs/>
          <w:highlight w:val="green"/>
        </w:rPr>
        <w:t>Subsaharan</w:t>
      </w:r>
      <w:proofErr w:type="spellEnd"/>
      <w:r w:rsidRPr="00232D64">
        <w:rPr>
          <w:i/>
          <w:iCs/>
          <w:highlight w:val="green"/>
        </w:rPr>
        <w:t xml:space="preserve"> Africa</w:t>
      </w:r>
    </w:p>
    <w:p w14:paraId="4B47BCBF" w14:textId="18F8AF5E" w:rsidR="0019134A" w:rsidRPr="00753200" w:rsidRDefault="0019134A" w:rsidP="0019134A">
      <w:r w:rsidRPr="00232D64">
        <w:rPr>
          <w:highlight w:val="green"/>
        </w:rPr>
        <w:t>]</w:t>
      </w:r>
    </w:p>
    <w:p w14:paraId="2B4CEB72" w14:textId="2CBE4DFF" w:rsidR="00753200" w:rsidRPr="00753200" w:rsidRDefault="00753200" w:rsidP="00753200">
      <w:r w:rsidRPr="00753200">
        <w:br/>
        <w:t xml:space="preserve">These are the questions we tackle in our forthcoming Chaillot Paper: </w:t>
      </w:r>
      <w:r w:rsidRPr="00753200">
        <w:rPr>
          <w:i/>
          <w:iCs/>
        </w:rPr>
        <w:t xml:space="preserve">“Beyond Broken Trust: Dealing with </w:t>
      </w:r>
      <w:r w:rsidR="00EC0570" w:rsidRPr="00753200">
        <w:rPr>
          <w:i/>
          <w:iCs/>
        </w:rPr>
        <w:t xml:space="preserve">deep uncertainty </w:t>
      </w:r>
      <w:r w:rsidR="00EC0570">
        <w:rPr>
          <w:i/>
          <w:iCs/>
        </w:rPr>
        <w:t>in transatlantic relations</w:t>
      </w:r>
      <w:r w:rsidRPr="00753200">
        <w:rPr>
          <w:i/>
          <w:iCs/>
        </w:rPr>
        <w:t>.”</w:t>
      </w:r>
    </w:p>
    <w:p w14:paraId="40F14F27" w14:textId="77777777" w:rsidR="00753200" w:rsidRPr="00753200" w:rsidRDefault="00753200" w:rsidP="00753200">
      <w:r w:rsidRPr="00753200">
        <w:t>We hope you’ll read it, debate it, and above all, help shape the conversation on what Europe can and must do next.</w:t>
      </w:r>
    </w:p>
    <w:p w14:paraId="047663BD" w14:textId="77777777" w:rsidR="00753200" w:rsidRPr="00753200" w:rsidRDefault="00753200" w:rsidP="00753200">
      <w:r w:rsidRPr="00753200">
        <w:t>Thank you.</w:t>
      </w:r>
    </w:p>
    <w:p w14:paraId="5ECC215F" w14:textId="77777777" w:rsidR="00F90CF6" w:rsidRDefault="00F90CF6"/>
    <w:p w14:paraId="0693E4F4" w14:textId="77777777" w:rsidR="009428EA" w:rsidRDefault="009428EA"/>
    <w:sectPr w:rsidR="00942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C533E"/>
    <w:multiLevelType w:val="hybridMultilevel"/>
    <w:tmpl w:val="7F2EACFA"/>
    <w:lvl w:ilvl="0" w:tplc="872080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67783"/>
    <w:multiLevelType w:val="multilevel"/>
    <w:tmpl w:val="7812E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87D68"/>
    <w:multiLevelType w:val="hybridMultilevel"/>
    <w:tmpl w:val="698C9DB2"/>
    <w:lvl w:ilvl="0" w:tplc="102608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C68DA"/>
    <w:multiLevelType w:val="hybridMultilevel"/>
    <w:tmpl w:val="9CF6274C"/>
    <w:lvl w:ilvl="0" w:tplc="12E097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244220">
    <w:abstractNumId w:val="0"/>
  </w:num>
  <w:num w:numId="2" w16cid:durableId="1902863103">
    <w:abstractNumId w:val="3"/>
  </w:num>
  <w:num w:numId="3" w16cid:durableId="1557624756">
    <w:abstractNumId w:val="2"/>
  </w:num>
  <w:num w:numId="4" w16cid:durableId="1636373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BA"/>
    <w:rsid w:val="0019134A"/>
    <w:rsid w:val="001F4B82"/>
    <w:rsid w:val="00232D64"/>
    <w:rsid w:val="002F218D"/>
    <w:rsid w:val="002F5727"/>
    <w:rsid w:val="003234FB"/>
    <w:rsid w:val="0034219A"/>
    <w:rsid w:val="003D5828"/>
    <w:rsid w:val="004219A8"/>
    <w:rsid w:val="00482434"/>
    <w:rsid w:val="004A6E80"/>
    <w:rsid w:val="005533BA"/>
    <w:rsid w:val="00591FBA"/>
    <w:rsid w:val="005B4763"/>
    <w:rsid w:val="005C09D8"/>
    <w:rsid w:val="00681016"/>
    <w:rsid w:val="00691D07"/>
    <w:rsid w:val="006D12F6"/>
    <w:rsid w:val="0070376F"/>
    <w:rsid w:val="00753200"/>
    <w:rsid w:val="007D4DE6"/>
    <w:rsid w:val="009059A9"/>
    <w:rsid w:val="009428EA"/>
    <w:rsid w:val="009A4BEB"/>
    <w:rsid w:val="009B1B4B"/>
    <w:rsid w:val="009C45B2"/>
    <w:rsid w:val="00B0340A"/>
    <w:rsid w:val="00B4452B"/>
    <w:rsid w:val="00BC0C84"/>
    <w:rsid w:val="00CD30F6"/>
    <w:rsid w:val="00D27C9C"/>
    <w:rsid w:val="00D6467C"/>
    <w:rsid w:val="00D943C9"/>
    <w:rsid w:val="00DD2009"/>
    <w:rsid w:val="00EC0570"/>
    <w:rsid w:val="00F1585F"/>
    <w:rsid w:val="00F24B47"/>
    <w:rsid w:val="00F70C2F"/>
    <w:rsid w:val="00F90CF6"/>
    <w:rsid w:val="00FA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89B4"/>
  <w15:chartTrackingRefBased/>
  <w15:docId w15:val="{A38B5C0C-3ECE-4B3A-A4D1-AB954BA9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6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Spatafora</dc:creator>
  <cp:keywords/>
  <dc:description/>
  <cp:lastModifiedBy>Giuseppe Spatafora</cp:lastModifiedBy>
  <cp:revision>32</cp:revision>
  <dcterms:created xsi:type="dcterms:W3CDTF">2025-08-18T14:36:00Z</dcterms:created>
  <dcterms:modified xsi:type="dcterms:W3CDTF">2025-08-19T10:58:00Z</dcterms:modified>
</cp:coreProperties>
</file>