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8084C" w14:textId="2185D5B3" w:rsidR="0085355F" w:rsidRDefault="00A1060F" w:rsidP="00B504BA">
      <w:pPr>
        <w:sectPr w:rsidR="0085355F" w:rsidSect="0085355F">
          <w:footerReference w:type="default" r:id="rId11"/>
          <w:headerReference w:type="first" r:id="rId12"/>
          <w:footerReference w:type="first" r:id="rId13"/>
          <w:footnotePr>
            <w:numFmt w:val="chicago"/>
          </w:footnotePr>
          <w:endnotePr>
            <w:numFmt w:val="decimal"/>
          </w:endnotePr>
          <w:type w:val="continuous"/>
          <w:pgSz w:w="11906" w:h="16838" w:code="9"/>
          <w:pgMar w:top="1276" w:right="3684" w:bottom="1701" w:left="1418" w:header="426" w:footer="117" w:gutter="0"/>
          <w:pgNumType w:start="0"/>
          <w:cols w:num="2" w:space="708"/>
          <w:titlePg/>
          <w:docGrid w:linePitch="360"/>
        </w:sectPr>
      </w:pPr>
      <w:r w:rsidRPr="00FD0907">
        <w:rPr>
          <w:noProof/>
        </w:rPr>
        <mc:AlternateContent>
          <mc:Choice Requires="wps">
            <w:drawing>
              <wp:anchor distT="45720" distB="45720" distL="114300" distR="114300" simplePos="0" relativeHeight="251658245" behindDoc="0" locked="0" layoutInCell="1" allowOverlap="1" wp14:anchorId="2FE47E3A" wp14:editId="2C0D9533">
                <wp:simplePos x="0" y="0"/>
                <wp:positionH relativeFrom="column">
                  <wp:posOffset>2406650</wp:posOffset>
                </wp:positionH>
                <wp:positionV relativeFrom="page">
                  <wp:posOffset>7616190</wp:posOffset>
                </wp:positionV>
                <wp:extent cx="3624580" cy="2743200"/>
                <wp:effectExtent l="0" t="0" r="13970" b="0"/>
                <wp:wrapSquare wrapText="bothSides"/>
                <wp:docPr id="4568398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2743200"/>
                        </a:xfrm>
                        <a:prstGeom prst="rect">
                          <a:avLst/>
                        </a:prstGeom>
                        <a:noFill/>
                        <a:ln w="9525">
                          <a:noFill/>
                          <a:miter lim="800000"/>
                          <a:headEnd/>
                          <a:tailEnd/>
                        </a:ln>
                      </wps:spPr>
                      <wps:txbx>
                        <w:txbxContent>
                          <w:p w14:paraId="5E281F53" w14:textId="6A0530C0" w:rsidR="001E72C4" w:rsidRPr="001E72C4" w:rsidRDefault="002603D2" w:rsidP="0019798A">
                            <w:pPr>
                              <w:pStyle w:val="2subtitle"/>
                            </w:pPr>
                            <w:r w:rsidRPr="002603D2">
                              <w:t xml:space="preserve">US external action </w:t>
                            </w:r>
                            <w:r>
                              <w:br/>
                            </w:r>
                            <w:r w:rsidRPr="002603D2">
                              <w:t>under Trump 2.0 – in data</w:t>
                            </w:r>
                          </w:p>
                          <w:p w14:paraId="4446A45E" w14:textId="557A2F74" w:rsidR="001E72C4" w:rsidRPr="001E72C4" w:rsidRDefault="009B2C53" w:rsidP="001E72C4">
                            <w:pPr>
                              <w:pStyle w:val="31by"/>
                            </w:pPr>
                            <w:r>
                              <w:rPr>
                                <w:rFonts w:eastAsiaTheme="majorEastAsia"/>
                                <w:lang w:eastAsia="en-GB"/>
                              </w:rPr>
                              <w:t xml:space="preserve">Edited </w:t>
                            </w:r>
                            <w:r w:rsidR="001E72C4" w:rsidRPr="001E72C4">
                              <w:rPr>
                                <w:rFonts w:eastAsiaTheme="majorEastAsia"/>
                                <w:lang w:val="en-GB" w:eastAsia="en-GB"/>
                              </w:rPr>
                              <w:t>by</w:t>
                            </w:r>
                          </w:p>
                          <w:p w14:paraId="3413D7DC" w14:textId="51612750" w:rsidR="005B497C" w:rsidRDefault="008C143A" w:rsidP="003142C4">
                            <w:pPr>
                              <w:pStyle w:val="32author"/>
                            </w:pPr>
                            <w:r w:rsidRPr="008C143A">
                              <w:t>Ondrej Ditrych</w:t>
                            </w:r>
                          </w:p>
                          <w:p w14:paraId="453D0FC9" w14:textId="611F9387" w:rsidR="00936C21" w:rsidRPr="003B625F" w:rsidRDefault="008C143A" w:rsidP="00936C21">
                            <w:pPr>
                              <w:pStyle w:val="31by"/>
                            </w:pPr>
                            <w:r>
                              <w:t xml:space="preserve">Senior </w:t>
                            </w:r>
                            <w:r w:rsidR="002603D2" w:rsidRPr="002603D2">
                              <w:rPr>
                                <w:lang w:val="en-GB"/>
                              </w:rPr>
                              <w:t>Analyst</w:t>
                            </w:r>
                            <w:r w:rsidR="00936C21" w:rsidRPr="00936C21">
                              <w:t>, EUISS</w:t>
                            </w:r>
                          </w:p>
                          <w:p w14:paraId="66544225" w14:textId="42DEB60D" w:rsidR="003B625F" w:rsidRPr="003B625F" w:rsidRDefault="003B625F" w:rsidP="00F360B9">
                            <w:pPr>
                              <w:pStyle w:val="33identifiers"/>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FE47E3A" id="_x0000_t202" coordsize="21600,21600" o:spt="202" path="m,l,21600r21600,l21600,xe">
                <v:stroke joinstyle="miter"/>
                <v:path gradientshapeok="t" o:connecttype="rect"/>
              </v:shapetype>
              <v:shape id="Text Box 2" o:spid="_x0000_s1026" type="#_x0000_t202" style="position:absolute;margin-left:189.5pt;margin-top:599.7pt;width:285.4pt;height:3in;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" filled="f" stroked="f">
                <v:textbox inset="0,0,0,0">
                  <w:txbxContent>
                    <w:p w14:paraId="5E281F53" w14:textId="6A0530C0" w:rsidR="001E72C4" w:rsidRPr="001E72C4" w:rsidRDefault="002603D2" w:rsidP="0019798A">
                      <w:pPr>
                        <w:pStyle w:val="2subtitle"/>
                      </w:pPr>
                      <w:r w:rsidRPr="002603D2">
                        <w:t xml:space="preserve">US external action </w:t>
                      </w:r>
                      <w:r>
                        <w:br/>
                      </w:r>
                      <w:r w:rsidRPr="002603D2">
                        <w:t>under Trump 2.0 – in data</w:t>
                      </w:r>
                    </w:p>
                    <w:p w14:paraId="4446A45E" w14:textId="557A2F74" w:rsidR="001E72C4" w:rsidRPr="001E72C4" w:rsidRDefault="009B2C53" w:rsidP="001E72C4">
                      <w:pPr>
                        <w:pStyle w:val="31by"/>
                      </w:pPr>
                      <w:r>
                        <w:rPr>
                          <w:rFonts w:eastAsiaTheme="majorEastAsia"/>
                          <w:lang w:eastAsia="en-GB"/>
                        </w:rPr>
                        <w:t xml:space="preserve">Edited </w:t>
                      </w:r>
                      <w:r w:rsidR="001E72C4" w:rsidRPr="001E72C4">
                        <w:rPr>
                          <w:rFonts w:eastAsiaTheme="majorEastAsia"/>
                          <w:lang w:val="en-GB" w:eastAsia="en-GB"/>
                        </w:rPr>
                        <w:t>by</w:t>
                      </w:r>
                    </w:p>
                    <w:p w14:paraId="3413D7DC" w14:textId="51612750" w:rsidR="005B497C" w:rsidRDefault="008C143A" w:rsidP="003142C4">
                      <w:pPr>
                        <w:pStyle w:val="32author"/>
                      </w:pPr>
                      <w:r w:rsidRPr="008C143A">
                        <w:t>Ondrej Ditrych</w:t>
                      </w:r>
                    </w:p>
                    <w:p w14:paraId="453D0FC9" w14:textId="611F9387" w:rsidR="00936C21" w:rsidRPr="003B625F" w:rsidRDefault="008C143A" w:rsidP="00936C21">
                      <w:pPr>
                        <w:pStyle w:val="31by"/>
                      </w:pPr>
                      <w:r>
                        <w:t xml:space="preserve">Senior </w:t>
                      </w:r>
                      <w:r w:rsidR="002603D2" w:rsidRPr="002603D2">
                        <w:rPr>
                          <w:lang w:val="en-GB"/>
                        </w:rPr>
                        <w:t>Analyst</w:t>
                      </w:r>
                      <w:r w:rsidR="00936C21" w:rsidRPr="00936C21">
                        <w:t>, EUISS</w:t>
                      </w:r>
                    </w:p>
                    <w:p w14:paraId="66544225" w14:textId="42DEB60D" w:rsidR="003B625F" w:rsidRPr="003B625F" w:rsidRDefault="003B625F" w:rsidP="00F360B9">
                      <w:pPr>
                        <w:pStyle w:val="33identifiers"/>
                      </w:pPr>
                    </w:p>
                  </w:txbxContent>
                </v:textbox>
                <w10:wrap type="square" anchory="page"/>
              </v:shape>
            </w:pict>
          </mc:Fallback>
        </mc:AlternateContent>
      </w:r>
      <w:r w:rsidR="00AD5B6F" w:rsidRPr="00FD0907">
        <w:rPr>
          <w:noProof/>
        </w:rPr>
        <mc:AlternateContent>
          <mc:Choice Requires="wps">
            <w:drawing>
              <wp:anchor distT="45720" distB="45720" distL="114300" distR="114300" simplePos="0" relativeHeight="251658240" behindDoc="0" locked="0" layoutInCell="1" allowOverlap="1" wp14:anchorId="70FA572D" wp14:editId="48EA7059">
                <wp:simplePos x="0" y="0"/>
                <wp:positionH relativeFrom="column">
                  <wp:posOffset>2404745</wp:posOffset>
                </wp:positionH>
                <wp:positionV relativeFrom="page">
                  <wp:posOffset>3903345</wp:posOffset>
                </wp:positionV>
                <wp:extent cx="3624580" cy="3549015"/>
                <wp:effectExtent l="0" t="0" r="13970" b="13335"/>
                <wp:wrapNone/>
                <wp:docPr id="398154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3549015"/>
                        </a:xfrm>
                        <a:prstGeom prst="rect">
                          <a:avLst/>
                        </a:prstGeom>
                        <a:noFill/>
                        <a:ln w="9525">
                          <a:noFill/>
                          <a:miter lim="800000"/>
                          <a:headEnd/>
                          <a:tailEnd/>
                        </a:ln>
                      </wps:spPr>
                      <wps:txbx>
                        <w:txbxContent>
                          <w:p w14:paraId="717C8F09" w14:textId="0C805A7C" w:rsidR="0085355F" w:rsidRPr="002603D2" w:rsidRDefault="00675340" w:rsidP="00226C7F">
                            <w:pPr>
                              <w:pStyle w:val="1title"/>
                              <w:rPr>
                                <w:sz w:val="60"/>
                                <w:szCs w:val="60"/>
                              </w:rPr>
                            </w:pPr>
                            <w:r w:rsidRPr="00675340">
                              <w:rPr>
                                <w:bCs/>
                                <w:sz w:val="60"/>
                                <w:szCs w:val="60"/>
                              </w:rPr>
                              <w:t xml:space="preserve">Empowering </w:t>
                            </w:r>
                            <w:r>
                              <w:rPr>
                                <w:bCs/>
                                <w:sz w:val="60"/>
                                <w:szCs w:val="60"/>
                              </w:rPr>
                              <w:br/>
                            </w:r>
                            <w:r w:rsidRPr="00675340">
                              <w:rPr>
                                <w:bCs/>
                                <w:sz w:val="60"/>
                                <w:szCs w:val="60"/>
                              </w:rPr>
                              <w:t>Ukraine</w:t>
                            </w:r>
                          </w:p>
                        </w:txbxContent>
                      </wps:txbx>
                      <wps:bodyPr rot="0" vert="horz" wrap="square" lIns="0" tIns="0" rIns="0" bIns="0" anchor="b" anchorCtr="0">
                        <a:noAutofit/>
                      </wps:bodyPr>
                    </wps:wsp>
                  </a:graphicData>
                </a:graphic>
                <wp14:sizeRelH relativeFrom="margin">
                  <wp14:pctWidth>0</wp14:pctWidth>
                </wp14:sizeRelH>
                <wp14:sizeRelV relativeFrom="margin">
                  <wp14:pctHeight>0</wp14:pctHeight>
                </wp14:sizeRelV>
              </wp:anchor>
            </w:drawing>
          </mc:Choice>
          <mc:Fallback>
            <w:pict>
              <v:shape w14:anchorId="70FA572D" id="_x0000_s1027" type="#_x0000_t202" style="position:absolute;margin-left:189.35pt;margin-top:307.35pt;width:285.4pt;height:279.4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" filled="f" stroked="f">
                <v:textbox inset="0,0,0,0">
                  <w:txbxContent>
                    <w:p w14:paraId="717C8F09" w14:textId="0C805A7C" w:rsidR="0085355F" w:rsidRPr="002603D2" w:rsidRDefault="00675340" w:rsidP="00226C7F">
                      <w:pPr>
                        <w:pStyle w:val="1title"/>
                        <w:rPr>
                          <w:sz w:val="60"/>
                          <w:szCs w:val="60"/>
                        </w:rPr>
                      </w:pPr>
                      <w:r w:rsidRPr="00675340">
                        <w:rPr>
                          <w:bCs/>
                          <w:sz w:val="60"/>
                          <w:szCs w:val="60"/>
                        </w:rPr>
                        <w:t xml:space="preserve">Empowering </w:t>
                      </w:r>
                      <w:r>
                        <w:rPr>
                          <w:bCs/>
                          <w:sz w:val="60"/>
                          <w:szCs w:val="60"/>
                        </w:rPr>
                        <w:br/>
                      </w:r>
                      <w:r w:rsidRPr="00675340">
                        <w:rPr>
                          <w:bCs/>
                          <w:sz w:val="60"/>
                          <w:szCs w:val="60"/>
                        </w:rPr>
                        <w:t>Ukraine</w:t>
                      </w:r>
                    </w:p>
                  </w:txbxContent>
                </v:textbox>
                <w10:wrap anchory="page"/>
              </v:shape>
            </w:pict>
          </mc:Fallback>
        </mc:AlternateContent>
      </w:r>
      <w:r w:rsidR="00830F1E" w:rsidRPr="00FD0907">
        <w:rPr>
          <w:noProof/>
        </w:rPr>
        <w:drawing>
          <wp:anchor distT="0" distB="0" distL="114300" distR="114300" simplePos="0" relativeHeight="251658242" behindDoc="1" locked="0" layoutInCell="1" allowOverlap="1" wp14:anchorId="7121973A" wp14:editId="3C7E5DE3">
            <wp:simplePos x="0" y="0"/>
            <wp:positionH relativeFrom="column">
              <wp:posOffset>-398780</wp:posOffset>
            </wp:positionH>
            <wp:positionV relativeFrom="paragraph">
              <wp:posOffset>8155305</wp:posOffset>
            </wp:positionV>
            <wp:extent cx="1827530" cy="641985"/>
            <wp:effectExtent l="0" t="0" r="0" b="0"/>
            <wp:wrapNone/>
            <wp:docPr id="411677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77734" name="Picture 4"/>
                    <pic:cNvPicPr>
                      <a:picLocks noChangeAspect="1" noChangeArrowheads="1"/>
                    </pic:cNvPicPr>
                  </pic:nvPicPr>
                  <pic:blipFill>
                    <a:blip r:embed="rId14"/>
                    <a:stretch>
                      <a:fillRect/>
                    </a:stretch>
                  </pic:blipFill>
                  <pic:spPr bwMode="auto">
                    <a:xfrm>
                      <a:off x="0" y="0"/>
                      <a:ext cx="1827530" cy="641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0F1E" w:rsidRPr="00FD0907">
        <w:rPr>
          <w:noProof/>
        </w:rPr>
        <w:drawing>
          <wp:anchor distT="0" distB="0" distL="114300" distR="114300" simplePos="0" relativeHeight="251658241" behindDoc="1" locked="0" layoutInCell="1" allowOverlap="1" wp14:anchorId="7341695D" wp14:editId="64E4E6FD">
            <wp:simplePos x="0" y="0"/>
            <wp:positionH relativeFrom="column">
              <wp:posOffset>-391160</wp:posOffset>
            </wp:positionH>
            <wp:positionV relativeFrom="paragraph">
              <wp:posOffset>7143750</wp:posOffset>
            </wp:positionV>
            <wp:extent cx="1480820" cy="1158240"/>
            <wp:effectExtent l="0" t="0" r="0" b="0"/>
            <wp:wrapNone/>
            <wp:docPr id="1107022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22773" name="Picture 4"/>
                    <pic:cNvPicPr>
                      <a:picLocks noChangeAspect="1" noChangeArrowheads="1"/>
                    </pic:cNvPicPr>
                  </pic:nvPicPr>
                  <pic:blipFill>
                    <a:blip r:embed="rId15"/>
                    <a:stretch>
                      <a:fillRect/>
                    </a:stretch>
                  </pic:blipFill>
                  <pic:spPr bwMode="auto">
                    <a:xfrm>
                      <a:off x="0" y="0"/>
                      <a:ext cx="1480820" cy="1158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355F" w:rsidRPr="00FD0907">
        <w:rPr>
          <w:noProof/>
        </w:rPr>
        <mc:AlternateContent>
          <mc:Choice Requires="wps">
            <w:drawing>
              <wp:anchor distT="45720" distB="45720" distL="114300" distR="114300" simplePos="0" relativeHeight="251658244" behindDoc="0" locked="0" layoutInCell="1" allowOverlap="1" wp14:anchorId="116A75B3" wp14:editId="1E2C7EEA">
                <wp:simplePos x="0" y="0"/>
                <wp:positionH relativeFrom="column">
                  <wp:posOffset>-366395</wp:posOffset>
                </wp:positionH>
                <wp:positionV relativeFrom="page">
                  <wp:posOffset>9653682</wp:posOffset>
                </wp:positionV>
                <wp:extent cx="2276475" cy="2604135"/>
                <wp:effectExtent l="0" t="0" r="9525" b="5715"/>
                <wp:wrapSquare wrapText="bothSides"/>
                <wp:docPr id="1288990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6475" cy="2604135"/>
                        </a:xfrm>
                        <a:prstGeom prst="rect">
                          <a:avLst/>
                        </a:prstGeom>
                        <a:noFill/>
                        <a:ln w="9525">
                          <a:noFill/>
                          <a:miter lim="800000"/>
                          <a:headEnd/>
                          <a:tailEnd/>
                        </a:ln>
                      </wps:spPr>
                      <wps:txbx>
                        <w:txbxContent>
                          <w:p w14:paraId="5CFBF0AA" w14:textId="1F8A671C" w:rsidR="0085355F" w:rsidRPr="001C06D1" w:rsidRDefault="0085355F" w:rsidP="0085355F">
                            <w:pPr>
                              <w:pStyle w:val="33identifiers"/>
                            </w:pPr>
                            <w:r w:rsidRPr="001C06D1">
                              <w:t>© European Union Institute for Security Studies, 202</w:t>
                            </w:r>
                            <w:r w:rsidR="008C143A">
                              <w:t>6</w:t>
                            </w:r>
                            <w:r w:rsidRPr="001C06D1">
                              <w:t>.</w:t>
                            </w:r>
                          </w:p>
                          <w:p w14:paraId="2E87BA2D" w14:textId="1E74A52D" w:rsidR="005B497C" w:rsidRDefault="0085355F" w:rsidP="0085355F">
                            <w:pPr>
                              <w:pStyle w:val="33identifiers"/>
                            </w:pPr>
                            <w:r w:rsidRPr="001C06D1">
                              <w:t xml:space="preserve">The views expressed in this </w:t>
                            </w:r>
                            <w:r w:rsidRPr="00D70CE9">
                              <w:t>publication</w:t>
                            </w:r>
                            <w:r w:rsidRPr="001C06D1">
                              <w:t xml:space="preserve"> are solely those of the author(s) and do not necessarily reflect the views of the European Union.</w:t>
                            </w:r>
                          </w:p>
                          <w:p w14:paraId="75F60F7F" w14:textId="77777777" w:rsidR="00811BE0" w:rsidRDefault="00811BE0" w:rsidP="0085355F">
                            <w:pPr>
                              <w:pStyle w:val="33identifiers"/>
                            </w:pPr>
                          </w:p>
                          <w:p w14:paraId="73DB208F" w14:textId="5276FAC8" w:rsidR="0085355F" w:rsidRPr="000555AC" w:rsidRDefault="0085355F" w:rsidP="0085355F">
                            <w:pPr>
                              <w:pStyle w:val="33identifiers"/>
                              <w:rPr>
                                <w:lang w:val="fr-FR"/>
                              </w:rPr>
                            </w:pPr>
                            <w:r w:rsidRPr="00B242B5">
                              <w:rPr>
                                <w:lang w:val="fr-FR"/>
                              </w:rPr>
                              <w:t xml:space="preserve">CATALOGUE NUMBER </w:t>
                            </w:r>
                            <w:r w:rsidR="000555AC" w:rsidRPr="000555AC">
                              <w:rPr>
                                <w:lang w:val="fr-FR"/>
                              </w:rPr>
                              <w:t>QN-01-26-007-EN-N</w:t>
                            </w:r>
                          </w:p>
                          <w:p w14:paraId="387D0576" w14:textId="1D676A77" w:rsidR="0085355F" w:rsidRPr="008D0432" w:rsidRDefault="0085355F" w:rsidP="0085355F">
                            <w:pPr>
                              <w:pStyle w:val="33identifiers"/>
                              <w:rPr>
                                <w:lang w:val="fr-FR"/>
                              </w:rPr>
                            </w:pPr>
                            <w:r w:rsidRPr="00F85334">
                              <w:rPr>
                                <w:lang w:val="fr-FR"/>
                              </w:rPr>
                              <w:t xml:space="preserve">ISBN </w:t>
                            </w:r>
                            <w:r w:rsidR="000555AC" w:rsidRPr="000555AC">
                              <w:rPr>
                                <w:lang w:val="fr-FR"/>
                              </w:rPr>
                              <w:t>978-92-9462-528-1</w:t>
                            </w:r>
                          </w:p>
                          <w:p w14:paraId="17762D20" w14:textId="6FFEBB88" w:rsidR="005B497C" w:rsidRPr="00A552E4" w:rsidRDefault="0085355F" w:rsidP="0085355F">
                            <w:pPr>
                              <w:pStyle w:val="33identifiers"/>
                              <w:rPr>
                                <w:lang w:val="fr-FR"/>
                              </w:rPr>
                            </w:pPr>
                            <w:r w:rsidRPr="00A552E4">
                              <w:rPr>
                                <w:lang w:val="fr-FR"/>
                              </w:rPr>
                              <w:t xml:space="preserve">DOI </w:t>
                            </w:r>
                            <w:r w:rsidR="000555AC" w:rsidRPr="000555AC">
                              <w:rPr>
                                <w:lang w:val="fr-FR"/>
                              </w:rPr>
                              <w:t>10.2815/5027129</w:t>
                            </w:r>
                          </w:p>
                          <w:p w14:paraId="11840CBC" w14:textId="272701FA" w:rsidR="0085355F" w:rsidRPr="000555AC" w:rsidRDefault="0085355F" w:rsidP="0085355F">
                            <w:pPr>
                              <w:pStyle w:val="33identifiers"/>
                              <w:rPr>
                                <w:lang/>
                              </w:rPr>
                            </w:pPr>
                            <w:r w:rsidRPr="000555AC">
                              <w:t xml:space="preserve">Cover image: </w:t>
                            </w:r>
                            <w:r w:rsidR="000555AC">
                              <w:rPr>
                                <w:lang/>
                              </w:rPr>
                              <w:t>EUISS composite</w:t>
                            </w:r>
                            <w:r w:rsidR="00A552E4" w:rsidRPr="000555AC">
                              <w:t xml:space="preserve"> </w:t>
                            </w:r>
                            <w:r w:rsidR="000555AC">
                              <w:rPr>
                                <w:lang/>
                              </w:rPr>
                              <w:t xml:space="preserve">based on </w:t>
                            </w:r>
                            <w:r w:rsidR="008B3678">
                              <w:rPr>
                                <w:lang/>
                              </w:rPr>
                              <w:t>photography</w:t>
                            </w:r>
                            <w:r w:rsidR="008B3678">
                              <w:rPr>
                                <w:lang/>
                              </w:rPr>
                              <w:br/>
                              <w:t xml:space="preserve">by </w:t>
                            </w:r>
                            <w:r w:rsidR="0063794A">
                              <w:rPr>
                                <w:lang/>
                              </w:rPr>
                              <w:t>NATO, EDA, Envato, Unsplash</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16A75B3" id="_x0000_s1028" type="#_x0000_t202" style="position:absolute;margin-left:-28.85pt;margin-top:760.15pt;width:179.25pt;height:205.0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" filled="f" stroked="f">
                <v:textbox inset="0,0,0,0">
                  <w:txbxContent>
                    <w:p w14:paraId="5CFBF0AA" w14:textId="1F8A671C" w:rsidR="0085355F" w:rsidRPr="001C06D1" w:rsidRDefault="0085355F" w:rsidP="0085355F">
                      <w:pPr>
                        <w:pStyle w:val="33identifiers"/>
                      </w:pPr>
                      <w:r w:rsidRPr="001C06D1">
                        <w:t>© European Union Institute for Security Studies, 202</w:t>
                      </w:r>
                      <w:r w:rsidR="008C143A">
                        <w:t>6</w:t>
                      </w:r>
                      <w:r w:rsidRPr="001C06D1">
                        <w:t>.</w:t>
                      </w:r>
                    </w:p>
                    <w:p w14:paraId="2E87BA2D" w14:textId="1E74A52D" w:rsidR="005B497C" w:rsidRDefault="0085355F" w:rsidP="0085355F">
                      <w:pPr>
                        <w:pStyle w:val="33identifiers"/>
                      </w:pPr>
                      <w:r w:rsidRPr="001C06D1">
                        <w:t xml:space="preserve">The views expressed in this </w:t>
                      </w:r>
                      <w:r w:rsidRPr="00D70CE9">
                        <w:t>publication</w:t>
                      </w:r>
                      <w:r w:rsidRPr="001C06D1">
                        <w:t xml:space="preserve"> are solely those of the author(s) and do not necessarily reflect the views of the European Union.</w:t>
                      </w:r>
                    </w:p>
                    <w:p w14:paraId="75F60F7F" w14:textId="77777777" w:rsidR="00811BE0" w:rsidRDefault="00811BE0" w:rsidP="0085355F">
                      <w:pPr>
                        <w:pStyle w:val="33identifiers"/>
                      </w:pPr>
                    </w:p>
                    <w:p w14:paraId="73DB208F" w14:textId="5276FAC8" w:rsidR="0085355F" w:rsidRPr="000555AC" w:rsidRDefault="0085355F" w:rsidP="0085355F">
                      <w:pPr>
                        <w:pStyle w:val="33identifiers"/>
                        <w:rPr>
                          <w:lang w:val="fr-FR"/>
                        </w:rPr>
                      </w:pPr>
                      <w:r w:rsidRPr="00B242B5">
                        <w:rPr>
                          <w:lang w:val="fr-FR"/>
                        </w:rPr>
                        <w:t xml:space="preserve">CATALOGUE NUMBER </w:t>
                      </w:r>
                      <w:r w:rsidR="000555AC" w:rsidRPr="000555AC">
                        <w:rPr>
                          <w:lang w:val="fr-FR"/>
                        </w:rPr>
                        <w:t>QN-01-26-007-EN-N</w:t>
                      </w:r>
                    </w:p>
                    <w:p w14:paraId="387D0576" w14:textId="1D676A77" w:rsidR="0085355F" w:rsidRPr="008D0432" w:rsidRDefault="0085355F" w:rsidP="0085355F">
                      <w:pPr>
                        <w:pStyle w:val="33identifiers"/>
                        <w:rPr>
                          <w:lang w:val="fr-FR"/>
                        </w:rPr>
                      </w:pPr>
                      <w:r w:rsidRPr="00F85334">
                        <w:rPr>
                          <w:lang w:val="fr-FR"/>
                        </w:rPr>
                        <w:t xml:space="preserve">ISBN </w:t>
                      </w:r>
                      <w:r w:rsidR="000555AC" w:rsidRPr="000555AC">
                        <w:rPr>
                          <w:lang w:val="fr-FR"/>
                        </w:rPr>
                        <w:t>978-92-9462-528-1</w:t>
                      </w:r>
                    </w:p>
                    <w:p w14:paraId="17762D20" w14:textId="6FFEBB88" w:rsidR="005B497C" w:rsidRPr="00A552E4" w:rsidRDefault="0085355F" w:rsidP="0085355F">
                      <w:pPr>
                        <w:pStyle w:val="33identifiers"/>
                        <w:rPr>
                          <w:lang w:val="fr-FR"/>
                        </w:rPr>
                      </w:pPr>
                      <w:r w:rsidRPr="00A552E4">
                        <w:rPr>
                          <w:lang w:val="fr-FR"/>
                        </w:rPr>
                        <w:t xml:space="preserve">DOI </w:t>
                      </w:r>
                      <w:r w:rsidR="000555AC" w:rsidRPr="000555AC">
                        <w:rPr>
                          <w:lang w:val="fr-FR"/>
                        </w:rPr>
                        <w:t>10.2815/5027129</w:t>
                      </w:r>
                    </w:p>
                    <w:p w14:paraId="11840CBC" w14:textId="272701FA" w:rsidR="0085355F" w:rsidRPr="000555AC" w:rsidRDefault="0085355F" w:rsidP="0085355F">
                      <w:pPr>
                        <w:pStyle w:val="33identifiers"/>
                        <w:rPr>
                          <w:lang/>
                        </w:rPr>
                      </w:pPr>
                      <w:r w:rsidRPr="000555AC">
                        <w:t xml:space="preserve">Cover image: </w:t>
                      </w:r>
                      <w:r w:rsidR="000555AC">
                        <w:rPr>
                          <w:lang/>
                        </w:rPr>
                        <w:t>EUISS composite</w:t>
                      </w:r>
                      <w:r w:rsidR="00A552E4" w:rsidRPr="000555AC">
                        <w:t xml:space="preserve"> </w:t>
                      </w:r>
                      <w:r w:rsidR="000555AC">
                        <w:rPr>
                          <w:lang/>
                        </w:rPr>
                        <w:t xml:space="preserve">based on </w:t>
                      </w:r>
                      <w:r w:rsidR="008B3678">
                        <w:rPr>
                          <w:lang/>
                        </w:rPr>
                        <w:t>photography</w:t>
                      </w:r>
                      <w:r w:rsidR="008B3678">
                        <w:rPr>
                          <w:lang/>
                        </w:rPr>
                        <w:br/>
                        <w:t xml:space="preserve">by </w:t>
                      </w:r>
                      <w:r w:rsidR="0063794A">
                        <w:rPr>
                          <w:lang/>
                        </w:rPr>
                        <w:t>NATO, EDA, Envato, Unsplash</w:t>
                      </w:r>
                    </w:p>
                  </w:txbxContent>
                </v:textbox>
                <w10:wrap type="square" anchory="page"/>
              </v:shape>
            </w:pict>
          </mc:Fallback>
        </mc:AlternateContent>
      </w:r>
      <w:r w:rsidR="0085355F" w:rsidRPr="00FD0907">
        <w:rPr>
          <w:noProof/>
        </w:rPr>
        <mc:AlternateContent>
          <mc:Choice Requires="wps">
            <w:drawing>
              <wp:anchor distT="45720" distB="45720" distL="114300" distR="114300" simplePos="0" relativeHeight="251658243" behindDoc="0" locked="0" layoutInCell="1" allowOverlap="1" wp14:anchorId="6864B9DE" wp14:editId="56E4AF78">
                <wp:simplePos x="0" y="0"/>
                <wp:positionH relativeFrom="column">
                  <wp:posOffset>2406650</wp:posOffset>
                </wp:positionH>
                <wp:positionV relativeFrom="page">
                  <wp:posOffset>359187</wp:posOffset>
                </wp:positionV>
                <wp:extent cx="3625200" cy="2739600"/>
                <wp:effectExtent l="0" t="0" r="13970" b="3810"/>
                <wp:wrapNone/>
                <wp:docPr id="5255568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5200" cy="2739600"/>
                        </a:xfrm>
                        <a:prstGeom prst="rect">
                          <a:avLst/>
                        </a:prstGeom>
                        <a:noFill/>
                        <a:ln w="9525">
                          <a:noFill/>
                          <a:miter lim="800000"/>
                          <a:headEnd/>
                          <a:tailEnd/>
                        </a:ln>
                      </wps:spPr>
                      <wps:txbx>
                        <w:txbxContent>
                          <w:p w14:paraId="3D533955" w14:textId="0E2DE342" w:rsidR="0085355F" w:rsidRPr="00315B83" w:rsidRDefault="00315B83" w:rsidP="0085355F">
                            <w:pPr>
                              <w:pStyle w:val="34publicationtype"/>
                            </w:pPr>
                            <w:r>
                              <w:t>Analysis</w:t>
                            </w:r>
                          </w:p>
                          <w:p w14:paraId="3CCB4B0B" w14:textId="60FC06C9" w:rsidR="0085355F" w:rsidRPr="008C593A" w:rsidRDefault="0085355F" w:rsidP="00BC76C3">
                            <w:pPr>
                              <w:pStyle w:val="34date"/>
                            </w:pPr>
                            <w:r w:rsidRPr="008C593A">
                              <w:fldChar w:fldCharType="begin"/>
                            </w:r>
                            <w:r w:rsidRPr="00BC76C3">
                              <w:instrText xml:space="preserve"> SAVEDATE  \@ "MMM yyyy"  \* MERGEFORMAT </w:instrText>
                            </w:r>
                            <w:r w:rsidRPr="008C593A">
                              <w:fldChar w:fldCharType="separate"/>
                            </w:r>
                            <w:r w:rsidR="000555AC">
                              <w:rPr>
                                <w:noProof/>
                              </w:rPr>
                              <w:t>Jul 2026</w:t>
                            </w:r>
                            <w:r w:rsidRPr="008C593A">
                              <w:fldChar w:fldCharType="end"/>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4B9DE" id="_x0000_s1029" type="#_x0000_t202" style="position:absolute;margin-left:189.5pt;margin-top:28.3pt;width:285.45pt;height:215.7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" filled="f" stroked="f">
                <v:textbox inset="0,0,0,0">
                  <w:txbxContent>
                    <w:p w14:paraId="3D533955" w14:textId="0E2DE342" w:rsidR="0085355F" w:rsidRPr="00315B83" w:rsidRDefault="00315B83" w:rsidP="0085355F">
                      <w:pPr>
                        <w:pStyle w:val="34publicationtype"/>
                      </w:pPr>
                      <w:r>
                        <w:t>Analysis</w:t>
                      </w:r>
                    </w:p>
                    <w:p w14:paraId="3CCB4B0B" w14:textId="60FC06C9" w:rsidR="0085355F" w:rsidRPr="008C593A" w:rsidRDefault="0085355F" w:rsidP="00BC76C3">
                      <w:pPr>
                        <w:pStyle w:val="34date"/>
                      </w:pPr>
                      <w:r w:rsidRPr="008C593A">
                        <w:fldChar w:fldCharType="begin"/>
                      </w:r>
                      <w:r w:rsidRPr="00BC76C3">
                        <w:instrText xml:space="preserve"> SAVEDATE  \@ "MMM yyyy"  \* MERGEFORMAT </w:instrText>
                      </w:r>
                      <w:r w:rsidRPr="008C593A">
                        <w:fldChar w:fldCharType="separate"/>
                      </w:r>
                      <w:r w:rsidR="000555AC">
                        <w:rPr>
                          <w:noProof/>
                        </w:rPr>
                        <w:t>Jul 2026</w:t>
                      </w:r>
                      <w:r w:rsidRPr="008C593A">
                        <w:fldChar w:fldCharType="end"/>
                      </w:r>
                    </w:p>
                  </w:txbxContent>
                </v:textbox>
                <w10:wrap anchory="page"/>
              </v:shape>
            </w:pict>
          </mc:Fallback>
        </mc:AlternateContent>
      </w:r>
      <w:bookmarkStart w:id="0" w:name="_Hlk180670669"/>
      <w:bookmarkEnd w:id="0"/>
    </w:p>
    <w:p w14:paraId="219027D3" w14:textId="77777777" w:rsidR="0023395D" w:rsidRDefault="0023395D" w:rsidP="002603D2">
      <w:pPr>
        <w:pStyle w:val="4body"/>
      </w:pPr>
    </w:p>
    <w:p w14:paraId="52A5006B" w14:textId="77777777" w:rsidR="002E6B35" w:rsidRDefault="002E6B35" w:rsidP="002603D2">
      <w:pPr>
        <w:pStyle w:val="4body"/>
      </w:pPr>
    </w:p>
    <w:p w14:paraId="7670E73D" w14:textId="77777777" w:rsidR="002E6B35" w:rsidRDefault="002E6B35" w:rsidP="002603D2">
      <w:pPr>
        <w:pStyle w:val="4body"/>
      </w:pPr>
    </w:p>
    <w:p w14:paraId="6BA5EC03" w14:textId="77777777" w:rsidR="002E6B35" w:rsidRDefault="002E6B35" w:rsidP="002603D2">
      <w:pPr>
        <w:pStyle w:val="4body"/>
      </w:pPr>
    </w:p>
    <w:p w14:paraId="184366AB" w14:textId="77777777" w:rsidR="005D2749" w:rsidRDefault="005D2749" w:rsidP="002603D2">
      <w:pPr>
        <w:pStyle w:val="4body"/>
      </w:pPr>
    </w:p>
    <w:p w14:paraId="15834F40" w14:textId="77777777" w:rsidR="005D2749" w:rsidRDefault="005D2749" w:rsidP="002603D2">
      <w:pPr>
        <w:pStyle w:val="4body"/>
      </w:pPr>
    </w:p>
    <w:p w14:paraId="4242BB89" w14:textId="77777777" w:rsidR="0070248F" w:rsidRDefault="0070248F">
      <w:pPr>
        <w:sectPr w:rsidR="0070248F" w:rsidSect="0085355F">
          <w:headerReference w:type="first" r:id="rId16"/>
          <w:footerReference w:type="first" r:id="rId17"/>
          <w:footnotePr>
            <w:numFmt w:val="chicago"/>
          </w:footnotePr>
          <w:endnotePr>
            <w:numFmt w:val="decimal"/>
          </w:endnotePr>
          <w:pgSz w:w="11906" w:h="16838" w:code="9"/>
          <w:pgMar w:top="1134" w:right="1134" w:bottom="1134" w:left="1134" w:header="425" w:footer="350" w:gutter="0"/>
          <w:pgNumType w:start="1"/>
          <w:cols w:num="2" w:space="708"/>
          <w:docGrid w:linePitch="360"/>
        </w:sectPr>
      </w:pPr>
    </w:p>
    <w:p w14:paraId="2C4AB4C9" w14:textId="77777777" w:rsidR="0070248F" w:rsidRPr="00295B10" w:rsidRDefault="0070248F" w:rsidP="0070248F">
      <w:pPr>
        <w:pStyle w:val="41mainheading"/>
        <w:rPr>
          <w:lang w:val="en-GB"/>
        </w:rPr>
      </w:pPr>
      <w:r w:rsidRPr="655B68A2">
        <w:lastRenderedPageBreak/>
        <w:t>Integration accelerator</w:t>
      </w:r>
    </w:p>
    <w:p w14:paraId="49063B97" w14:textId="77777777" w:rsidR="0070248F" w:rsidRPr="00DD1866" w:rsidRDefault="0070248F" w:rsidP="0070248F">
      <w:pPr>
        <w:pStyle w:val="42subheading"/>
        <w:rPr>
          <w:lang w:val="en-GB"/>
        </w:rPr>
      </w:pPr>
      <w:r w:rsidRPr="00DD1866">
        <w:rPr>
          <w:lang w:val="en-GB"/>
        </w:rPr>
        <w:t>How to anchor Ukraine in the EU before membership</w:t>
      </w:r>
    </w:p>
    <w:p w14:paraId="65D8EC70" w14:textId="28AEE89D" w:rsidR="00CD2915" w:rsidRPr="00CD2915" w:rsidRDefault="00CD2915" w:rsidP="00CD2915">
      <w:pPr>
        <w:pStyle w:val="31by"/>
        <w:framePr w:hSpace="0" w:wrap="auto" w:vAnchor="margin" w:hAnchor="text" w:xAlign="left" w:yAlign="inline"/>
        <w:ind w:left="0"/>
        <w:rPr>
          <w:lang/>
        </w:rPr>
      </w:pPr>
      <w:r>
        <w:rPr>
          <w:lang/>
        </w:rPr>
        <w:t xml:space="preserve">by </w:t>
      </w:r>
    </w:p>
    <w:p w14:paraId="434A8FD3" w14:textId="6C82EA31" w:rsidR="00CD2915" w:rsidRDefault="00CD2915" w:rsidP="00CD2915">
      <w:pPr>
        <w:pStyle w:val="32author"/>
        <w:framePr w:hSpace="0" w:wrap="auto" w:vAnchor="margin" w:hAnchor="text" w:xAlign="left" w:yAlign="inline"/>
        <w:ind w:left="0"/>
      </w:pPr>
      <w:r w:rsidRPr="68A0F361">
        <w:t>Bojana Zorić</w:t>
      </w:r>
    </w:p>
    <w:p w14:paraId="30663A28" w14:textId="77777777" w:rsidR="0070248F" w:rsidRDefault="0070248F" w:rsidP="0070248F">
      <w:pPr>
        <w:spacing w:line="276" w:lineRule="auto"/>
        <w:jc w:val="both"/>
        <w:rPr>
          <w:rFonts w:ascii="Calibri" w:eastAsia="Calibri" w:hAnsi="Calibri" w:cs="Calibri"/>
        </w:rPr>
      </w:pPr>
    </w:p>
    <w:p w14:paraId="5CD1D1DE" w14:textId="77777777" w:rsidR="0070248F" w:rsidRDefault="0070248F" w:rsidP="00CD2915">
      <w:pPr>
        <w:pStyle w:val="4body"/>
        <w:rPr>
          <w:rFonts w:eastAsia="Calibri"/>
          <w:lang w:val="en-US"/>
        </w:rPr>
      </w:pPr>
      <w:r w:rsidRPr="655B68A2">
        <w:rPr>
          <w:rFonts w:eastAsia="Calibri"/>
          <w:lang w:val="en-US"/>
        </w:rPr>
        <w:t xml:space="preserve">The EU must adopt a more realistic approach to Ukraine's integration. Suggesting that membership is just around the corner risks undermining the EU’s credibility and weakening its leverage over the reforms that accession requires. The opening of accession negotiations on the Fundamentals cluster, together with the recent </w:t>
      </w:r>
      <w:hyperlink r:id="rId18">
        <w:r w:rsidRPr="009D2E6C">
          <w:rPr>
            <w:rStyle w:val="Hyperlink"/>
            <w:rFonts w:eastAsia="Calibri"/>
          </w:rPr>
          <w:t xml:space="preserve">Franco-German non-paper on EU enlargement, </w:t>
        </w:r>
      </w:hyperlink>
      <w:r w:rsidRPr="655B68A2">
        <w:rPr>
          <w:rFonts w:eastAsia="Calibri"/>
          <w:lang w:val="en-US"/>
        </w:rPr>
        <w:t xml:space="preserve">have given new impetus to Ukraine's European path. Nevertheless, accession remains a long-term process constrained not only by the pace of reforms in Ukraine, but also by political realities within the Union itself. </w:t>
      </w:r>
    </w:p>
    <w:p w14:paraId="786D1A78" w14:textId="77777777" w:rsidR="0070248F" w:rsidRPr="00F80DE5" w:rsidRDefault="0070248F" w:rsidP="00CD2915">
      <w:pPr>
        <w:pStyle w:val="4body"/>
        <w:rPr>
          <w:rFonts w:eastAsia="Calibri"/>
          <w:lang w:val="en-US"/>
        </w:rPr>
      </w:pPr>
      <w:r w:rsidRPr="655B68A2">
        <w:rPr>
          <w:rFonts w:eastAsia="Calibri"/>
          <w:lang w:val="en-US"/>
        </w:rPr>
        <w:t xml:space="preserve">A realistic approach means shifting the focus from politically driven accession timelines towards concrete integration milestones that deliver visible benefits. This should become the cornerstone of the EU's strategy towards Kyiv: </w:t>
      </w:r>
      <w:r w:rsidRPr="655B68A2">
        <w:rPr>
          <w:rFonts w:eastAsia="Calibri"/>
          <w:lang w:val="en-US"/>
        </w:rPr>
        <w:t xml:space="preserve">functional integration is not an alternative to membership, but a way of of progressively and irreversibly anchoring Ukraine in the European security and economic space while preparing the ground for full EU accession. </w:t>
      </w:r>
    </w:p>
    <w:p w14:paraId="0C9D7238" w14:textId="7DCA837C" w:rsidR="0070248F" w:rsidRPr="001345CE" w:rsidRDefault="0070248F" w:rsidP="001345CE">
      <w:pPr>
        <w:pStyle w:val="43subsubheading"/>
        <w:rPr>
          <w:lang/>
        </w:rPr>
      </w:pPr>
      <w:r w:rsidRPr="001345CE">
        <w:rPr>
          <w:lang w:val="en-GB"/>
        </w:rPr>
        <w:t>W</w:t>
      </w:r>
      <w:r w:rsidR="001345CE">
        <w:rPr>
          <w:lang/>
        </w:rPr>
        <w:t>hy</w:t>
      </w:r>
    </w:p>
    <w:p w14:paraId="0F33954E" w14:textId="77777777" w:rsidR="0070248F" w:rsidRDefault="0070248F" w:rsidP="00CD2915">
      <w:pPr>
        <w:pStyle w:val="4body"/>
        <w:rPr>
          <w:rFonts w:eastAsia="Calibri"/>
        </w:rPr>
      </w:pPr>
      <w:r w:rsidRPr="655B68A2">
        <w:rPr>
          <w:rFonts w:eastAsia="Calibri"/>
        </w:rPr>
        <w:t>This is no longer merely a question of enlargement, but a European security issue. Ukraine already possesses one of the continent’s most capable armies, significant battlefield experience and a rapidly developing defence-industrial sector. Anchoring Ukraine more deeply in European structures would strengthen both Ukraine’s resilience and Europe’s long-term security architecture. This makes the credibility of the EU's approach towards Ukraine strategically important.</w:t>
      </w:r>
    </w:p>
    <w:p w14:paraId="48F38556" w14:textId="77777777" w:rsidR="0070248F" w:rsidRDefault="0070248F" w:rsidP="00CD2915">
      <w:pPr>
        <w:pStyle w:val="4body"/>
        <w:rPr>
          <w:rFonts w:eastAsia="Calibri"/>
          <w:lang w:val="en-US"/>
        </w:rPr>
      </w:pPr>
      <w:r w:rsidRPr="655B68A2">
        <w:rPr>
          <w:rFonts w:eastAsia="Calibri"/>
          <w:lang w:val="en-US"/>
        </w:rPr>
        <w:t xml:space="preserve">Anything short of full EU membership in the near term is likely to disappoint Ukrainians. If expectations in Ukraine are not met, disillusionment could weaken the country's pro-European orientation and create openings for Russian hybrid warfare tactics. While Ukraine is unlikely to reverse its European course, unmet expectations could fuel reform fatigue and reinforce narratives that the EU's promises are ultimately unattainable. This would erode the EU's ability to drive reforms through the prospect of integration and eventual membership. Functional integration should therefore be </w:t>
      </w:r>
      <w:r w:rsidRPr="655B68A2">
        <w:rPr>
          <w:rFonts w:eastAsia="Calibri"/>
          <w:lang w:val="en-US"/>
        </w:rPr>
        <w:lastRenderedPageBreak/>
        <w:t>treated not simply as an economic instrument, but as a geopolitical tool that reduces Russian leverage by building irreversible interdependence between Ukraine and the EU while strengthening Europe's long-term security architecture.</w:t>
      </w:r>
    </w:p>
    <w:p w14:paraId="414F1054" w14:textId="3543EFBF" w:rsidR="0070248F" w:rsidRPr="001345CE" w:rsidRDefault="0070248F" w:rsidP="001345CE">
      <w:pPr>
        <w:pStyle w:val="43subsubheading"/>
        <w:rPr>
          <w:lang/>
        </w:rPr>
      </w:pPr>
      <w:r w:rsidRPr="001345CE">
        <w:rPr>
          <w:lang w:val="en-GB"/>
        </w:rPr>
        <w:t>W</w:t>
      </w:r>
      <w:r w:rsidR="001345CE">
        <w:rPr>
          <w:lang/>
        </w:rPr>
        <w:t>hat</w:t>
      </w:r>
    </w:p>
    <w:p w14:paraId="1132496D" w14:textId="77777777" w:rsidR="0070248F" w:rsidRPr="00736CA4" w:rsidRDefault="0070248F" w:rsidP="00CD2915">
      <w:pPr>
        <w:pStyle w:val="4body"/>
        <w:rPr>
          <w:rFonts w:eastAsia="Calibri"/>
        </w:rPr>
      </w:pPr>
      <w:r w:rsidRPr="3046F246">
        <w:rPr>
          <w:rFonts w:eastAsia="Calibri"/>
        </w:rPr>
        <w:t>The EU should complement the accession process through an integration accelerator centred on deeper functional integration</w:t>
      </w:r>
      <w:r w:rsidRPr="655B68A2">
        <w:rPr>
          <w:rFonts w:eastAsia="Calibri"/>
        </w:rPr>
        <w:t>. A precedent already exists. In 1989, when full accession was not yet politically feasible</w:t>
      </w:r>
      <w:r w:rsidRPr="655B68A2">
        <w:rPr>
          <w:rFonts w:eastAsia="Calibri"/>
          <w:b/>
          <w:bCs/>
        </w:rPr>
        <w:t>,</w:t>
      </w:r>
      <w:r w:rsidRPr="655B68A2">
        <w:rPr>
          <w:rFonts w:eastAsia="Calibri"/>
        </w:rPr>
        <w:t xml:space="preserve"> Commission President Jacques Delors proposed anchoring </w:t>
      </w:r>
      <w:r w:rsidRPr="3046F246">
        <w:rPr>
          <w:rFonts w:eastAsia="Calibri"/>
          <w:color w:val="1F1F1F"/>
        </w:rPr>
        <w:t>European Free Trade Association</w:t>
      </w:r>
      <w:r w:rsidRPr="3046F246">
        <w:rPr>
          <w:rFonts w:eastAsia="Calibri"/>
        </w:rPr>
        <w:t xml:space="preserve"> (</w:t>
      </w:r>
      <w:r w:rsidRPr="655B68A2">
        <w:rPr>
          <w:rFonts w:eastAsia="Calibri"/>
        </w:rPr>
        <w:t xml:space="preserve">EFTA) countries in the Single Market without immediate accession. This model, later realised through the European Economic Area (EEA), enabled deep economic integration and regulatory convergence before membership became politically possible. </w:t>
      </w:r>
    </w:p>
    <w:p w14:paraId="51378515" w14:textId="77777777" w:rsidR="0070248F" w:rsidRDefault="0070248F" w:rsidP="00CD2915">
      <w:pPr>
        <w:pStyle w:val="4body"/>
        <w:rPr>
          <w:rFonts w:eastAsia="Calibri"/>
          <w:lang w:val="en-US"/>
        </w:rPr>
      </w:pPr>
      <w:r w:rsidRPr="655B68A2">
        <w:rPr>
          <w:rFonts w:eastAsia="Calibri"/>
          <w:lang w:val="en-US"/>
        </w:rPr>
        <w:t xml:space="preserve">A similar logic should guide the EU's approach to Ukraine today.  Gradual integration is the most politically sustainable way to reconcile support for Ukraine across the Member States with the integrity of the enlargement process. The strategy should combine three mutually reinforcing dimensions: </w:t>
      </w:r>
      <w:r w:rsidRPr="655B68A2">
        <w:rPr>
          <w:rFonts w:eastAsia="Calibri"/>
          <w:i/>
          <w:iCs/>
          <w:lang w:val="en-US"/>
        </w:rPr>
        <w:t xml:space="preserve">functional integration, political integration </w:t>
      </w:r>
      <w:r w:rsidRPr="655B68A2">
        <w:rPr>
          <w:rFonts w:eastAsia="Calibri"/>
          <w:lang w:val="en-US"/>
        </w:rPr>
        <w:t>and</w:t>
      </w:r>
      <w:r w:rsidRPr="655B68A2">
        <w:rPr>
          <w:rFonts w:eastAsia="Calibri"/>
          <w:i/>
          <w:iCs/>
          <w:lang w:val="en-US"/>
        </w:rPr>
        <w:t xml:space="preserve"> societal integration</w:t>
      </w:r>
      <w:r w:rsidRPr="655B68A2">
        <w:rPr>
          <w:rFonts w:eastAsia="Calibri"/>
          <w:lang w:val="en-US"/>
        </w:rPr>
        <w:t xml:space="preserve">. </w:t>
      </w:r>
    </w:p>
    <w:p w14:paraId="59F95018" w14:textId="77777777" w:rsidR="0070248F" w:rsidRDefault="0070248F" w:rsidP="00CD2915">
      <w:pPr>
        <w:pStyle w:val="4body"/>
        <w:rPr>
          <w:rFonts w:eastAsia="Calibri"/>
          <w:lang w:val="en-US"/>
        </w:rPr>
      </w:pPr>
      <w:r w:rsidRPr="655B68A2">
        <w:rPr>
          <w:rFonts w:eastAsia="Calibri"/>
          <w:lang w:val="en-US"/>
        </w:rPr>
        <w:t xml:space="preserve">Firstly, functional integration should focus on areas where practical gains are already achievable, including electricity market coupling, digital integration, industrial standards, trade and defence-industrial cooperation. Full coupling of Ukraine’s electricity market with the EU by 2027 would support reconstruction, attract investment, strengthen energy security and resilience, and integrate Ukraine more deeply into the European energy market. Defence-industrial cooperation offers another example, </w:t>
      </w:r>
      <w:r w:rsidRPr="655B68A2">
        <w:rPr>
          <w:rFonts w:eastAsia="Calibri"/>
          <w:highlight w:val="yellow"/>
          <w:lang w:val="en-US"/>
        </w:rPr>
        <w:t>as argued by Ondřej Ditrych and Luigi Scazzieri in the chapter 'Defence Integration Booster</w:t>
      </w:r>
      <w:r w:rsidRPr="655B68A2">
        <w:rPr>
          <w:rFonts w:eastAsia="Calibri"/>
          <w:lang w:val="en-US"/>
        </w:rPr>
        <w:t xml:space="preserve">'.   </w:t>
      </w:r>
    </w:p>
    <w:p w14:paraId="4C827DE9" w14:textId="77777777" w:rsidR="0070248F" w:rsidRDefault="0070248F" w:rsidP="00CD2915">
      <w:pPr>
        <w:pStyle w:val="4body"/>
        <w:rPr>
          <w:rFonts w:eastAsia="Calibri"/>
          <w:lang w:val="en-US"/>
        </w:rPr>
      </w:pPr>
      <w:r w:rsidRPr="655B68A2">
        <w:rPr>
          <w:rFonts w:eastAsia="Calibri"/>
          <w:lang w:val="en-US"/>
        </w:rPr>
        <w:t xml:space="preserve">Secondly, if Ukraine is expected to align with EU rules and absorb the costs of partial access to the Single Market, it should also be granted political recognition and inclusion. Ukrainian ministers could therefore participate without full voting rights in selected Council discussions related to energy, transport, digital policy and defence-industrial cooperation, while Ukraine should be progressively included in relevant EU platforms and agencies. This would help ensure that </w:t>
      </w:r>
      <w:r w:rsidRPr="655B68A2">
        <w:rPr>
          <w:rFonts w:eastAsia="Calibri"/>
          <w:lang w:val="en-US"/>
        </w:rPr>
        <w:t>integration is experienced not only as conditionality, but also as political belonging.</w:t>
      </w:r>
    </w:p>
    <w:p w14:paraId="452541A4" w14:textId="77777777" w:rsidR="0070248F" w:rsidRDefault="0070248F" w:rsidP="00CD2915">
      <w:pPr>
        <w:pStyle w:val="4body"/>
        <w:rPr>
          <w:rFonts w:eastAsia="Calibri"/>
          <w:lang w:val="en-US"/>
        </w:rPr>
      </w:pPr>
      <w:r w:rsidRPr="655B68A2">
        <w:rPr>
          <w:rFonts w:eastAsia="Calibri"/>
          <w:lang w:val="en-US"/>
        </w:rPr>
        <w:t xml:space="preserve">Thirdly, integration must be visible to citizens. Ukraine’s participation in the ‘Roam Like at Home’ policy from January 2026 demonstrates how European integration can deliver tangible improvements in everyday life. Similar efforts in mobility, education and people-to-people exchanges would help ensure that the benefits of integration are experienced not only through institutional cooperation, but also in citizens’ daily lives. These initiatives should be accompanied by coherent strategic messaging from the EU and Ukraine that clearly explains what each integration milestone delivers and how it advances Ukraine's path to EU membership. </w:t>
      </w:r>
    </w:p>
    <w:p w14:paraId="4153FCEE" w14:textId="746C9327" w:rsidR="0070248F" w:rsidRPr="00785532" w:rsidRDefault="0070248F" w:rsidP="00785532">
      <w:pPr>
        <w:pStyle w:val="43subsubheading"/>
        <w:rPr>
          <w:lang/>
        </w:rPr>
      </w:pPr>
      <w:r w:rsidRPr="655B68A2">
        <w:t>H</w:t>
      </w:r>
      <w:r w:rsidR="00785532">
        <w:rPr>
          <w:lang/>
        </w:rPr>
        <w:t>ow</w:t>
      </w:r>
    </w:p>
    <w:p w14:paraId="4E1B13D2" w14:textId="77777777" w:rsidR="0070248F" w:rsidRDefault="0070248F" w:rsidP="00CD2915">
      <w:pPr>
        <w:pStyle w:val="4body"/>
        <w:rPr>
          <w:rFonts w:eastAsia="Calibri"/>
          <w:lang w:val="en-US"/>
        </w:rPr>
      </w:pPr>
      <w:r w:rsidRPr="655B68A2">
        <w:rPr>
          <w:rFonts w:eastAsia="Calibri"/>
          <w:lang w:val="en-US"/>
        </w:rPr>
        <w:t xml:space="preserve">The next Multiannual Financial Framework (MFF) offers an opportunity to align the EU's financial support more closely with Ukraine's integration trajectory. While the proposed Ukraine Reserve, channelled through the pre-accession Global Europe instrument, will make available up to </w:t>
      </w:r>
      <w:hyperlink r:id="rId19">
        <w:r w:rsidRPr="009D2E6C">
          <w:rPr>
            <w:rStyle w:val="Hyperlink"/>
            <w:rFonts w:eastAsia="Calibri"/>
          </w:rPr>
          <w:t>€100 billion for 2028–2034</w:t>
        </w:r>
      </w:hyperlink>
      <w:r w:rsidRPr="655B68A2">
        <w:rPr>
          <w:rFonts w:eastAsia="Calibri"/>
          <w:lang w:val="en-US"/>
        </w:rPr>
        <w:t xml:space="preserve">, this falls well short of Ukraine's estimated reconstruction needs of more than </w:t>
      </w:r>
      <w:hyperlink r:id="rId20">
        <w:r w:rsidRPr="009D2E6C">
          <w:rPr>
            <w:rStyle w:val="Hyperlink"/>
            <w:rFonts w:eastAsia="Calibri"/>
          </w:rPr>
          <w:t>€520 billion</w:t>
        </w:r>
      </w:hyperlink>
      <w:r w:rsidRPr="655B68A2">
        <w:rPr>
          <w:rFonts w:eastAsia="Calibri"/>
          <w:lang w:val="en-US"/>
        </w:rPr>
        <w:t xml:space="preserve"> over the coming decade. Future EU support must do more than finance recovery: it should also accelerate Ukraine's integration into the Union. To this end, the Ukraine Reserve should link reconstruction funding, accession-related reforms and sectoral integration within a single strategic framework. Financial support should increasingly be tied to concrete integration milestones in areas such as energy, digital policy, transport and defence-industrial cooperation, while reforms should also improve Ukraine's business and investment climate to help mobilise much-needed private investment.</w:t>
      </w:r>
    </w:p>
    <w:p w14:paraId="7FD44590" w14:textId="77777777" w:rsidR="0070248F" w:rsidRDefault="0070248F" w:rsidP="00CD2915">
      <w:pPr>
        <w:pStyle w:val="4body"/>
        <w:rPr>
          <w:rFonts w:eastAsia="Calibri"/>
          <w:lang w:val="en-US"/>
        </w:rPr>
      </w:pPr>
      <w:r w:rsidRPr="655B68A2">
        <w:rPr>
          <w:rFonts w:eastAsia="Calibri"/>
          <w:lang w:val="en-US"/>
        </w:rPr>
        <w:t xml:space="preserve">At the same time, the EU must recognise that deeper market access will entail adjustment costs. Certain Ukrainian sectors – such as steel, transport and energy – could face significant competitive and regulatory pressures from closer participation in the Single Market. Market opening should be accompanied by transitional arrangements, safeguard mechanisms and targeted financial support. Continued access should remain conditional on sustained reforms, democratic alignment and improvements in the </w:t>
      </w:r>
      <w:r w:rsidRPr="655B68A2">
        <w:rPr>
          <w:rFonts w:eastAsia="Calibri"/>
          <w:lang w:val="en-US"/>
        </w:rPr>
        <w:lastRenderedPageBreak/>
        <w:t>rule of law, allowing the EU to maintain leverage against backsliding.</w:t>
      </w:r>
    </w:p>
    <w:p w14:paraId="6EA26132" w14:textId="77777777" w:rsidR="00785532" w:rsidRDefault="00785532">
      <w:pPr>
        <w:rPr>
          <w:lang/>
        </w:rPr>
      </w:pPr>
    </w:p>
    <w:p w14:paraId="0781970B" w14:textId="77777777" w:rsidR="00295B10" w:rsidRDefault="00295B10">
      <w:pPr>
        <w:rPr>
          <w:lang/>
        </w:rPr>
        <w:sectPr w:rsidR="00295B10" w:rsidSect="00295B10">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4BFD9071" w14:textId="3ADEF7EF" w:rsidR="003B564E" w:rsidRPr="00295B10" w:rsidRDefault="00C90C2A" w:rsidP="003B564E">
      <w:pPr>
        <w:pStyle w:val="41mainheading"/>
        <w:rPr>
          <w:lang w:val="en-GB"/>
        </w:rPr>
      </w:pPr>
      <w:r w:rsidRPr="00C90C2A">
        <w:rPr>
          <w:lang w:val="en-GB"/>
        </w:rPr>
        <w:lastRenderedPageBreak/>
        <w:t>Anti-scam Network</w:t>
      </w:r>
    </w:p>
    <w:p w14:paraId="599B295F" w14:textId="4D9C8B98" w:rsidR="003B564E" w:rsidRPr="00687B1B" w:rsidRDefault="00687B1B" w:rsidP="003B564E">
      <w:pPr>
        <w:pStyle w:val="42subheading"/>
        <w:rPr>
          <w:lang w:val="en-GB"/>
        </w:rPr>
      </w:pPr>
      <w:r w:rsidRPr="00687B1B">
        <w:rPr>
          <w:lang w:val="en-GB"/>
        </w:rPr>
        <w:t>Countering Russian recruitment in Africa and beyond</w:t>
      </w:r>
    </w:p>
    <w:p w14:paraId="308F180D" w14:textId="77777777" w:rsidR="003B564E" w:rsidRPr="00CD2915" w:rsidRDefault="003B564E" w:rsidP="003B564E">
      <w:pPr>
        <w:pStyle w:val="31by"/>
        <w:framePr w:hSpace="0" w:wrap="auto" w:vAnchor="margin" w:hAnchor="text" w:xAlign="left" w:yAlign="inline"/>
        <w:ind w:left="0"/>
        <w:rPr>
          <w:lang/>
        </w:rPr>
      </w:pPr>
      <w:r>
        <w:rPr>
          <w:lang/>
        </w:rPr>
        <w:t xml:space="preserve">by </w:t>
      </w:r>
    </w:p>
    <w:p w14:paraId="7C9A6BD5" w14:textId="638445C9" w:rsidR="003B564E" w:rsidRDefault="003E2DA2" w:rsidP="003B564E">
      <w:pPr>
        <w:pStyle w:val="32author"/>
        <w:framePr w:hSpace="0" w:wrap="auto" w:vAnchor="margin" w:hAnchor="text" w:xAlign="left" w:yAlign="inline"/>
        <w:ind w:left="0"/>
      </w:pPr>
      <w:r w:rsidRPr="003E2DA2">
        <w:t>Rossella Marangio</w:t>
      </w:r>
    </w:p>
    <w:p w14:paraId="4B27C4A9" w14:textId="77777777" w:rsidR="003B564E" w:rsidRDefault="003B564E" w:rsidP="003B564E">
      <w:pPr>
        <w:spacing w:line="276" w:lineRule="auto"/>
        <w:jc w:val="both"/>
        <w:rPr>
          <w:rFonts w:ascii="Calibri" w:eastAsia="Calibri" w:hAnsi="Calibri" w:cs="Calibri"/>
        </w:rPr>
      </w:pPr>
    </w:p>
    <w:p w14:paraId="4B6D8164" w14:textId="77777777" w:rsidR="00444AEF" w:rsidRDefault="00444AEF" w:rsidP="00444AEF">
      <w:pPr>
        <w:pStyle w:val="4body"/>
        <w:rPr>
          <w:rFonts w:eastAsia="Calibri"/>
        </w:rPr>
      </w:pPr>
      <w:r w:rsidRPr="01D0343A">
        <w:rPr>
          <w:rFonts w:eastAsia="Calibri"/>
        </w:rPr>
        <w:t xml:space="preserve">Russia is no longer recruiting just mercenaries for its war machine in Ukraine; it is also recruiting vulnerable job seekers. Across Africa and elsewhere, young people looking for a better future are being lured into Russia’s war economy through fake jobs and false promises of scholarships, citizenship or high salaries. According to the Ukrainian Coordination Headquarters for the Treatment of Prisoners of War and the Ministry of Foreign Affairs of Ukraine, Russia is </w:t>
      </w:r>
      <w:hyperlink r:id="rId21">
        <w:r w:rsidRPr="002D6864">
          <w:rPr>
            <w:rStyle w:val="Hyperlink"/>
            <w:rFonts w:eastAsia="Calibri"/>
          </w:rPr>
          <w:t>estimated</w:t>
        </w:r>
      </w:hyperlink>
      <w:r w:rsidRPr="002D6864">
        <w:rPr>
          <w:rFonts w:eastAsia="Calibri"/>
        </w:rPr>
        <w:t xml:space="preserve"> </w:t>
      </w:r>
      <w:r w:rsidRPr="01D0343A">
        <w:rPr>
          <w:rFonts w:eastAsia="Calibri"/>
        </w:rPr>
        <w:t xml:space="preserve">to have recruited more than 28 000 foreigners from 135 countries, including </w:t>
      </w:r>
      <w:hyperlink r:id="rId22">
        <w:r w:rsidRPr="002D6864">
          <w:rPr>
            <w:rStyle w:val="Hyperlink"/>
            <w:rFonts w:eastAsia="Calibri"/>
          </w:rPr>
          <w:t>3 000 Africans,</w:t>
        </w:r>
      </w:hyperlink>
      <w:r w:rsidRPr="01D0343A">
        <w:rPr>
          <w:rFonts w:eastAsia="Calibri"/>
        </w:rPr>
        <w:t xml:space="preserve"> notably from Kenya, Nigeria, Cameroon and Ghana. Ukraine has developed awareness-raising initiatives and launched the ‘</w:t>
      </w:r>
      <w:hyperlink r:id="rId23">
        <w:r w:rsidRPr="002D6864">
          <w:rPr>
            <w:rStyle w:val="Hyperlink"/>
            <w:rFonts w:eastAsia="Calibri"/>
          </w:rPr>
          <w:t>I Want to Live!’ project</w:t>
        </w:r>
      </w:hyperlink>
      <w:r w:rsidRPr="01D0343A">
        <w:rPr>
          <w:rFonts w:eastAsia="Calibri"/>
        </w:rPr>
        <w:t xml:space="preserve"> to offer pathways for disengagement for combatants fighting in the ranks of the Russian army. </w:t>
      </w:r>
    </w:p>
    <w:p w14:paraId="4309B8F0" w14:textId="77777777" w:rsidR="00444AEF" w:rsidRPr="004B1E73" w:rsidRDefault="00444AEF" w:rsidP="00444AEF">
      <w:pPr>
        <w:pStyle w:val="4body"/>
        <w:rPr>
          <w:rFonts w:eastAsia="Calibri"/>
        </w:rPr>
      </w:pPr>
      <w:r w:rsidRPr="01D0343A">
        <w:rPr>
          <w:rFonts w:eastAsia="Calibri"/>
        </w:rPr>
        <w:t xml:space="preserve">The EU should establish an anti-scam network linking Ukraine, African partners and civil society </w:t>
      </w:r>
      <w:r w:rsidRPr="01D0343A">
        <w:rPr>
          <w:rFonts w:eastAsia="Calibri"/>
        </w:rPr>
        <w:t xml:space="preserve">to prevent, expose and disrupt Russia’s deceptive recruitment schemes. The network would protect vulnerable individuals and strengthen accountability through intelligence-sharing, victim support and law enforcement cooperation. As current responses remain fragmented, the proposed anti-scam network would connect these efforts into a single operational ecosystem.  Its added value would lie in advancing the shared interests of African countries and societies, Ukraine and the EU. </w:t>
      </w:r>
    </w:p>
    <w:p w14:paraId="50FBD237" w14:textId="5EC8F68A" w:rsidR="00444AEF" w:rsidRPr="004C7E21" w:rsidRDefault="00444AEF" w:rsidP="004C7E21">
      <w:pPr>
        <w:pStyle w:val="43subsubheading"/>
        <w:rPr>
          <w:lang/>
        </w:rPr>
      </w:pPr>
      <w:r w:rsidRPr="00003E90">
        <w:t>W</w:t>
      </w:r>
      <w:r w:rsidR="004C7E21">
        <w:rPr>
          <w:lang/>
        </w:rPr>
        <w:t>hy</w:t>
      </w:r>
    </w:p>
    <w:p w14:paraId="67BC730D" w14:textId="77777777" w:rsidR="00444AEF" w:rsidRDefault="00444AEF" w:rsidP="00444AEF">
      <w:pPr>
        <w:pStyle w:val="4body"/>
        <w:rPr>
          <w:rFonts w:eastAsia="Calibri"/>
        </w:rPr>
      </w:pPr>
      <w:r w:rsidRPr="01D0343A">
        <w:rPr>
          <w:rFonts w:eastAsia="Calibri"/>
        </w:rPr>
        <w:t xml:space="preserve">Russia needs more people to feed both its war effort and its wartime economy, and it is increasingly looking abroad to find them. It exploits unemployment and other drivers of migration, weak consular protection in countries of origin, and information gaps to recruit foreign nationals. Many recruits are reportedly enticed by promises of jobs or education through locally embedded transnational networks that spread disinformation. Once in Russia they discover that they have instead been recruited to fight on the frontline or work in </w:t>
      </w:r>
      <w:hyperlink r:id="rId24">
        <w:r w:rsidRPr="002D6864">
          <w:rPr>
            <w:rStyle w:val="Hyperlink"/>
            <w:rFonts w:eastAsia="Calibri"/>
          </w:rPr>
          <w:t>drone factories</w:t>
        </w:r>
      </w:hyperlink>
      <w:r w:rsidRPr="01D0343A">
        <w:rPr>
          <w:rFonts w:eastAsia="Calibri"/>
        </w:rPr>
        <w:t xml:space="preserve">. The Kremlin’s denial of involvement in this recruitment process is not credible. </w:t>
      </w:r>
    </w:p>
    <w:p w14:paraId="4396A937" w14:textId="77777777" w:rsidR="00444AEF" w:rsidRPr="004B1E73" w:rsidRDefault="00444AEF" w:rsidP="00444AEF">
      <w:pPr>
        <w:pStyle w:val="4body"/>
        <w:rPr>
          <w:rFonts w:eastAsia="Calibri"/>
        </w:rPr>
      </w:pPr>
      <w:r w:rsidRPr="01D0343A">
        <w:rPr>
          <w:rFonts w:eastAsia="Calibri"/>
        </w:rPr>
        <w:t xml:space="preserve">As Russia faces growing manpower shortages, it is likely to double down on recruitment beyond its borders. African countries, meanwhile, risk seeing their citizens exploited and trafficked </w:t>
      </w:r>
      <w:r w:rsidRPr="01D0343A">
        <w:rPr>
          <w:rFonts w:eastAsia="Calibri"/>
        </w:rPr>
        <w:lastRenderedPageBreak/>
        <w:t xml:space="preserve">through fraudulent recruitment schemes that often cost them their lives. </w:t>
      </w:r>
    </w:p>
    <w:p w14:paraId="05E6879D" w14:textId="77777777" w:rsidR="00444AEF" w:rsidRPr="004B1E73" w:rsidRDefault="00444AEF" w:rsidP="00444AEF">
      <w:pPr>
        <w:pStyle w:val="4body"/>
        <w:rPr>
          <w:rFonts w:eastAsia="Calibri"/>
        </w:rPr>
      </w:pPr>
      <w:r w:rsidRPr="01D0343A">
        <w:rPr>
          <w:rFonts w:eastAsia="Calibri"/>
        </w:rPr>
        <w:t xml:space="preserve">For Ukraine, disrupting these networks has the potential to reduce Russia’s pool of recruits and damage its credibility by exposing the coercive nature of its war effort. For the EU, helping achieve these goals advances its own strategic interests: in addition to empowering Ukraine and countering Russian influence, it would also help deepen partnerships with African countries and civil society. At the same time, it would protect vulnerable individuals and establish new avenues for cooperation in disrupting criminal networks, including those linked to irregular migration to the EU and other forms of organised crime. </w:t>
      </w:r>
    </w:p>
    <w:p w14:paraId="77ED4356" w14:textId="36D4847D" w:rsidR="00444AEF" w:rsidRPr="004C7E21" w:rsidRDefault="004C7E21" w:rsidP="004C7E21">
      <w:pPr>
        <w:pStyle w:val="43subsubheading"/>
        <w:rPr>
          <w:lang/>
        </w:rPr>
      </w:pPr>
      <w:r>
        <w:rPr>
          <w:lang/>
        </w:rPr>
        <w:t>What</w:t>
      </w:r>
    </w:p>
    <w:p w14:paraId="643D2803" w14:textId="77777777" w:rsidR="00444AEF" w:rsidRPr="004B1E73" w:rsidRDefault="00444AEF" w:rsidP="00444AEF">
      <w:pPr>
        <w:pStyle w:val="4body"/>
        <w:rPr>
          <w:rFonts w:eastAsia="Calibri"/>
        </w:rPr>
      </w:pPr>
      <w:r w:rsidRPr="01D0343A">
        <w:rPr>
          <w:rFonts w:eastAsia="Calibri"/>
        </w:rPr>
        <w:t xml:space="preserve">The EU should establish an anti-scam network bringing together Ukraine, African governments, civil society organisations, diaspora communities, labour agencies, journalists and digital platforms. Working together, these actors would identify, expose and disrupt deceptive recruitment schemes sustaining Russia’s army and war economy, while offering safe channels for victims and their families to seek help. </w:t>
      </w:r>
    </w:p>
    <w:p w14:paraId="1934D8FA" w14:textId="77777777" w:rsidR="00444AEF" w:rsidRPr="004B1E73" w:rsidRDefault="00444AEF" w:rsidP="00444AEF">
      <w:pPr>
        <w:pStyle w:val="4body"/>
        <w:rPr>
          <w:rFonts w:eastAsia="Calibri"/>
        </w:rPr>
      </w:pPr>
      <w:r w:rsidRPr="01D0343A">
        <w:rPr>
          <w:rFonts w:eastAsia="Calibri"/>
        </w:rPr>
        <w:t xml:space="preserve">The core aim should be to distinguish mercenaries from potential victims of deception, coercion or economic exploitation. This distinction matters and evidence should be gathered through cooperation between countries of origin and Ukraine when African nationals are captured or surrender. Such cooperation pathways can generate actionable intelligence, facilitate the prosecution of those behind the recruitment </w:t>
      </w:r>
      <w:r w:rsidRPr="01D0343A">
        <w:rPr>
          <w:rFonts w:eastAsia="Calibri"/>
          <w:lang w:val="cs-CZ"/>
        </w:rPr>
        <w:t>scams</w:t>
      </w:r>
      <w:r w:rsidRPr="01D0343A">
        <w:rPr>
          <w:rFonts w:eastAsia="Calibri"/>
        </w:rPr>
        <w:t>, and raise public awareness.</w:t>
      </w:r>
    </w:p>
    <w:p w14:paraId="1B74B927" w14:textId="77777777" w:rsidR="00444AEF" w:rsidRDefault="00444AEF" w:rsidP="00444AEF">
      <w:pPr>
        <w:pStyle w:val="4body"/>
        <w:rPr>
          <w:rFonts w:eastAsia="Calibri"/>
        </w:rPr>
      </w:pPr>
      <w:r w:rsidRPr="01D0343A">
        <w:rPr>
          <w:rFonts w:eastAsia="Calibri"/>
        </w:rPr>
        <w:t xml:space="preserve">The network should operate on three levels. The first is </w:t>
      </w:r>
      <w:r w:rsidRPr="01D0343A">
        <w:rPr>
          <w:rFonts w:eastAsia="Calibri"/>
          <w:i/>
        </w:rPr>
        <w:t>prevention</w:t>
      </w:r>
      <w:r w:rsidRPr="01D0343A">
        <w:rPr>
          <w:rFonts w:eastAsia="Calibri"/>
        </w:rPr>
        <w:t>: public campaigns in local languages, school and university briefings, alerts through labour offices, outreach to diaspora communities, and the moderation of online recruitment advertisements. Targeted campaigns in local languages can warn young people about fake job offers, bogus scholarships, and military-linked contracts.</w:t>
      </w:r>
    </w:p>
    <w:p w14:paraId="67EFC7D6" w14:textId="77777777" w:rsidR="00444AEF" w:rsidRDefault="00444AEF" w:rsidP="00444AEF">
      <w:pPr>
        <w:pStyle w:val="4body"/>
        <w:rPr>
          <w:rFonts w:eastAsia="Calibri"/>
        </w:rPr>
      </w:pPr>
      <w:r w:rsidRPr="01D0343A">
        <w:rPr>
          <w:rFonts w:eastAsia="Calibri"/>
        </w:rPr>
        <w:t xml:space="preserve">The second is </w:t>
      </w:r>
      <w:r w:rsidRPr="01D0343A">
        <w:rPr>
          <w:rFonts w:eastAsia="Calibri"/>
          <w:i/>
        </w:rPr>
        <w:t>protection</w:t>
      </w:r>
      <w:r w:rsidRPr="01D0343A">
        <w:rPr>
          <w:rFonts w:eastAsia="Calibri"/>
        </w:rPr>
        <w:t xml:space="preserve">: confidential reporting, case verification, legal counselling, family liaison, and repatriation support. Safe reporting mechanisms would improve the detection of recruitment scams. Hotlines, WhatsApp channels, embassy focal points, and civil society </w:t>
      </w:r>
      <w:r w:rsidRPr="01D0343A">
        <w:rPr>
          <w:rFonts w:eastAsia="Calibri"/>
        </w:rPr>
        <w:t xml:space="preserve">organisations can collect reports from families without exposing them to retaliation or prosecution. </w:t>
      </w:r>
    </w:p>
    <w:p w14:paraId="74D23F32" w14:textId="77777777" w:rsidR="00444AEF" w:rsidRDefault="00444AEF" w:rsidP="00444AEF">
      <w:pPr>
        <w:pStyle w:val="4body"/>
        <w:rPr>
          <w:rFonts w:eastAsia="Calibri"/>
        </w:rPr>
      </w:pPr>
      <w:r w:rsidRPr="01D0343A">
        <w:rPr>
          <w:rFonts w:eastAsia="Calibri"/>
        </w:rPr>
        <w:t xml:space="preserve">The third is </w:t>
      </w:r>
      <w:r w:rsidRPr="01D0343A">
        <w:rPr>
          <w:rFonts w:eastAsia="Calibri"/>
          <w:i/>
        </w:rPr>
        <w:t>accountability</w:t>
      </w:r>
      <w:r w:rsidRPr="01D0343A">
        <w:rPr>
          <w:rFonts w:eastAsia="Calibri"/>
        </w:rPr>
        <w:t>: evidence-sharing with national police and law enforcement agencies with the support of Europol and Interpol. Mapping recruitment patterns and networks, intermediaries, travel routes and online tactics would help dismantle these schemes and make them harder to operate.</w:t>
      </w:r>
    </w:p>
    <w:p w14:paraId="40CF54EE" w14:textId="77777777" w:rsidR="00444AEF" w:rsidRDefault="00444AEF" w:rsidP="00444AEF">
      <w:pPr>
        <w:pStyle w:val="4body"/>
        <w:rPr>
          <w:rFonts w:eastAsia="Calibri"/>
        </w:rPr>
      </w:pPr>
      <w:r w:rsidRPr="01D0343A">
        <w:rPr>
          <w:rFonts w:eastAsia="Calibri"/>
        </w:rPr>
        <w:t xml:space="preserve">Together, these efforts would strengthen resilience, improve protection and increase deterrence. In addition, disarmament, demobilisation and reintegration (DDR)-inspired programmes could encourage defections by people already trapped in Russia or in territories of Ukraine currently under Russian occupation. Safe corridors should be created to enable those who choose to leave to do so securely. </w:t>
      </w:r>
    </w:p>
    <w:p w14:paraId="4D069BB3" w14:textId="69593F2B" w:rsidR="00444AEF" w:rsidRPr="004C7E21" w:rsidRDefault="00444AEF" w:rsidP="004C7E21">
      <w:pPr>
        <w:pStyle w:val="43subsubheading"/>
        <w:rPr>
          <w:lang/>
        </w:rPr>
      </w:pPr>
      <w:r w:rsidRPr="00003E90">
        <w:t>H</w:t>
      </w:r>
      <w:r w:rsidR="004C7E21">
        <w:rPr>
          <w:lang/>
        </w:rPr>
        <w:t>ow</w:t>
      </w:r>
    </w:p>
    <w:p w14:paraId="118FFAAC" w14:textId="77777777" w:rsidR="00444AEF" w:rsidRDefault="00444AEF" w:rsidP="00444AEF">
      <w:pPr>
        <w:pStyle w:val="4body"/>
        <w:rPr>
          <w:rFonts w:eastAsia="Calibri"/>
        </w:rPr>
      </w:pPr>
      <w:r w:rsidRPr="01D0343A">
        <w:rPr>
          <w:rFonts w:eastAsia="Calibri"/>
        </w:rPr>
        <w:t>Ukraine is already raising awareness of Russian deceptive recruitment tactics and providing information on safe surrender options. Building on these efforts, the EU could launch a pilot initiative with Ukraine and a small group of willing African partners, prioritising countries such as Kenya, Ghana and South Africa where recruitment cases have already been documented. The EU and African countries already cooperate in the security sector, especially in the fight against organised crime through Interpol and Europol. Existing frameworks could therefore be expanded to include this component and foster coordination through enhanced intelligence-sharing and cooperation among law enforcement and judicial authorities in Africa, the EU and Ukraine. In addition, cooperation with both governments and civil society could help gather evidence, expose recruitment networks and raise public awareness.</w:t>
      </w:r>
    </w:p>
    <w:p w14:paraId="5B904763" w14:textId="77777777" w:rsidR="00444AEF" w:rsidRPr="004B1E73" w:rsidRDefault="00444AEF" w:rsidP="00444AEF">
      <w:pPr>
        <w:pStyle w:val="4body"/>
        <w:rPr>
          <w:rFonts w:eastAsia="Calibri"/>
        </w:rPr>
      </w:pPr>
      <w:r w:rsidRPr="01D0343A">
        <w:rPr>
          <w:rFonts w:eastAsia="Calibri"/>
        </w:rPr>
        <w:t>A dedicated rapid-response fund could finance key elements of the network, including civil society awareness campaigns, a secure reporting platform, standard operating procedures for repatriation, and targeted sanctions against recruiters and facilitators. The costs would be modest compared with the consequences of inaction: continued recruitment, more deaths, heightened diplomatic friction, and the further spread of Russia’s coercive influence.</w:t>
      </w:r>
    </w:p>
    <w:p w14:paraId="490F95ED" w14:textId="77777777" w:rsidR="00444AEF" w:rsidRPr="004B1E73" w:rsidRDefault="00444AEF" w:rsidP="00444AEF">
      <w:pPr>
        <w:rPr>
          <w:rFonts w:ascii="Calibri" w:eastAsia="Calibri" w:hAnsi="Calibri" w:cs="Calibri"/>
        </w:rPr>
      </w:pPr>
    </w:p>
    <w:p w14:paraId="75F793B0" w14:textId="77777777" w:rsidR="00444AEF" w:rsidRDefault="00444AEF" w:rsidP="00444AEF">
      <w:pPr>
        <w:rPr>
          <w:rFonts w:ascii="Calibri" w:eastAsia="Calibri" w:hAnsi="Calibri" w:cs="Calibri"/>
        </w:rPr>
      </w:pPr>
    </w:p>
    <w:p w14:paraId="1B46A253" w14:textId="77777777" w:rsidR="003B564E" w:rsidRPr="00444AEF" w:rsidRDefault="003B564E" w:rsidP="003B564E"/>
    <w:p w14:paraId="7FCE1A79" w14:textId="77777777" w:rsidR="003B564E" w:rsidRDefault="003B564E" w:rsidP="003B564E">
      <w:pPr>
        <w:rPr>
          <w:lang/>
        </w:rPr>
        <w:sectPr w:rsidR="003B564E" w:rsidSect="003B564E">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27C05B20" w14:textId="6CAC2E13" w:rsidR="008A0735" w:rsidRPr="00295B10" w:rsidRDefault="006C7C65" w:rsidP="008A0735">
      <w:pPr>
        <w:pStyle w:val="41mainheading"/>
        <w:rPr>
          <w:lang w:val="en-GB"/>
        </w:rPr>
      </w:pPr>
      <w:r w:rsidRPr="006C7C65">
        <w:rPr>
          <w:lang w:val="en-GB"/>
        </w:rPr>
        <w:lastRenderedPageBreak/>
        <w:t>A resilience turbocharger</w:t>
      </w:r>
    </w:p>
    <w:p w14:paraId="197492C0" w14:textId="0B5120BB" w:rsidR="008A0735" w:rsidRPr="005870CF" w:rsidRDefault="005870CF" w:rsidP="008A0735">
      <w:pPr>
        <w:pStyle w:val="42subheading"/>
        <w:rPr>
          <w:lang w:val="en-GB"/>
        </w:rPr>
      </w:pPr>
      <w:r w:rsidRPr="005870CF">
        <w:rPr>
          <w:lang w:val="en-GB"/>
        </w:rPr>
        <w:t>How to make Ukraine a pillar of European energy security</w:t>
      </w:r>
    </w:p>
    <w:p w14:paraId="282E851A" w14:textId="77777777" w:rsidR="008A0735" w:rsidRPr="00CD2915" w:rsidRDefault="008A0735" w:rsidP="008A0735">
      <w:pPr>
        <w:pStyle w:val="31by"/>
        <w:framePr w:hSpace="0" w:wrap="auto" w:vAnchor="margin" w:hAnchor="text" w:xAlign="left" w:yAlign="inline"/>
        <w:ind w:left="0"/>
        <w:rPr>
          <w:lang/>
        </w:rPr>
      </w:pPr>
      <w:r>
        <w:rPr>
          <w:lang/>
        </w:rPr>
        <w:t xml:space="preserve">by </w:t>
      </w:r>
    </w:p>
    <w:p w14:paraId="1BB4F683" w14:textId="5E29EF1A" w:rsidR="008A0735" w:rsidRDefault="00B74BA9" w:rsidP="008A0735">
      <w:pPr>
        <w:pStyle w:val="32author"/>
        <w:framePr w:hSpace="0" w:wrap="auto" w:vAnchor="margin" w:hAnchor="text" w:xAlign="left" w:yAlign="inline"/>
        <w:ind w:left="0"/>
      </w:pPr>
      <w:r w:rsidRPr="00B74BA9">
        <w:t>Caspar Hobhouse</w:t>
      </w:r>
    </w:p>
    <w:p w14:paraId="0861BEAF" w14:textId="77777777" w:rsidR="008A0735" w:rsidRDefault="008A0735" w:rsidP="008A0735">
      <w:pPr>
        <w:spacing w:line="276" w:lineRule="auto"/>
        <w:jc w:val="both"/>
        <w:rPr>
          <w:rFonts w:ascii="Calibri" w:eastAsia="Calibri" w:hAnsi="Calibri" w:cs="Calibri"/>
        </w:rPr>
      </w:pPr>
    </w:p>
    <w:p w14:paraId="7A5D7B4C" w14:textId="77777777" w:rsidR="007B666A" w:rsidRPr="007B666A" w:rsidDel="002B435F" w:rsidRDefault="007B666A" w:rsidP="007B666A">
      <w:pPr>
        <w:pStyle w:val="4body"/>
      </w:pPr>
      <w:r w:rsidRPr="007B666A">
        <w:t xml:space="preserve">Since the start of Russia’s full-scale invasion in 2022, Ukraine has </w:t>
      </w:r>
      <w:hyperlink r:id="rId25">
        <w:r w:rsidRPr="007B666A">
          <w:rPr>
            <w:rStyle w:val="Hyperlink"/>
          </w:rPr>
          <w:t>lost half of its energy infrastructure</w:t>
        </w:r>
      </w:hyperlink>
      <w:r w:rsidRPr="007B666A">
        <w:t xml:space="preserve">, accounting for </w:t>
      </w:r>
      <w:hyperlink r:id="rId26">
        <w:r w:rsidRPr="007B666A">
          <w:rPr>
            <w:rStyle w:val="Hyperlink"/>
          </w:rPr>
          <w:t>70% of pre-war capacity</w:t>
        </w:r>
      </w:hyperlink>
      <w:r w:rsidRPr="007B666A">
        <w:t>. While tragic and devastating, the war has also turned Ukraine into a testing ground for building and operating a truly resilient energy system in wartime, with lessons that are vital for Europe’s energy security.</w:t>
      </w:r>
    </w:p>
    <w:p w14:paraId="6F50132F" w14:textId="77777777" w:rsidR="007B666A" w:rsidRPr="007B666A" w:rsidDel="002B435F" w:rsidRDefault="007B666A" w:rsidP="007B666A">
      <w:pPr>
        <w:pStyle w:val="4body"/>
      </w:pPr>
      <w:r w:rsidRPr="007B666A">
        <w:t xml:space="preserve">In 2026 Ukraine’s energy system has reached a critical juncture. The focus can no longer be on survival alone:  the scale of destruction has depleted stocks of spare parts and severely reduced generation capacity. During the winter of 2025-2026, its energy grid was </w:t>
      </w:r>
      <w:hyperlink r:id="rId27">
        <w:r w:rsidRPr="007B666A">
          <w:rPr>
            <w:rStyle w:val="Hyperlink"/>
          </w:rPr>
          <w:t>one strike away</w:t>
        </w:r>
      </w:hyperlink>
      <w:r w:rsidRPr="007B666A">
        <w:t xml:space="preserve"> from collapse.  Emergency measures, including the continued delivery of spare parts and electricity imports, remain vital but can no longer provide a lasting solution. Looking ahead to </w:t>
      </w:r>
      <w:r w:rsidRPr="007B666A">
        <w:t>Ukraine’s accession to the European Energy Union in 2027, Kyiv and Brussels have a shared opportunity to build a common approach to energy security that strengthens the long-term resilience of Ukraine’s energy system.</w:t>
      </w:r>
    </w:p>
    <w:p w14:paraId="6DFCE696" w14:textId="77777777" w:rsidR="007B666A" w:rsidRPr="007B666A" w:rsidDel="002B435F" w:rsidRDefault="007B666A" w:rsidP="007B666A">
      <w:pPr>
        <w:pStyle w:val="43subsubheading"/>
      </w:pPr>
      <w:r w:rsidRPr="007B666A">
        <w:t>WHY</w:t>
      </w:r>
    </w:p>
    <w:p w14:paraId="1A26F3B8" w14:textId="77777777" w:rsidR="007B666A" w:rsidRPr="007B666A" w:rsidDel="002B435F" w:rsidRDefault="007B666A" w:rsidP="007B666A">
      <w:pPr>
        <w:pStyle w:val="4body"/>
      </w:pPr>
      <w:r w:rsidRPr="007B666A">
        <w:t xml:space="preserve">For Ukraine, sustaining energy resilience in the ongoing war is essential to its survival as a functioning state. It is also one of the most important contributions it can make to the EU as a future member. Support for Ukraine now, as provided by several EU Member States and Norway among others, thus serves both short- and long-term goals. </w:t>
      </w:r>
    </w:p>
    <w:p w14:paraId="63608A9F" w14:textId="77777777" w:rsidR="007B666A" w:rsidRPr="007B666A" w:rsidDel="002B435F" w:rsidRDefault="007B666A" w:rsidP="007B666A">
      <w:pPr>
        <w:pStyle w:val="4body"/>
      </w:pPr>
      <w:r w:rsidRPr="007B666A">
        <w:t xml:space="preserve">Prior to 2022, Ukraine’s energy system, designed in the Soviet era with excess capacity and abundant baseload generation, was a major asset for </w:t>
      </w:r>
      <w:hyperlink r:id="rId28">
        <w:r w:rsidRPr="007B666A">
          <w:rPr>
            <w:rStyle w:val="Hyperlink"/>
          </w:rPr>
          <w:t>Europe's energy security architecture</w:t>
        </w:r>
      </w:hyperlink>
      <w:r w:rsidRPr="007B666A">
        <w:t xml:space="preserve">. The country also boasted plentiful wind and solar resources as well as gas reserves and storage which, together with the country’s size, made Ukraine an energy powerhouse. While excess grid capacity has suffered under relentless Russian strikes, the other fundamentals, including a highly-skilled workforce and understanding of system resilience, have only grown stronger. Ukraine has developed unrivalled wartime expertise in maintaining its energy system in the face of sustained attack, including rapid repair capabilities, stockpiling of vital equipment and a </w:t>
      </w:r>
      <w:r w:rsidRPr="007B666A">
        <w:lastRenderedPageBreak/>
        <w:t xml:space="preserve">deep understanding of Russian tactics. The war has also fostered a strong public awareness of the </w:t>
      </w:r>
      <w:hyperlink r:id="rId29">
        <w:r w:rsidRPr="007B666A">
          <w:rPr>
            <w:rStyle w:val="Hyperlink"/>
          </w:rPr>
          <w:t>strategic importance of energy security</w:t>
        </w:r>
      </w:hyperlink>
      <w:r w:rsidRPr="007B666A">
        <w:t xml:space="preserve">. </w:t>
      </w:r>
    </w:p>
    <w:p w14:paraId="09B2D91F" w14:textId="77777777" w:rsidR="007B666A" w:rsidRPr="007B666A" w:rsidDel="002B435F" w:rsidRDefault="007B666A" w:rsidP="007B666A">
      <w:pPr>
        <w:pStyle w:val="43subsubheading"/>
      </w:pPr>
      <w:r w:rsidRPr="007B666A">
        <w:t>WHAT</w:t>
      </w:r>
    </w:p>
    <w:p w14:paraId="2D402832" w14:textId="77777777" w:rsidR="007B666A" w:rsidRPr="007B666A" w:rsidRDefault="007B666A" w:rsidP="007B666A">
      <w:pPr>
        <w:pStyle w:val="4body"/>
      </w:pPr>
      <w:r w:rsidRPr="007B666A">
        <w:t xml:space="preserve">What both the EU and Ukraine need at this point in time is a long-term vision for financing, planning and resilience to strengthen European energy security in the face of a common threat. </w:t>
      </w:r>
    </w:p>
    <w:p w14:paraId="1152C6E8" w14:textId="77777777" w:rsidR="007B666A" w:rsidRPr="007B666A" w:rsidDel="002B435F" w:rsidRDefault="007B666A" w:rsidP="007B666A">
      <w:pPr>
        <w:pStyle w:val="4body"/>
      </w:pPr>
      <w:r w:rsidRPr="007B666A">
        <w:t xml:space="preserve">Ukraine, in particular, needs sustained investment and long-term financial commitments to rebuild its energy infrastructure. The country has already demonstrated that it can </w:t>
      </w:r>
      <w:hyperlink r:id="rId30">
        <w:r w:rsidRPr="007B666A">
          <w:rPr>
            <w:rStyle w:val="Hyperlink"/>
          </w:rPr>
          <w:t>attract private capital</w:t>
        </w:r>
      </w:hyperlink>
      <w:r w:rsidRPr="007B666A">
        <w:t xml:space="preserve"> into its energy sector even during wartime. For example, the </w:t>
      </w:r>
      <w:hyperlink r:id="rId31">
        <w:r w:rsidRPr="007B666A">
          <w:rPr>
            <w:rStyle w:val="Hyperlink"/>
          </w:rPr>
          <w:t>Tyligulska wind park,</w:t>
        </w:r>
      </w:hyperlink>
      <w:r w:rsidRPr="007B666A">
        <w:t xml:space="preserve"> located just 100 km from the frontline, added </w:t>
      </w:r>
      <w:hyperlink r:id="rId32">
        <w:r w:rsidRPr="007B666A">
          <w:rPr>
            <w:rStyle w:val="Hyperlink"/>
          </w:rPr>
          <w:t>114 MW of capacity in 2025</w:t>
        </w:r>
      </w:hyperlink>
      <w:r w:rsidRPr="007B666A">
        <w:t xml:space="preserve">. A coordinated strategy involving the EU and partner states could help accelerate such investments. Although individual EU Member States have offered </w:t>
      </w:r>
      <w:hyperlink r:id="rId33">
        <w:r w:rsidRPr="007B666A">
          <w:rPr>
            <w:rStyle w:val="Hyperlink"/>
          </w:rPr>
          <w:t xml:space="preserve">critical support, </w:t>
        </w:r>
      </w:hyperlink>
      <w:r w:rsidRPr="007B666A">
        <w:t xml:space="preserve">notably through the Energy Community’s </w:t>
      </w:r>
      <w:hyperlink r:id="rId34">
        <w:r w:rsidRPr="007B666A">
          <w:rPr>
            <w:rStyle w:val="Hyperlink"/>
          </w:rPr>
          <w:t>Ukraine support fund,</w:t>
        </w:r>
      </w:hyperlink>
      <w:r w:rsidRPr="007B666A">
        <w:t xml:space="preserve"> their efforts have so far focused on immediate survival rather than long- term resilience and prosperity. </w:t>
      </w:r>
    </w:p>
    <w:p w14:paraId="2FA5635C" w14:textId="77777777" w:rsidR="007B666A" w:rsidRPr="007B666A" w:rsidDel="002B435F" w:rsidRDefault="007B666A" w:rsidP="007B666A">
      <w:pPr>
        <w:pStyle w:val="4body"/>
      </w:pPr>
      <w:r w:rsidRPr="007B666A">
        <w:t>The EU and its European allies should prioritise investment in Ukraine’s energy system, especially in clean generation, distributed storage and measures to increase electricity demand</w:t>
      </w:r>
      <w:r w:rsidRPr="007B666A">
        <w:rPr>
          <w:b/>
        </w:rPr>
        <w:t>.</w:t>
      </w:r>
      <w:r w:rsidRPr="007B666A">
        <w:t xml:space="preserve"> In many cases, these are commercially profitable investments that also deliver long-term strategic benefits to European energy security. </w:t>
      </w:r>
    </w:p>
    <w:p w14:paraId="76E19949" w14:textId="77777777" w:rsidR="007B666A" w:rsidRPr="007B666A" w:rsidRDefault="007B666A" w:rsidP="007B666A">
      <w:pPr>
        <w:pStyle w:val="4body"/>
      </w:pPr>
      <w:r w:rsidRPr="007B666A">
        <w:t xml:space="preserve">2026 is the moment to turbocharge Ukraine's hard-won lessons in energy resilience – not only to ensure the country’s survival, but also to secure its long-term prosperity and its place at the heart of Europe’s energy security architecture. The deployment of renewable generation and distributed local energy systems, especially in major cities, has already begun to reduce reliance on the centralised grid infrastructure that made Ukraine’s energy system so vulnerable in the first place.  Paradoxically, the destruction of much of Ukraine’s thermal generation capacity has accelerated the transition towards a cleaner and more resilient energy system. It has also begun to weaken the influence of entrenched energy interests in the country, long associated with corruption. This creates a perfect opportunity to accelerate the transition to a clean and resilient energy system that brings Ukraine closer to the </w:t>
      </w:r>
      <w:r w:rsidRPr="007B666A">
        <w:t>EU while strengthening its ability to withstand Russia’s ongoing war of aggression. Here, immediate needs and long-term strategic interests are closely aligned.</w:t>
      </w:r>
    </w:p>
    <w:p w14:paraId="0943C1FB" w14:textId="77777777" w:rsidR="007B666A" w:rsidRPr="007B666A" w:rsidDel="002B435F" w:rsidRDefault="007B666A" w:rsidP="007B666A">
      <w:pPr>
        <w:pStyle w:val="4body"/>
      </w:pPr>
      <w:r w:rsidRPr="007B666A">
        <w:t>Planning is thus equally important. As the EU moves towards more coordinated planning of its energy infrastructure, it should involve Ukraine from the outset. The country has an important role to play in Europe’s future energy security. Energy sector reform and integration into the European integration market should therefore proceed hand-in-hand.</w:t>
      </w:r>
    </w:p>
    <w:p w14:paraId="07756426" w14:textId="77777777" w:rsidR="007B666A" w:rsidRPr="007B666A" w:rsidDel="002B435F" w:rsidRDefault="007B666A" w:rsidP="007B666A">
      <w:pPr>
        <w:pStyle w:val="43subsubheading"/>
      </w:pPr>
      <w:r w:rsidRPr="007B666A">
        <w:t>HOW</w:t>
      </w:r>
    </w:p>
    <w:p w14:paraId="3D8FAE7E" w14:textId="77777777" w:rsidR="007B666A" w:rsidRPr="007B666A" w:rsidRDefault="007B666A" w:rsidP="007B666A">
      <w:pPr>
        <w:pStyle w:val="4body"/>
      </w:pPr>
      <w:r w:rsidRPr="007B666A">
        <w:t xml:space="preserve">Financing must extent focus from meeting Ukraine’s immediate survival needs to enabling its long-term recovery and prosperity, including the electrification of its economy. Most bilateral assistance so far has focused on maintenance, not long-term resilience. For example, by May 2026 the Ukraine energy support fund had raised almost </w:t>
      </w:r>
      <w:hyperlink r:id="rId35">
        <w:r w:rsidRPr="007B666A">
          <w:rPr>
            <w:rStyle w:val="Hyperlink"/>
          </w:rPr>
          <w:t>€2 billion</w:t>
        </w:r>
      </w:hyperlink>
      <w:r w:rsidRPr="007B666A">
        <w:t xml:space="preserve"> from European and other donors. Most of this money goes towards emergency repairs and sourcing equipment to maintain the existing grid. However, the scale of this funding is not yet matched by investment in new generating capacity, even when major reconstruction projects financed by the </w:t>
      </w:r>
      <w:hyperlink r:id="rId36">
        <w:r w:rsidRPr="007B666A">
          <w:rPr>
            <w:rStyle w:val="Hyperlink"/>
          </w:rPr>
          <w:t>EIB</w:t>
        </w:r>
      </w:hyperlink>
      <w:r w:rsidRPr="007B666A">
        <w:t xml:space="preserve">, </w:t>
      </w:r>
      <w:hyperlink r:id="rId37">
        <w:r w:rsidRPr="007B666A">
          <w:rPr>
            <w:rStyle w:val="Hyperlink"/>
          </w:rPr>
          <w:t>NEFCO</w:t>
        </w:r>
      </w:hyperlink>
      <w:r w:rsidRPr="007B666A">
        <w:t xml:space="preserve">, </w:t>
      </w:r>
      <w:hyperlink r:id="rId38">
        <w:r w:rsidRPr="007B666A">
          <w:rPr>
            <w:rStyle w:val="Hyperlink"/>
          </w:rPr>
          <w:t>EBRD</w:t>
        </w:r>
      </w:hyperlink>
      <w:r w:rsidRPr="007B666A">
        <w:t xml:space="preserve">, </w:t>
      </w:r>
      <w:hyperlink r:id="rId39">
        <w:r w:rsidRPr="007B666A">
          <w:rPr>
            <w:rStyle w:val="Hyperlink"/>
          </w:rPr>
          <w:t>World Bank</w:t>
        </w:r>
      </w:hyperlink>
      <w:r w:rsidRPr="007B666A">
        <w:t xml:space="preserve"> and other donor funds are taken into account.</w:t>
      </w:r>
    </w:p>
    <w:p w14:paraId="4C25E373" w14:textId="77777777" w:rsidR="007B666A" w:rsidRPr="007B666A" w:rsidDel="002B435F" w:rsidRDefault="007B666A" w:rsidP="007B666A">
      <w:pPr>
        <w:pStyle w:val="4body"/>
      </w:pPr>
      <w:r w:rsidRPr="007B666A">
        <w:t>On electrification, Ukraine should be supported in line with the EU’s own priorities, including the Electrification Action Plan and the Clean Industrial Deal. This would ensure that reconstruction is aligned with the transition to an electrified economy, particularly in industry. Funding should not focus solely on infrastructure and generation, but also on storage, distributed demand and the electrification of heating and transport.</w:t>
      </w:r>
    </w:p>
    <w:p w14:paraId="64939E26" w14:textId="77777777" w:rsidR="007B666A" w:rsidRPr="007B666A" w:rsidDel="002B435F" w:rsidRDefault="007B666A" w:rsidP="007B666A">
      <w:pPr>
        <w:pStyle w:val="4body"/>
      </w:pPr>
      <w:r w:rsidRPr="007B666A">
        <w:t xml:space="preserve">On planning, the lessons from Ukraine, particularly the vulnerabilities of centralised energy infrastructure, should be fully integrated into the EU’s long-term grid planning, including the </w:t>
      </w:r>
      <w:hyperlink r:id="rId40">
        <w:r w:rsidRPr="007B666A">
          <w:rPr>
            <w:rStyle w:val="Hyperlink"/>
          </w:rPr>
          <w:t>EU’s Energy Highways initiative</w:t>
        </w:r>
      </w:hyperlink>
      <w:r w:rsidRPr="007B666A">
        <w:t xml:space="preserve">. While the TEN-E Regulation provides for projects of mutual interest (PMIs), allowing Ukraine to participate as a member of the energy community, this framework is not designed to support either the holistic reconstruction of Ukraine’s energy system or its integration into the EU’s energy </w:t>
      </w:r>
      <w:r w:rsidRPr="007B666A">
        <w:lastRenderedPageBreak/>
        <w:t xml:space="preserve">market. Given its considerable natural resources, Ukraine should be treated as a central pillar of energy security in Central and Eastern Europe (CEE), rather than as simply a partner.  </w:t>
      </w:r>
    </w:p>
    <w:p w14:paraId="0E26FCD0" w14:textId="77777777" w:rsidR="007B666A" w:rsidRPr="007B666A" w:rsidDel="002B435F" w:rsidRDefault="007B666A" w:rsidP="007B666A">
      <w:pPr>
        <w:pStyle w:val="4body"/>
      </w:pPr>
      <w:r w:rsidRPr="007B666A">
        <w:t xml:space="preserve">Finally, the EU should maintain and deepen the structured exchange with Ukraine on energy system resilience and renewable energy integration. Ukraine has much to contribute, but also a lot to learn. While this already takes place to some extent within the European Network of Transmission System Operators (ENTSO-E) the debate must broaden from recommendations drawn from lessons learned and best practices towards developing binding guidelines inscribed in EU regulations. These will eventually apply also to Ukraine as part of the EU </w:t>
      </w:r>
      <w:r w:rsidRPr="007B666A">
        <w:rPr>
          <w:i/>
        </w:rPr>
        <w:t>acquis</w:t>
      </w:r>
      <w:r w:rsidRPr="007B666A">
        <w:t>.</w:t>
      </w:r>
    </w:p>
    <w:p w14:paraId="08BD6559" w14:textId="77777777" w:rsidR="007B666A" w:rsidRPr="007B666A" w:rsidDel="002B435F" w:rsidRDefault="007B666A" w:rsidP="007B666A">
      <w:pPr>
        <w:pStyle w:val="4body"/>
      </w:pPr>
    </w:p>
    <w:p w14:paraId="64E5BA22" w14:textId="77777777" w:rsidR="007B666A" w:rsidRPr="007B666A" w:rsidRDefault="007B666A" w:rsidP="007B666A">
      <w:pPr>
        <w:pStyle w:val="4body"/>
      </w:pPr>
    </w:p>
    <w:p w14:paraId="0697E367" w14:textId="77777777" w:rsidR="008A0735" w:rsidRPr="00830AF6" w:rsidRDefault="008A0735" w:rsidP="007B666A">
      <w:pPr>
        <w:pStyle w:val="4body"/>
        <w:sectPr w:rsidR="008A0735" w:rsidRPr="00830AF6" w:rsidSect="008A0735">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0B7EA9BC" w14:textId="267E66A0" w:rsidR="0022337A" w:rsidRPr="00295B10" w:rsidRDefault="009D4974" w:rsidP="0022337A">
      <w:pPr>
        <w:pStyle w:val="41mainheading"/>
        <w:rPr>
          <w:lang w:val="en-GB"/>
        </w:rPr>
      </w:pPr>
      <w:r w:rsidRPr="009D4974">
        <w:rPr>
          <w:lang w:val="en-GB"/>
        </w:rPr>
        <w:lastRenderedPageBreak/>
        <w:t>Transatlantic cards</w:t>
      </w:r>
    </w:p>
    <w:p w14:paraId="15423890" w14:textId="766EDBCC" w:rsidR="0022337A" w:rsidRPr="005870CF" w:rsidRDefault="00ED5124" w:rsidP="0022337A">
      <w:pPr>
        <w:pStyle w:val="42subheading"/>
        <w:rPr>
          <w:lang w:val="en-GB"/>
        </w:rPr>
      </w:pPr>
      <w:r w:rsidRPr="00ED5124">
        <w:rPr>
          <w:lang w:val="en-GB"/>
        </w:rPr>
        <w:t>How the EU can turn Trump’s pro-Ukraine moment into concrete action</w:t>
      </w:r>
    </w:p>
    <w:p w14:paraId="2880A6AF" w14:textId="77777777" w:rsidR="0022337A" w:rsidRPr="00CD2915" w:rsidRDefault="0022337A" w:rsidP="0022337A">
      <w:pPr>
        <w:pStyle w:val="31by"/>
        <w:framePr w:hSpace="0" w:wrap="auto" w:vAnchor="margin" w:hAnchor="text" w:xAlign="left" w:yAlign="inline"/>
        <w:ind w:left="0"/>
        <w:rPr>
          <w:lang/>
        </w:rPr>
      </w:pPr>
      <w:r>
        <w:rPr>
          <w:lang/>
        </w:rPr>
        <w:t xml:space="preserve">by </w:t>
      </w:r>
    </w:p>
    <w:p w14:paraId="6A874E28" w14:textId="4F48825C" w:rsidR="0022337A" w:rsidRDefault="00960197" w:rsidP="0022337A">
      <w:pPr>
        <w:pStyle w:val="32author"/>
        <w:framePr w:hSpace="0" w:wrap="auto" w:vAnchor="margin" w:hAnchor="text" w:xAlign="left" w:yAlign="inline"/>
        <w:ind w:left="0"/>
      </w:pPr>
      <w:r w:rsidRPr="00960197">
        <w:t>Giuseppe Spatafora</w:t>
      </w:r>
    </w:p>
    <w:p w14:paraId="63CE326A" w14:textId="77777777" w:rsidR="0022337A" w:rsidRDefault="0022337A" w:rsidP="0022337A">
      <w:pPr>
        <w:spacing w:line="276" w:lineRule="auto"/>
        <w:jc w:val="both"/>
        <w:rPr>
          <w:rFonts w:ascii="Calibri" w:eastAsia="Calibri" w:hAnsi="Calibri" w:cs="Calibri"/>
        </w:rPr>
      </w:pPr>
    </w:p>
    <w:p w14:paraId="56C67635" w14:textId="77777777" w:rsidR="002C7A2B" w:rsidRPr="002C7A2B" w:rsidRDefault="002C7A2B" w:rsidP="002C7A2B">
      <w:pPr>
        <w:pStyle w:val="4body"/>
      </w:pPr>
      <w:r w:rsidRPr="002C7A2B">
        <w:t>While President Trump currently seems more favourably disposed towards Kyiv’s cause, this is unlikely to last. The president is prone to changing his mind, and his new-found sympathy may not necessarily translate into material support for Kyiv – despite the recent decision to let Kyiv produce Patriot interceptors. The EU must seize the window of opportunity opened by Trump’s change of mind before it closes, securing concrete commitments such as pressure on Russia, new support to Kyiv and the production of critical US defence systems for Ukraine in Europe.</w:t>
      </w:r>
    </w:p>
    <w:p w14:paraId="3BBEAC37" w14:textId="77777777" w:rsidR="002C7A2B" w:rsidRPr="002C7A2B" w:rsidRDefault="002C7A2B" w:rsidP="002C7A2B">
      <w:pPr>
        <w:pStyle w:val="43subsubheading"/>
      </w:pPr>
      <w:r w:rsidRPr="002C7A2B">
        <w:t>WHY</w:t>
      </w:r>
    </w:p>
    <w:p w14:paraId="1CE18AFB" w14:textId="77777777" w:rsidR="002C7A2B" w:rsidRPr="002C7A2B" w:rsidRDefault="002C7A2B" w:rsidP="002C7A2B">
      <w:pPr>
        <w:pStyle w:val="4body"/>
      </w:pPr>
      <w:r w:rsidRPr="002C7A2B">
        <w:t xml:space="preserve">The US </w:t>
      </w:r>
      <w:hyperlink r:id="rId41">
        <w:r w:rsidRPr="002C7A2B">
          <w:rPr>
            <w:rStyle w:val="Hyperlink"/>
          </w:rPr>
          <w:t>announced</w:t>
        </w:r>
      </w:hyperlink>
      <w:r w:rsidRPr="002C7A2B">
        <w:t xml:space="preserve"> in May that it was pausing its efforts to mediate between Russia and Ukraine, indicating frustration at the lack of progress in talks, particularly Russia’s unwillingness to engage. President Trump argued that Putin </w:t>
      </w:r>
      <w:r w:rsidRPr="002C7A2B">
        <w:t>should ‘</w:t>
      </w:r>
      <w:hyperlink r:id="rId42">
        <w:r w:rsidRPr="002C7A2B">
          <w:rPr>
            <w:rStyle w:val="Hyperlink"/>
          </w:rPr>
          <w:t>make a deal’</w:t>
        </w:r>
      </w:hyperlink>
      <w:r w:rsidRPr="002C7A2B">
        <w:t>, using language that was previously reserved for Zelensky.</w:t>
      </w:r>
    </w:p>
    <w:p w14:paraId="139D8039" w14:textId="77777777" w:rsidR="002C7A2B" w:rsidRPr="002C7A2B" w:rsidRDefault="002C7A2B" w:rsidP="002C7A2B">
      <w:pPr>
        <w:pStyle w:val="4body"/>
      </w:pPr>
      <w:r w:rsidRPr="002C7A2B">
        <w:t xml:space="preserve">However, this situation may not last. Washington’s interest in Ukraine has experienced ebbs and flows before. Ukraine is not a priority for US strategy. The White House has yet to confirm the security guarantees that US negotiators </w:t>
      </w:r>
      <w:hyperlink r:id="rId43">
        <w:r w:rsidRPr="002C7A2B">
          <w:rPr>
            <w:rStyle w:val="Hyperlink"/>
          </w:rPr>
          <w:t>agreed</w:t>
        </w:r>
      </w:hyperlink>
      <w:r w:rsidRPr="002C7A2B">
        <w:t xml:space="preserve"> in January 2026. Personal dynamics, like Trump’s animosity towards Zelensky and affinity with Putin, could also resurface. Moreover, the war against Iran is likely to further reduce US support to Ukraine, as the need to replenish US stockpiles will </w:t>
      </w:r>
      <w:hyperlink r:id="rId44">
        <w:r w:rsidRPr="002C7A2B">
          <w:rPr>
            <w:rStyle w:val="Hyperlink"/>
          </w:rPr>
          <w:t>delay weapons deliveries</w:t>
        </w:r>
      </w:hyperlink>
      <w:r w:rsidRPr="002C7A2B">
        <w:t xml:space="preserve"> to Kyiv. The announcement that the US is pausing its mediation efforts also reinforces concerns about a broader disengagement. </w:t>
      </w:r>
    </w:p>
    <w:p w14:paraId="1C4CD7A9" w14:textId="77777777" w:rsidR="002C7A2B" w:rsidRPr="002C7A2B" w:rsidRDefault="002C7A2B" w:rsidP="002C7A2B">
      <w:pPr>
        <w:pStyle w:val="4body"/>
      </w:pPr>
      <w:r w:rsidRPr="002C7A2B">
        <w:t xml:space="preserve">This would harm both Ukraine and the EU. Despite Ukraine’s recent military successes, growing indigenous production and new ideas to </w:t>
      </w:r>
      <w:hyperlink r:id="rId45">
        <w:r w:rsidRPr="002C7A2B">
          <w:rPr>
            <w:rStyle w:val="Hyperlink"/>
          </w:rPr>
          <w:t>replace US systems</w:t>
        </w:r>
      </w:hyperlink>
      <w:r w:rsidRPr="002C7A2B">
        <w:t xml:space="preserve">, Kyiv cannot yet manage without external support. Europe cannot yet provide the air defence systems needed to protect Ukraine against Russia’s continuing </w:t>
      </w:r>
      <w:hyperlink r:id="rId46">
        <w:r w:rsidRPr="002C7A2B">
          <w:rPr>
            <w:rStyle w:val="Hyperlink"/>
          </w:rPr>
          <w:t>ballistic missile threat</w:t>
        </w:r>
      </w:hyperlink>
      <w:r w:rsidRPr="002C7A2B">
        <w:t>. And a possible US disengagement could further reduce Russia’s willingness to engage seriously in negotiations.</w:t>
      </w:r>
    </w:p>
    <w:p w14:paraId="7C143599" w14:textId="77777777" w:rsidR="002C7A2B" w:rsidRPr="002C7A2B" w:rsidRDefault="002C7A2B" w:rsidP="002C7A2B">
      <w:pPr>
        <w:pStyle w:val="43subsubheading"/>
      </w:pPr>
      <w:r w:rsidRPr="002C7A2B">
        <w:lastRenderedPageBreak/>
        <w:t>WHAT</w:t>
      </w:r>
    </w:p>
    <w:p w14:paraId="2E592F76" w14:textId="77777777" w:rsidR="002C7A2B" w:rsidRPr="002C7A2B" w:rsidRDefault="002C7A2B" w:rsidP="002C7A2B">
      <w:pPr>
        <w:pStyle w:val="4body"/>
      </w:pPr>
      <w:r w:rsidRPr="002C7A2B">
        <w:t xml:space="preserve">While this state of affairs may be short-lived, it creates a window of opportunity that Europe must exploit to pressure the administration. </w:t>
      </w:r>
    </w:p>
    <w:p w14:paraId="2E7E8587" w14:textId="77777777" w:rsidR="002C7A2B" w:rsidRPr="002C7A2B" w:rsidRDefault="002C7A2B" w:rsidP="002C7A2B">
      <w:pPr>
        <w:pStyle w:val="4body"/>
      </w:pPr>
      <w:r w:rsidRPr="002C7A2B">
        <w:t xml:space="preserve">First, Europe should convince the US to double down pressure on Russia rather than walking away from the conflict. It should appeal to Trump’s desire to end the war and convey the message that this is now feasible: unlike last year, Russia faces mounting </w:t>
      </w:r>
      <w:hyperlink r:id="rId47">
        <w:r w:rsidRPr="002C7A2B">
          <w:rPr>
            <w:rStyle w:val="Hyperlink"/>
          </w:rPr>
          <w:t>domestic</w:t>
        </w:r>
      </w:hyperlink>
      <w:r w:rsidRPr="002C7A2B">
        <w:t xml:space="preserve"> and </w:t>
      </w:r>
      <w:hyperlink r:id="rId48">
        <w:r w:rsidRPr="002C7A2B">
          <w:rPr>
            <w:rStyle w:val="Hyperlink"/>
          </w:rPr>
          <w:t>economic</w:t>
        </w:r>
      </w:hyperlink>
      <w:r w:rsidRPr="002C7A2B">
        <w:t xml:space="preserve"> difficulties, alongside military pressure from Ukraine. Under the current conditions, tightening sanctions on Russia could alter Putin’s calculus and force him to engage seriously in negotiations. </w:t>
      </w:r>
    </w:p>
    <w:p w14:paraId="46D566B5" w14:textId="77777777" w:rsidR="002C7A2B" w:rsidRPr="002C7A2B" w:rsidRDefault="002C7A2B" w:rsidP="002C7A2B">
      <w:pPr>
        <w:pStyle w:val="4body"/>
      </w:pPr>
      <w:r w:rsidRPr="002C7A2B">
        <w:t xml:space="preserve">Second, Europe must make a business case for why supporting Ukraine is in the US’s best interests. European messaging should focus on themes that appeal to Trump’s transactional instincts:  a peaceful Ukraine will enable good return on investments, including for </w:t>
      </w:r>
      <w:commentRangeStart w:id="1"/>
      <w:r w:rsidRPr="002C7A2B">
        <w:t>US companies</w:t>
      </w:r>
      <w:commentRangeEnd w:id="1"/>
      <w:r w:rsidRPr="002C7A2B">
        <w:rPr>
          <w:rStyle w:val="CommentReference"/>
          <w:sz w:val="18"/>
          <w:szCs w:val="24"/>
        </w:rPr>
        <w:commentReference w:id="1"/>
      </w:r>
      <w:r w:rsidRPr="002C7A2B">
        <w:t>; a strong Ukraine facilitates burden-shifting, helping the US deal with the ‘</w:t>
      </w:r>
      <w:hyperlink r:id="rId53">
        <w:r w:rsidRPr="002C7A2B">
          <w:rPr>
            <w:rStyle w:val="Hyperlink"/>
          </w:rPr>
          <w:t>simultaneity problem</w:t>
        </w:r>
      </w:hyperlink>
      <w:r w:rsidRPr="002C7A2B">
        <w:t xml:space="preserve">’; and a Ukraine embedded in the Western economic and security structures will share its </w:t>
      </w:r>
      <w:hyperlink r:id="rId54">
        <w:r w:rsidRPr="002C7A2B">
          <w:rPr>
            <w:rStyle w:val="Hyperlink"/>
          </w:rPr>
          <w:t>innovation</w:t>
        </w:r>
      </w:hyperlink>
      <w:r w:rsidRPr="002C7A2B">
        <w:t xml:space="preserve"> experience with allies.  </w:t>
      </w:r>
    </w:p>
    <w:p w14:paraId="03D1FF5B" w14:textId="77777777" w:rsidR="002C7A2B" w:rsidRPr="002C7A2B" w:rsidRDefault="002C7A2B" w:rsidP="002C7A2B">
      <w:pPr>
        <w:pStyle w:val="4body"/>
      </w:pPr>
      <w:r w:rsidRPr="002C7A2B">
        <w:t xml:space="preserve">Third, Europe should ensure a continued flow of essential US weapons for Ukraine. However, they should </w:t>
      </w:r>
      <w:r w:rsidRPr="002C7A2B">
        <w:rPr>
          <w:i/>
        </w:rPr>
        <w:t>not</w:t>
      </w:r>
      <w:r w:rsidRPr="002C7A2B">
        <w:t xml:space="preserve"> rely on placing orders through initiatives like PURL or  </w:t>
      </w:r>
      <w:hyperlink r:id="rId55" w:history="1">
        <w:r w:rsidRPr="002C7A2B">
          <w:rPr>
            <w:rStyle w:val="Hyperlink"/>
          </w:rPr>
          <w:t>JUMPSTART</w:t>
        </w:r>
      </w:hyperlink>
      <w:r w:rsidRPr="002C7A2B">
        <w:t xml:space="preserve">: severe production bottlenecks in the US defence industrial base would not result in quick deliveries. Instead, Europeans should encourage US companies to manufacture key equipment for Ukraine’s defence in Europe – or even in Ukraine itself, as Zelensky has </w:t>
      </w:r>
      <w:hyperlink r:id="rId56">
        <w:r w:rsidRPr="002C7A2B">
          <w:rPr>
            <w:rStyle w:val="Hyperlink"/>
          </w:rPr>
          <w:t>suggested</w:t>
        </w:r>
      </w:hyperlink>
      <w:r w:rsidRPr="002C7A2B">
        <w:t xml:space="preserve">.  Although offshore production is at odds with their broader domestic reindustrialisation agenda, the Trump administration might be more receptive to the idea. Trump himself has signalled </w:t>
      </w:r>
      <w:hyperlink r:id="rId57">
        <w:r w:rsidRPr="002C7A2B">
          <w:rPr>
            <w:rStyle w:val="Hyperlink"/>
          </w:rPr>
          <w:t>interest</w:t>
        </w:r>
      </w:hyperlink>
      <w:r w:rsidRPr="002C7A2B">
        <w:t xml:space="preserve"> in producing in Europe. In May, the US Department of State authorised Poland to produce </w:t>
      </w:r>
      <w:hyperlink r:id="rId58">
        <w:r w:rsidRPr="002C7A2B">
          <w:rPr>
            <w:rStyle w:val="Hyperlink"/>
          </w:rPr>
          <w:t>PAC-3</w:t>
        </w:r>
      </w:hyperlink>
      <w:r w:rsidRPr="002C7A2B">
        <w:t xml:space="preserve"> interceptors, and at the NATO summit, Trump gave Ukraine </w:t>
      </w:r>
      <w:hyperlink r:id="rId59">
        <w:r w:rsidRPr="002C7A2B">
          <w:rPr>
            <w:rStyle w:val="Hyperlink"/>
          </w:rPr>
          <w:t>green light</w:t>
        </w:r>
      </w:hyperlink>
      <w:r w:rsidRPr="002C7A2B">
        <w:t xml:space="preserve"> to do the same. Manufacturing in Europe would free capacity in the US defence industrial base, enabling US companies to meet the Pentagon’s growing demand.</w:t>
      </w:r>
    </w:p>
    <w:p w14:paraId="2A3DF21E" w14:textId="77777777" w:rsidR="002C7A2B" w:rsidRPr="002C7A2B" w:rsidRDefault="002C7A2B" w:rsidP="002C7A2B">
      <w:pPr>
        <w:pStyle w:val="4body"/>
        <w:rPr>
          <w:b/>
        </w:rPr>
      </w:pPr>
      <w:r w:rsidRPr="002C7A2B">
        <w:t xml:space="preserve">Establishing these production lines would also serve the commercial interests of US companies </w:t>
      </w:r>
      <w:r w:rsidRPr="002C7A2B">
        <w:t xml:space="preserve">seeking to benefit from Europe’s rising defence spending. The </w:t>
      </w:r>
      <w:hyperlink r:id="rId60">
        <w:r w:rsidRPr="002C7A2B">
          <w:rPr>
            <w:rStyle w:val="Hyperlink"/>
          </w:rPr>
          <w:t>Rheinmetall-Lockheed</w:t>
        </w:r>
      </w:hyperlink>
      <w:r w:rsidRPr="002C7A2B">
        <w:t xml:space="preserve"> partnership to produce ATACAMS missiles, or the </w:t>
      </w:r>
      <w:hyperlink r:id="rId61">
        <w:r w:rsidRPr="002C7A2B">
          <w:rPr>
            <w:rStyle w:val="Hyperlink"/>
          </w:rPr>
          <w:t>Raytheon-MBDA</w:t>
        </w:r>
      </w:hyperlink>
      <w:r w:rsidRPr="002C7A2B">
        <w:t xml:space="preserve"> Patriot factory in Germany, offer useful models for cooperation. However, any agreement should clearly stipulate that systems produced in Europe and duly paid for by Europeans should be destined for Ukraine and cannot be moved by the US government to other theatres. If companies want to tap into Europe’s growing defence investments, they will need to agree these terms. Otherwise, they are likely to lose access to European money, as governments become less willing to buy US weapons, fearing that they might be redirected elsewhere.</w:t>
      </w:r>
    </w:p>
    <w:p w14:paraId="257E3B3F" w14:textId="77777777" w:rsidR="002C7A2B" w:rsidRPr="002C7A2B" w:rsidRDefault="002C7A2B" w:rsidP="002C7A2B">
      <w:pPr>
        <w:pStyle w:val="43subsubheading"/>
      </w:pPr>
      <w:r w:rsidRPr="002C7A2B">
        <w:t>HOW</w:t>
      </w:r>
    </w:p>
    <w:p w14:paraId="76B3AB43" w14:textId="77777777" w:rsidR="002C7A2B" w:rsidRPr="002C7A2B" w:rsidRDefault="002C7A2B" w:rsidP="002C7A2B">
      <w:pPr>
        <w:pStyle w:val="4body"/>
      </w:pPr>
      <w:r w:rsidRPr="002C7A2B">
        <w:t xml:space="preserve">The EU can play the following cards to advance these goals. </w:t>
      </w:r>
    </w:p>
    <w:p w14:paraId="65BE1F33" w14:textId="77777777" w:rsidR="002C7A2B" w:rsidRPr="002C7A2B" w:rsidRDefault="002C7A2B" w:rsidP="002C7A2B">
      <w:pPr>
        <w:pStyle w:val="4body"/>
      </w:pPr>
      <w:r w:rsidRPr="002C7A2B">
        <w:t xml:space="preserve">First, European governments and the EU should make full use of their contacts across the US political system to amplify the case for continued cooperation on Ukraine and sanctions against Russia. Several influential groups within the President’s circle are also on Ukraine’s side. Congress maintains a pro-Ukrainian position, as demonstrated by the passage of the </w:t>
      </w:r>
      <w:hyperlink r:id="rId62">
        <w:r w:rsidRPr="002C7A2B">
          <w:rPr>
            <w:rStyle w:val="Hyperlink"/>
          </w:rPr>
          <w:t>Ukraine Support Act</w:t>
        </w:r>
      </w:hyperlink>
      <w:r w:rsidRPr="002C7A2B">
        <w:t xml:space="preserve"> in the Senate, and a new push for the </w:t>
      </w:r>
      <w:hyperlink r:id="rId63">
        <w:r w:rsidRPr="002C7A2B">
          <w:rPr>
            <w:rStyle w:val="Hyperlink"/>
          </w:rPr>
          <w:t>Russian sanctions bill</w:t>
        </w:r>
      </w:hyperlink>
      <w:r w:rsidRPr="002C7A2B">
        <w:t xml:space="preserve"> in the Senate. Trump’s base has grown more critical of Russia: the share of Republicans who see Russia as an enemy has </w:t>
      </w:r>
      <w:hyperlink r:id="rId64">
        <w:r w:rsidRPr="002C7A2B">
          <w:rPr>
            <w:rStyle w:val="Hyperlink"/>
          </w:rPr>
          <w:t>risen</w:t>
        </w:r>
      </w:hyperlink>
      <w:r w:rsidRPr="002C7A2B">
        <w:t xml:space="preserve"> from 40% to 47% in a year. Even MAGA influencers close to Trump have </w:t>
      </w:r>
      <w:hyperlink r:id="rId65">
        <w:r w:rsidRPr="002C7A2B">
          <w:rPr>
            <w:rStyle w:val="Hyperlink"/>
          </w:rPr>
          <w:t>distanced themselves from the Kremlin</w:t>
        </w:r>
      </w:hyperlink>
      <w:r w:rsidRPr="002C7A2B">
        <w:t xml:space="preserve">, arguing that Russia has been spreading disinformation. </w:t>
      </w:r>
    </w:p>
    <w:p w14:paraId="49BFDD17" w14:textId="77777777" w:rsidR="002C7A2B" w:rsidRPr="002C7A2B" w:rsidRDefault="002C7A2B" w:rsidP="002C7A2B">
      <w:pPr>
        <w:pStyle w:val="4body"/>
      </w:pPr>
      <w:r w:rsidRPr="002C7A2B">
        <w:t xml:space="preserve">Second, it should use the approved €90 billion support loan as leverage to persuade US companies to produce in Europe. Under the </w:t>
      </w:r>
      <w:hyperlink r:id="rId66">
        <w:r w:rsidRPr="002C7A2B">
          <w:rPr>
            <w:rStyle w:val="Hyperlink"/>
          </w:rPr>
          <w:t>terms of the loan</w:t>
        </w:r>
      </w:hyperlink>
      <w:r w:rsidRPr="002C7A2B">
        <w:t xml:space="preserve">, defence products should in principle be procured only from companies based in the EU, Ukraine or EEA-EFTA countries, with only limited control by third-country parties. To make US companies eligible for funding, they must set up production facilities in Europe. To ensure control is not entirely in the hands of non-European entities, they should set up </w:t>
      </w:r>
      <w:commentRangeStart w:id="2"/>
      <w:r w:rsidRPr="002C7A2B">
        <w:t xml:space="preserve">joint ventures </w:t>
      </w:r>
      <w:commentRangeEnd w:id="2"/>
      <w:r w:rsidRPr="002C7A2B">
        <w:rPr>
          <w:rStyle w:val="CommentReference"/>
          <w:sz w:val="18"/>
          <w:szCs w:val="24"/>
        </w:rPr>
        <w:commentReference w:id="2"/>
      </w:r>
      <w:r w:rsidRPr="002C7A2B">
        <w:t xml:space="preserve">with European counterparts. </w:t>
      </w:r>
      <w:commentRangeStart w:id="3"/>
      <w:r w:rsidRPr="002C7A2B">
        <w:t xml:space="preserve">Concerns among some Member States about spending EU funds on US systems could also be allayed if production were based in Europe. Establishing new facilities would help strengthen Europe’s </w:t>
      </w:r>
      <w:r w:rsidRPr="002C7A2B">
        <w:lastRenderedPageBreak/>
        <w:t xml:space="preserve">defence industrial base, create skilled jobs and facilitate technology transfer through joint ventures. </w:t>
      </w:r>
      <w:commentRangeEnd w:id="3"/>
      <w:r w:rsidRPr="002C7A2B">
        <w:rPr>
          <w:rStyle w:val="CommentReference"/>
          <w:sz w:val="18"/>
          <w:szCs w:val="24"/>
        </w:rPr>
        <w:commentReference w:id="3"/>
      </w:r>
    </w:p>
    <w:p w14:paraId="609194F8" w14:textId="77777777" w:rsidR="002C7A2B" w:rsidRPr="002C7A2B" w:rsidRDefault="002C7A2B" w:rsidP="002C7A2B">
      <w:pPr>
        <w:pStyle w:val="4body"/>
        <w:rPr>
          <w:u w:val="single"/>
        </w:rPr>
      </w:pPr>
      <w:r w:rsidRPr="002C7A2B">
        <w:t xml:space="preserve">Third, Europe should capitalise on its growing links with Ukraine’s innovation ecosystem. The US presence in Ukraine remains </w:t>
      </w:r>
      <w:hyperlink r:id="rId67" w:anchor=":~:text=America%20has%20found%20learning%20this%20way%20harder%2C%20in%20part%20because%20it%20has%20placed%20very%20few%20soldiers%20inside%20Ukraine.">
        <w:r w:rsidRPr="002C7A2B">
          <w:rPr>
            <w:rStyle w:val="Hyperlink"/>
          </w:rPr>
          <w:t>too limited</w:t>
        </w:r>
      </w:hyperlink>
      <w:r w:rsidRPr="002C7A2B">
        <w:t xml:space="preserve"> to capture the full range of innovations emerging from the battlefield. In contrast, European countries and the </w:t>
      </w:r>
      <w:hyperlink r:id="rId68">
        <w:r w:rsidRPr="002C7A2B">
          <w:rPr>
            <w:rStyle w:val="Hyperlink"/>
          </w:rPr>
          <w:t>EU</w:t>
        </w:r>
      </w:hyperlink>
      <w:r w:rsidRPr="002C7A2B">
        <w:t xml:space="preserve"> are building extensive links with Ukrainian counterparts, learning more lessons than the US, and adapting their forces. They should exchange these lessons with US officials in exchange for continued military support.</w:t>
      </w:r>
      <w:r w:rsidRPr="002C7A2B" w:rsidDel="00CE34E0">
        <w:t xml:space="preserve"> </w:t>
      </w:r>
    </w:p>
    <w:p w14:paraId="4C0CD139" w14:textId="77777777" w:rsidR="002C7A2B" w:rsidRPr="002C7A2B" w:rsidRDefault="002C7A2B" w:rsidP="002C7A2B">
      <w:pPr>
        <w:pStyle w:val="4body"/>
      </w:pPr>
      <w:r w:rsidRPr="002C7A2B">
        <w:t xml:space="preserve">While none of the proposals above will change the fundamental problem – US unpredictability – they would allow Europe and Ukraine to make the most of the current window of opportunity. </w:t>
      </w:r>
    </w:p>
    <w:p w14:paraId="5FDA0759" w14:textId="77777777" w:rsidR="0022337A" w:rsidRPr="00960197" w:rsidRDefault="0022337A" w:rsidP="00960197">
      <w:pPr>
        <w:pStyle w:val="4body"/>
        <w:sectPr w:rsidR="0022337A" w:rsidRPr="00960197" w:rsidSect="0022337A">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0F869B4D" w14:textId="39A8D949" w:rsidR="00010D5B" w:rsidRPr="00295B10" w:rsidRDefault="00BE23A6" w:rsidP="00010D5B">
      <w:pPr>
        <w:pStyle w:val="41mainheading"/>
        <w:rPr>
          <w:lang w:val="en-GB"/>
        </w:rPr>
      </w:pPr>
      <w:r w:rsidRPr="00BE23A6">
        <w:rPr>
          <w:lang w:val="en-GB"/>
        </w:rPr>
        <w:lastRenderedPageBreak/>
        <w:t>Defence Integration Booster</w:t>
      </w:r>
    </w:p>
    <w:p w14:paraId="3A009F7B" w14:textId="24842CDC" w:rsidR="00010D5B" w:rsidRPr="005870CF" w:rsidRDefault="008715B2" w:rsidP="00010D5B">
      <w:pPr>
        <w:pStyle w:val="42subheading"/>
        <w:rPr>
          <w:lang w:val="en-GB"/>
        </w:rPr>
      </w:pPr>
      <w:r w:rsidRPr="008715B2">
        <w:rPr>
          <w:lang w:val="en-GB"/>
        </w:rPr>
        <w:t>Better use of joint ventures can accelerate Ukraine’s integration into the EU defence industrial base</w:t>
      </w:r>
    </w:p>
    <w:p w14:paraId="44F3089A" w14:textId="77777777" w:rsidR="00010D5B" w:rsidRPr="00CD2915" w:rsidRDefault="00010D5B" w:rsidP="00010D5B">
      <w:pPr>
        <w:pStyle w:val="31by"/>
        <w:framePr w:hSpace="0" w:wrap="auto" w:vAnchor="margin" w:hAnchor="text" w:xAlign="left" w:yAlign="inline"/>
        <w:ind w:left="0"/>
        <w:rPr>
          <w:lang/>
        </w:rPr>
      </w:pPr>
      <w:r>
        <w:rPr>
          <w:lang/>
        </w:rPr>
        <w:t xml:space="preserve">by </w:t>
      </w:r>
    </w:p>
    <w:p w14:paraId="3A9DCA65" w14:textId="1469AE28" w:rsidR="00010D5B" w:rsidRDefault="005E7881" w:rsidP="00010D5B">
      <w:pPr>
        <w:pStyle w:val="32author"/>
        <w:framePr w:hSpace="0" w:wrap="auto" w:vAnchor="margin" w:hAnchor="text" w:xAlign="left" w:yAlign="inline"/>
        <w:ind w:left="0"/>
      </w:pPr>
      <w:r w:rsidRPr="005E7881">
        <w:t>Ondrej Ditrych and Luigi Scazzieri</w:t>
      </w:r>
    </w:p>
    <w:p w14:paraId="526A6559" w14:textId="77777777" w:rsidR="00010D5B" w:rsidRDefault="00010D5B" w:rsidP="00010D5B">
      <w:pPr>
        <w:spacing w:line="276" w:lineRule="auto"/>
        <w:jc w:val="both"/>
        <w:rPr>
          <w:rFonts w:ascii="Calibri" w:eastAsia="Calibri" w:hAnsi="Calibri" w:cs="Calibri"/>
        </w:rPr>
      </w:pPr>
    </w:p>
    <w:p w14:paraId="5EF09EBA" w14:textId="77777777" w:rsidR="001D3A7A" w:rsidRPr="001D3A7A" w:rsidRDefault="001D3A7A" w:rsidP="001D3A7A">
      <w:pPr>
        <w:pStyle w:val="4body"/>
      </w:pPr>
      <w:r w:rsidRPr="001D3A7A">
        <w:t xml:space="preserve">The unique qualities of Ukraine’s defence industry are central to the success of its war effort. The industry will be key to maintain deterrence against Russia even once a sustained ceasefire is in place. Beyond security, it is also one of the most promising sectors for rebuilding Ukraine’s peacetime economy. </w:t>
      </w:r>
    </w:p>
    <w:p w14:paraId="50063DFB" w14:textId="77777777" w:rsidR="001D3A7A" w:rsidRPr="001D3A7A" w:rsidRDefault="001D3A7A" w:rsidP="001D3A7A">
      <w:pPr>
        <w:pStyle w:val="4body"/>
      </w:pPr>
      <w:r w:rsidRPr="001D3A7A">
        <w:t xml:space="preserve">The industry has transformed massively since 2022: it has undergone exponential growth while becoming a driver of innovation, in particular in uncrewed systems. However, Ukraine’s industry remains vulnerable to Russian attacks, and faces significant financing constraints. Moreover, a sustained ceasefire would create uncertainty over the future level of demand, which could lead to a contraction of the sector unless Ukraine develops export opportunities. </w:t>
      </w:r>
    </w:p>
    <w:p w14:paraId="1A849C0E" w14:textId="77777777" w:rsidR="001D3A7A" w:rsidRPr="001D3A7A" w:rsidRDefault="001D3A7A" w:rsidP="001D3A7A">
      <w:pPr>
        <w:pStyle w:val="4body"/>
      </w:pPr>
      <w:r w:rsidRPr="001D3A7A">
        <w:t>The EU is already doing much to foster Ukraine’s integration into Europe’s defence base, notably by giving Ukraine access to its defence funding instruments. In parallel, a growing number of partnerships are emerging at the industrial level between Ukrainian and EU firms and governments. The EU should give further momentum to this process by expanding and revamping its support measures. This contribution focuses on one specific dimension of that agenda: how EU-based joint ventures between European and Ukrainian firms can give Ukraine greater production depth, and improve its access to technology, capital, and European procurement markets.</w:t>
      </w:r>
    </w:p>
    <w:p w14:paraId="4000B361" w14:textId="77777777" w:rsidR="001D3A7A" w:rsidRPr="001D3A7A" w:rsidRDefault="001D3A7A" w:rsidP="001D3A7A">
      <w:pPr>
        <w:pStyle w:val="43subsubheading"/>
      </w:pPr>
      <w:r w:rsidRPr="001D3A7A">
        <w:t>WHY</w:t>
      </w:r>
    </w:p>
    <w:p w14:paraId="75EE70F8" w14:textId="77777777" w:rsidR="001D3A7A" w:rsidRPr="001D3A7A" w:rsidRDefault="001D3A7A" w:rsidP="001D3A7A">
      <w:pPr>
        <w:pStyle w:val="4body"/>
      </w:pPr>
      <w:r w:rsidRPr="001D3A7A">
        <w:t>Ukraine’s defence industry, once a pillar of Ukraine’s Soviet-era econom</w:t>
      </w:r>
      <w:r w:rsidRPr="001D3A7A">
        <w:rPr>
          <w:lang w:val="cs-CZ"/>
        </w:rPr>
        <w:t>y before falling into decades of decline,</w:t>
      </w:r>
      <w:r w:rsidRPr="001D3A7A">
        <w:t xml:space="preserve"> has undergone a remarkable revival since 2022. It is now one of the country’s most important wartime assets and could become a key driver of its peacetime economy. However, it faces two key vulnerabilities. First, production facilities in Ukraine remain exposed to Russian attacks. Second, a sustained ceasefire could lead to a fall in domestic procurement, leaving firms without sufficient demand and forcing them to downsize. This would result in a loss of production capacity, and make it more difficult to maintain the innovative edge that is Ukraine’s </w:t>
      </w:r>
      <w:r w:rsidRPr="001D3A7A">
        <w:lastRenderedPageBreak/>
        <w:t xml:space="preserve">unique strength. The economic costs would be considerable. Ukraine is on course to generate more income from arms exports in 2026 than it did prior to Russia’s full-scale invasion, and its overall production capacity </w:t>
      </w:r>
      <w:hyperlink r:id="rId69">
        <w:r w:rsidRPr="001D3A7A">
          <w:rPr>
            <w:rStyle w:val="Hyperlink"/>
          </w:rPr>
          <w:t>could</w:t>
        </w:r>
      </w:hyperlink>
      <w:r w:rsidRPr="001D3A7A">
        <w:t xml:space="preserve"> expand to USD </w:t>
      </w:r>
      <w:r w:rsidRPr="001D3A7A">
        <w:rPr>
          <w:lang w:val="cs-CZ"/>
        </w:rPr>
        <w:t>50 billion by 2028.</w:t>
      </w:r>
      <w:r w:rsidRPr="001D3A7A">
        <w:t xml:space="preserve"> A contraction of the industry could therefore undercut Ukraine’s economic recovery. In addition, it could also undermine its long-term ability to deter future Russian aggression.</w:t>
      </w:r>
    </w:p>
    <w:p w14:paraId="5770C70A" w14:textId="77777777" w:rsidR="001D3A7A" w:rsidRPr="001D3A7A" w:rsidRDefault="001D3A7A" w:rsidP="001D3A7A">
      <w:pPr>
        <w:pStyle w:val="4body"/>
      </w:pPr>
      <w:r w:rsidRPr="001D3A7A">
        <w:t xml:space="preserve">This makes integration into the European Defence Technological and Industrial Base (EDTIB) strategically important to empower Ukraine. European production capacity can provide added depth in the short term. Enhanced access to European procurement systems could unlock a major new source of funding and create sustained demand even in the event of a ceasefire. Moreover, partnering with European companies can provide Ukrainian firms with specific technology and know-how. However, the form of cooperation matters. Relocating a part of Ukrainian production to Europe may improve resilience, but it does not automatically provide access to European funding, technology, certification or procurement markets. Beyond the industrial dimension, deeper defence industrial cooperation and integration will further facilitate the inclusion of Ukraine in the European </w:t>
      </w:r>
      <w:hyperlink r:id="rId70">
        <w:r w:rsidRPr="001D3A7A">
          <w:rPr>
            <w:rStyle w:val="Hyperlink"/>
          </w:rPr>
          <w:t>security community</w:t>
        </w:r>
      </w:hyperlink>
      <w:r w:rsidRPr="001D3A7A">
        <w:t xml:space="preserve"> by fostering close collaboration in a sector that has traditionally remained highly nationalised.</w:t>
      </w:r>
    </w:p>
    <w:p w14:paraId="1C90A8AC" w14:textId="77777777" w:rsidR="001D3A7A" w:rsidRPr="001D3A7A" w:rsidRDefault="001D3A7A" w:rsidP="001D3A7A">
      <w:pPr>
        <w:pStyle w:val="43subsubheading"/>
      </w:pPr>
      <w:r w:rsidRPr="001D3A7A">
        <w:t>WHAT</w:t>
      </w:r>
    </w:p>
    <w:p w14:paraId="74A38062" w14:textId="77777777" w:rsidR="001D3A7A" w:rsidRPr="001D3A7A" w:rsidRDefault="001D3A7A" w:rsidP="001D3A7A">
      <w:pPr>
        <w:pStyle w:val="4body"/>
      </w:pPr>
      <w:r w:rsidRPr="001D3A7A">
        <w:t>To sustain the impressive development of its defence industry and maintain its competitive edge, Ukraine needs access to four things that Europe can provide: capital, production depth, access to key technologies and assured future demand. Accelerating Ukraine’s EDTIB integration should therefore focus on several parallel lines of action: facilitating access to funding, encouraging European firms to work in Ukraine, supporting Ukrainian firms operating in Europe, and fostering genuine partnerships between the two sides.</w:t>
      </w:r>
    </w:p>
    <w:p w14:paraId="3F812EC1" w14:textId="77777777" w:rsidR="001D3A7A" w:rsidRPr="001D3A7A" w:rsidRDefault="001D3A7A" w:rsidP="001D3A7A">
      <w:pPr>
        <w:pStyle w:val="4body"/>
      </w:pPr>
      <w:r w:rsidRPr="001D3A7A">
        <w:t xml:space="preserve">The EU should pursue integration along all these dimensions. Joint ventures (JVs) based in Europe, in which both European and Ukrainian companies contribute intellectual property or production know-how, can play a particularly important </w:t>
      </w:r>
      <w:r w:rsidRPr="001D3A7A">
        <w:t xml:space="preserve">role. They can deepen industrial partnerships while helping overcome key obstacles to cooperation. First, they offer a way around the reluctance of many European companies to establish production in Ukraine due to concerns about tech sharing, intellectual property and public procurement, as well as the risk posed to production facilities by Russian attacks. Producing more Ukrainian or Ukrainian-derived systems in Europe would help secure production, allow firms to draw on European industrial capacity, and attract greater European investment in Ukraine’ s defence industry. </w:t>
      </w:r>
    </w:p>
    <w:p w14:paraId="59EB8564" w14:textId="77777777" w:rsidR="001D3A7A" w:rsidRPr="001D3A7A" w:rsidRDefault="001D3A7A" w:rsidP="001D3A7A">
      <w:pPr>
        <w:pStyle w:val="4body"/>
      </w:pPr>
      <w:r w:rsidRPr="001D3A7A">
        <w:t xml:space="preserve">Second, despite its remarkable innovation, Ukraine still needs access to European technologies, components and systems-integration expertise in more complex capability areas such as air defence and deep strike. Joint ventures can bridge this gap by reducing the risks that often make European companies reluctant to share technology, particularly with partners based in Ukraine. </w:t>
      </w:r>
    </w:p>
    <w:p w14:paraId="3B694105" w14:textId="77777777" w:rsidR="001D3A7A" w:rsidRPr="001D3A7A" w:rsidRDefault="001D3A7A" w:rsidP="001D3A7A">
      <w:pPr>
        <w:pStyle w:val="4body"/>
      </w:pPr>
      <w:r w:rsidRPr="001D3A7A">
        <w:t>Third, EU-based joint ventures can help Ukrainian companies gain access to European and NATO procurement markets, which are essential for their long-term survival. European governments are increasing defence spending and becoming more open to broadening procurement to new players. However, Ukrainian products are not automatically easy for European governments to procure, even if a company wants to sell and has government backing. Joint ventures with European firms used to navigating NATO-standard procurement systems can help Ukrainian companies secure contracts and a funding stream. The prospect of export earnings may also be a powerful inducement for Ukrainian firms to persuade the government to grant export licences under the mechanism introduced in June to attract greater international investment.</w:t>
      </w:r>
    </w:p>
    <w:p w14:paraId="4FF021AD" w14:textId="77777777" w:rsidR="001D3A7A" w:rsidRPr="001D3A7A" w:rsidRDefault="001D3A7A" w:rsidP="001D3A7A">
      <w:pPr>
        <w:pStyle w:val="43subsubheading"/>
      </w:pPr>
      <w:r w:rsidRPr="001D3A7A">
        <w:t>HOW</w:t>
      </w:r>
    </w:p>
    <w:p w14:paraId="4A48C0EA" w14:textId="77777777" w:rsidR="001D3A7A" w:rsidRPr="001D3A7A" w:rsidRDefault="001D3A7A" w:rsidP="001D3A7A">
      <w:pPr>
        <w:pStyle w:val="4body"/>
      </w:pPr>
      <w:r w:rsidRPr="001D3A7A">
        <w:t xml:space="preserve">European firms are increasingly setting up operations in Ukraine, for example the successful Rheinmetall Ukrainian Defence Industry LLC. In parallel, Ukrainian companies like Firepoint are setting up production in Europe. Several EU governments, such as Denmark and the Netherlands, are actively encouraging partnerships with Ukrainian companies and production in Europe. Joint ventures are already </w:t>
      </w:r>
      <w:r w:rsidRPr="001D3A7A">
        <w:lastRenderedPageBreak/>
        <w:t>an important element of this cooperation architecture. For example, Auterion Airlogix, which combines Ukrainian and German expertise in AI, illustrates how such ventures can link Ukrainian firms with partners that bring capital, facilitate certification and systems integration and provide access to procurement opportunities.</w:t>
      </w:r>
    </w:p>
    <w:p w14:paraId="641DAD64" w14:textId="77777777" w:rsidR="001D3A7A" w:rsidRPr="001D3A7A" w:rsidRDefault="001D3A7A" w:rsidP="001D3A7A">
      <w:pPr>
        <w:pStyle w:val="4body"/>
      </w:pPr>
      <w:r w:rsidRPr="001D3A7A">
        <w:t xml:space="preserve">To encourage the wider use of joint ventures and make them more efficient, the EU could adapt its funding instruments to incentivise their creation. Currently, an EU-headquartered joint venture that combines European and Ukrainian technology to facilitate technology sharing, manage export controls and access the EU market is classified simply as a ‘European’ company and receives no particular support from the EU.  Future EU defence-industrial funding instruments could give greater weight to projects in which Ukrainian firms contribute core intellectual property or production know-how through European-incorporated joint ventures.  </w:t>
      </w:r>
    </w:p>
    <w:p w14:paraId="6191D41B" w14:textId="77777777" w:rsidR="001D3A7A" w:rsidRPr="001D3A7A" w:rsidRDefault="001D3A7A" w:rsidP="001D3A7A">
      <w:pPr>
        <w:pStyle w:val="4body"/>
      </w:pPr>
      <w:r w:rsidRPr="001D3A7A">
        <w:t>Beyond adjusting its instruments, the EU could help assemble funding packages for joint ventures. Past examples including Denmark’s €</w:t>
      </w:r>
      <w:r w:rsidRPr="001D3A7A">
        <w:rPr>
          <w:lang w:val="cs-CZ"/>
        </w:rPr>
        <w:t xml:space="preserve">67 million envelope show that establishing production facilities requires substantial public funding, as well as government backing to secure the necessary permits. The EU could help coordinate packages combining </w:t>
      </w:r>
      <w:r w:rsidRPr="001D3A7A">
        <w:t>host-state funding, EU financing, EIB finance for eligible dual-use elements and private capital. Moreover, the next Multiannual Financial Framework (MFF) could also include a dedicated EU defence-industrial budget line to encourage the creation of joint ventures.</w:t>
      </w:r>
      <w:r w:rsidRPr="001D3A7A">
        <w:rPr>
          <w:lang w:val="cs-CZ"/>
        </w:rPr>
        <w:t xml:space="preserve"> </w:t>
      </w:r>
    </w:p>
    <w:p w14:paraId="3282F689" w14:textId="77777777" w:rsidR="001D3A7A" w:rsidRPr="001D3A7A" w:rsidRDefault="001D3A7A" w:rsidP="001D3A7A">
      <w:pPr>
        <w:pStyle w:val="4body"/>
      </w:pPr>
      <w:r w:rsidRPr="001D3A7A">
        <w:t>Public support should also include clear demand signals. To help joint ventures scale up production, Member States should consider framework contracts and advance purchase commitments that would give firms the certainty needed to increase production capacity and attract private capital. To facilitate testing and certification, Member States should provide Ukrainian firms and Ukrainian-European partnerships, including EU-based joint ventures, with access to testing facilities.</w:t>
      </w:r>
    </w:p>
    <w:p w14:paraId="6538C0BB" w14:textId="77777777" w:rsidR="001D3A7A" w:rsidRPr="001D3A7A" w:rsidRDefault="001D3A7A" w:rsidP="001D3A7A">
      <w:pPr>
        <w:pStyle w:val="4body"/>
        <w:rPr>
          <w:lang w:val="cs-CZ"/>
        </w:rPr>
      </w:pPr>
    </w:p>
    <w:p w14:paraId="5253AE3C" w14:textId="00299395" w:rsidR="00010D5B" w:rsidRPr="001D3A7A" w:rsidRDefault="00010D5B" w:rsidP="00010D5B">
      <w:pPr>
        <w:pStyle w:val="4body"/>
        <w:rPr>
          <w:lang w:val="cs-CZ"/>
        </w:rPr>
      </w:pPr>
    </w:p>
    <w:p w14:paraId="6F5016B3" w14:textId="77777777" w:rsidR="00010D5B" w:rsidRPr="00960197" w:rsidRDefault="00010D5B" w:rsidP="00010D5B">
      <w:pPr>
        <w:pStyle w:val="4body"/>
        <w:sectPr w:rsidR="00010D5B" w:rsidRPr="00960197" w:rsidSect="00010D5B">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33CF52FE" w14:textId="77777777" w:rsidR="009A0B6B" w:rsidRPr="00295B10" w:rsidRDefault="009A0B6B" w:rsidP="009A0B6B">
      <w:pPr>
        <w:pStyle w:val="41mainheading"/>
        <w:rPr>
          <w:lang w:val="en-GB"/>
        </w:rPr>
      </w:pPr>
      <w:r w:rsidRPr="00BE23A6">
        <w:rPr>
          <w:lang w:val="en-GB"/>
        </w:rPr>
        <w:lastRenderedPageBreak/>
        <w:t>Defence Integration Booster</w:t>
      </w:r>
    </w:p>
    <w:p w14:paraId="33AFBB62" w14:textId="77777777" w:rsidR="009A0B6B" w:rsidRPr="005870CF" w:rsidRDefault="009A0B6B" w:rsidP="009A0B6B">
      <w:pPr>
        <w:pStyle w:val="42subheading"/>
        <w:rPr>
          <w:lang w:val="en-GB"/>
        </w:rPr>
      </w:pPr>
      <w:r w:rsidRPr="008715B2">
        <w:rPr>
          <w:lang w:val="en-GB"/>
        </w:rPr>
        <w:t>Better use of joint ventures can accelerate Ukraine’s integration into the EU defence industrial base</w:t>
      </w:r>
    </w:p>
    <w:p w14:paraId="77B46D29" w14:textId="77777777" w:rsidR="009A0B6B" w:rsidRPr="00CD2915" w:rsidRDefault="009A0B6B" w:rsidP="009A0B6B">
      <w:pPr>
        <w:pStyle w:val="31by"/>
        <w:framePr w:hSpace="0" w:wrap="auto" w:vAnchor="margin" w:hAnchor="text" w:xAlign="left" w:yAlign="inline"/>
        <w:ind w:left="0"/>
        <w:rPr>
          <w:lang/>
        </w:rPr>
      </w:pPr>
      <w:r>
        <w:rPr>
          <w:lang/>
        </w:rPr>
        <w:t xml:space="preserve">by </w:t>
      </w:r>
    </w:p>
    <w:p w14:paraId="5FCCBC2F" w14:textId="77777777" w:rsidR="009A0B6B" w:rsidRDefault="009A0B6B" w:rsidP="009A0B6B">
      <w:pPr>
        <w:pStyle w:val="32author"/>
        <w:framePr w:hSpace="0" w:wrap="auto" w:vAnchor="margin" w:hAnchor="text" w:xAlign="left" w:yAlign="inline"/>
        <w:ind w:left="0"/>
      </w:pPr>
      <w:r w:rsidRPr="005E7881">
        <w:t>Ondrej Ditrych and Luigi Scazzieri</w:t>
      </w:r>
    </w:p>
    <w:p w14:paraId="4C5C4A17" w14:textId="77777777" w:rsidR="009A0B6B" w:rsidRDefault="009A0B6B" w:rsidP="009A0B6B">
      <w:pPr>
        <w:spacing w:line="276" w:lineRule="auto"/>
        <w:jc w:val="both"/>
        <w:rPr>
          <w:rFonts w:ascii="Calibri" w:eastAsia="Calibri" w:hAnsi="Calibri" w:cs="Calibri"/>
        </w:rPr>
      </w:pPr>
    </w:p>
    <w:p w14:paraId="0B93273B" w14:textId="77777777" w:rsidR="009A0B6B" w:rsidRPr="001D3A7A" w:rsidRDefault="009A0B6B" w:rsidP="009A0B6B">
      <w:pPr>
        <w:pStyle w:val="4body"/>
      </w:pPr>
      <w:r w:rsidRPr="001D3A7A">
        <w:t xml:space="preserve">The unique qualities of Ukraine’s defence industry are central to the success of its war effort. The industry will be key to maintain deterrence against Russia even once a sustained ceasefire is in place. Beyond security, it is also one of the most promising sectors for rebuilding Ukraine’s peacetime economy. </w:t>
      </w:r>
    </w:p>
    <w:p w14:paraId="2754B1DD" w14:textId="77777777" w:rsidR="009A0B6B" w:rsidRPr="001D3A7A" w:rsidRDefault="009A0B6B" w:rsidP="009A0B6B">
      <w:pPr>
        <w:pStyle w:val="4body"/>
      </w:pPr>
      <w:r w:rsidRPr="001D3A7A">
        <w:t xml:space="preserve">The industry has transformed massively since 2022: it has undergone exponential growth while becoming a driver of innovation, in particular in uncrewed systems. However, Ukraine’s industry remains vulnerable to Russian attacks, and faces significant financing constraints. Moreover, a sustained ceasefire would create uncertainty over the future level of demand, which could lead to a contraction of the sector unless Ukraine develops export opportunities. </w:t>
      </w:r>
    </w:p>
    <w:p w14:paraId="7738444C" w14:textId="77777777" w:rsidR="009A0B6B" w:rsidRPr="001D3A7A" w:rsidRDefault="009A0B6B" w:rsidP="009A0B6B">
      <w:pPr>
        <w:pStyle w:val="4body"/>
      </w:pPr>
      <w:r w:rsidRPr="001D3A7A">
        <w:t>The EU is already doing much to foster Ukraine’s integration into Europe’s defence base, notably by giving Ukraine access to its defence funding instruments. In parallel, a growing number of partnerships are emerging at the industrial level between Ukrainian and EU firms and governments. The EU should give further momentum to this process by expanding and revamping its support measures. This contribution focuses on one specific dimension of that agenda: how EU-based joint ventures between European and Ukrainian firms can give Ukraine greater production depth, and improve its access to technology, capital, and European procurement markets.</w:t>
      </w:r>
    </w:p>
    <w:p w14:paraId="44A10FB8" w14:textId="77777777" w:rsidR="009A0B6B" w:rsidRPr="001D3A7A" w:rsidRDefault="009A0B6B" w:rsidP="009A0B6B">
      <w:pPr>
        <w:pStyle w:val="43subsubheading"/>
      </w:pPr>
      <w:r w:rsidRPr="001D3A7A">
        <w:t>WHY</w:t>
      </w:r>
    </w:p>
    <w:p w14:paraId="71E4E646" w14:textId="77777777" w:rsidR="009A0B6B" w:rsidRPr="001D3A7A" w:rsidRDefault="009A0B6B" w:rsidP="009A0B6B">
      <w:pPr>
        <w:pStyle w:val="4body"/>
      </w:pPr>
      <w:r w:rsidRPr="001D3A7A">
        <w:t>Ukraine’s defence industry, once a pillar of Ukraine’s Soviet-era econom</w:t>
      </w:r>
      <w:r w:rsidRPr="001D3A7A">
        <w:rPr>
          <w:lang w:val="cs-CZ"/>
        </w:rPr>
        <w:t>y before falling into decades of decline,</w:t>
      </w:r>
      <w:r w:rsidRPr="001D3A7A">
        <w:t xml:space="preserve"> has undergone a remarkable revival since 2022. It is now one of the country’s most important wartime assets and could become a key driver of its peacetime economy. However, it faces two key vulnerabilities. First, production facilities in Ukraine remain exposed to Russian attacks. Second, a sustained ceasefire could lead to a fall in domestic procurement, leaving firms without sufficient demand and forcing them to downsize. This would result in a loss of production capacity, and make it more difficult to maintain the innovative edge that is Ukraine’s </w:t>
      </w:r>
      <w:r w:rsidRPr="001D3A7A">
        <w:lastRenderedPageBreak/>
        <w:t xml:space="preserve">unique strength. The economic costs would be considerable. Ukraine is on course to generate more income from arms exports in 2026 than it did prior to Russia’s full-scale invasion, and its overall production capacity </w:t>
      </w:r>
      <w:hyperlink r:id="rId71">
        <w:r w:rsidRPr="001D3A7A">
          <w:rPr>
            <w:rStyle w:val="Hyperlink"/>
          </w:rPr>
          <w:t>could</w:t>
        </w:r>
      </w:hyperlink>
      <w:r w:rsidRPr="001D3A7A">
        <w:t xml:space="preserve"> expand to USD </w:t>
      </w:r>
      <w:r w:rsidRPr="001D3A7A">
        <w:rPr>
          <w:lang w:val="cs-CZ"/>
        </w:rPr>
        <w:t>50 billion by 2028.</w:t>
      </w:r>
      <w:r w:rsidRPr="001D3A7A">
        <w:t xml:space="preserve"> A contraction of the industry could therefore undercut Ukraine’s economic recovery. In addition, it could also undermine its long-term ability to deter future Russian aggression.</w:t>
      </w:r>
    </w:p>
    <w:p w14:paraId="756302DD" w14:textId="77777777" w:rsidR="009A0B6B" w:rsidRPr="001D3A7A" w:rsidRDefault="009A0B6B" w:rsidP="009A0B6B">
      <w:pPr>
        <w:pStyle w:val="4body"/>
      </w:pPr>
      <w:r w:rsidRPr="001D3A7A">
        <w:t xml:space="preserve">This makes integration into the European Defence Technological and Industrial Base (EDTIB) strategically important to empower Ukraine. European production capacity can provide added depth in the short term. Enhanced access to European procurement systems could unlock a major new source of funding and create sustained demand even in the event of a ceasefire. Moreover, partnering with European companies can provide Ukrainian firms with specific technology and know-how. However, the form of cooperation matters. Relocating a part of Ukrainian production to Europe may improve resilience, but it does not automatically provide access to European funding, technology, certification or procurement markets. Beyond the industrial dimension, deeper defence industrial cooperation and integration will further facilitate the inclusion of Ukraine in the European </w:t>
      </w:r>
      <w:hyperlink r:id="rId72">
        <w:r w:rsidRPr="001D3A7A">
          <w:rPr>
            <w:rStyle w:val="Hyperlink"/>
          </w:rPr>
          <w:t>security community</w:t>
        </w:r>
      </w:hyperlink>
      <w:r w:rsidRPr="001D3A7A">
        <w:t xml:space="preserve"> by fostering close collaboration in a sector that has traditionally remained highly nationalised.</w:t>
      </w:r>
    </w:p>
    <w:p w14:paraId="7271C6CD" w14:textId="77777777" w:rsidR="009A0B6B" w:rsidRPr="009A0B6B" w:rsidRDefault="009A0B6B" w:rsidP="009A0B6B">
      <w:pPr>
        <w:pStyle w:val="43subsubheading"/>
        <w:rPr>
          <w:lang w:val="en-GB"/>
        </w:rPr>
      </w:pPr>
      <w:r w:rsidRPr="009A0B6B">
        <w:rPr>
          <w:lang w:val="en-GB"/>
        </w:rPr>
        <w:t>WHAT</w:t>
      </w:r>
    </w:p>
    <w:p w14:paraId="11E4A3AE" w14:textId="77777777" w:rsidR="009A0B6B" w:rsidRPr="001D3A7A" w:rsidRDefault="009A0B6B" w:rsidP="009A0B6B">
      <w:pPr>
        <w:pStyle w:val="4body"/>
      </w:pPr>
      <w:r w:rsidRPr="001D3A7A">
        <w:t>To sustain the impressive development of its defence industry and maintain its competitive edge, Ukraine needs access to four things that Europe can provide: capital, production depth, access to key technologies and assured future demand. Accelerating Ukraine’s EDTIB integration should therefore focus on several parallel lines of action: facilitating access to funding, encouraging European firms to work in Ukraine, supporting Ukrainian firms operating in Europe, and fostering genuine partnerships between the two sides.</w:t>
      </w:r>
    </w:p>
    <w:p w14:paraId="0B6811C5" w14:textId="77777777" w:rsidR="009A0B6B" w:rsidRPr="001D3A7A" w:rsidRDefault="009A0B6B" w:rsidP="009A0B6B">
      <w:pPr>
        <w:pStyle w:val="4body"/>
      </w:pPr>
      <w:r w:rsidRPr="001D3A7A">
        <w:t xml:space="preserve">The EU should pursue integration along all these dimensions. Joint ventures (JVs) based in Europe, in which both European and Ukrainian companies contribute intellectual property or production know-how, can play a particularly important </w:t>
      </w:r>
      <w:r w:rsidRPr="001D3A7A">
        <w:t xml:space="preserve">role. They can deepen industrial partnerships while helping overcome key obstacles to cooperation. First, they offer a way around the reluctance of many European companies to establish production in Ukraine due to concerns about tech sharing, intellectual property and public procurement, as well as the risk posed to production facilities by Russian attacks. Producing more Ukrainian or Ukrainian-derived systems in Europe would help secure production, allow firms to draw on European industrial capacity, and attract greater European investment in Ukraine’ s defence industry. </w:t>
      </w:r>
    </w:p>
    <w:p w14:paraId="327E77F3" w14:textId="77777777" w:rsidR="009A0B6B" w:rsidRPr="001D3A7A" w:rsidRDefault="009A0B6B" w:rsidP="009A0B6B">
      <w:pPr>
        <w:pStyle w:val="4body"/>
      </w:pPr>
      <w:r w:rsidRPr="001D3A7A">
        <w:t xml:space="preserve">Second, despite its remarkable innovation, Ukraine still needs access to European technologies, components and systems-integration expertise in more complex capability areas such as air defence and deep strike. Joint ventures can bridge this gap by reducing the risks that often make European companies reluctant to share technology, particularly with partners based in Ukraine. </w:t>
      </w:r>
    </w:p>
    <w:p w14:paraId="38CC86C3" w14:textId="77777777" w:rsidR="009A0B6B" w:rsidRPr="001D3A7A" w:rsidRDefault="009A0B6B" w:rsidP="009A0B6B">
      <w:pPr>
        <w:pStyle w:val="4body"/>
      </w:pPr>
      <w:r w:rsidRPr="001D3A7A">
        <w:t>Third, EU-based joint ventures can help Ukrainian companies gain access to European and NATO procurement markets, which are essential for their long-term survival. European governments are increasing defence spending and becoming more open to broadening procurement to new players. However, Ukrainian products are not automatically easy for European governments to procure, even if a company wants to sell and has government backing. Joint ventures with European firms used to navigating NATO-standard procurement systems can help Ukrainian companies secure contracts and a funding stream. The prospect of export earnings may also be a powerful inducement for Ukrainian firms to persuade the government to grant export licences under the mechanism introduced in June to attract greater international investment.</w:t>
      </w:r>
    </w:p>
    <w:p w14:paraId="195AA662" w14:textId="77777777" w:rsidR="009A0B6B" w:rsidRPr="009A0B6B" w:rsidRDefault="009A0B6B" w:rsidP="009A0B6B">
      <w:pPr>
        <w:pStyle w:val="43subsubheading"/>
        <w:rPr>
          <w:lang w:val="en-GB"/>
        </w:rPr>
      </w:pPr>
      <w:r w:rsidRPr="009A0B6B">
        <w:rPr>
          <w:lang w:val="en-GB"/>
        </w:rPr>
        <w:t>HOW</w:t>
      </w:r>
    </w:p>
    <w:p w14:paraId="45ADB247" w14:textId="77777777" w:rsidR="009A0B6B" w:rsidRPr="001D3A7A" w:rsidRDefault="009A0B6B" w:rsidP="009A0B6B">
      <w:pPr>
        <w:pStyle w:val="4body"/>
      </w:pPr>
      <w:r w:rsidRPr="001D3A7A">
        <w:t xml:space="preserve">European firms are increasingly setting up operations in Ukraine, for example the successful Rheinmetall Ukrainian Defence Industry LLC. In parallel, Ukrainian companies like Firepoint are setting up production in Europe. Several EU governments, such as Denmark and the Netherlands, are actively encouraging partnerships with Ukrainian companies and production in Europe. Joint ventures are already </w:t>
      </w:r>
      <w:r w:rsidRPr="001D3A7A">
        <w:lastRenderedPageBreak/>
        <w:t>an important element of this cooperation architecture. For example, Auterion Airlogix, which combines Ukrainian and German expertise in AI, illustrates how such ventures can link Ukrainian firms with partners that bring capital, facilitate certification and systems integration and provide access to procurement opportunities.</w:t>
      </w:r>
    </w:p>
    <w:p w14:paraId="339D1BDF" w14:textId="77777777" w:rsidR="009A0B6B" w:rsidRPr="001D3A7A" w:rsidRDefault="009A0B6B" w:rsidP="009A0B6B">
      <w:pPr>
        <w:pStyle w:val="4body"/>
      </w:pPr>
      <w:r w:rsidRPr="001D3A7A">
        <w:t xml:space="preserve">To encourage the wider use of joint ventures and make them more efficient, the EU could adapt its funding instruments to incentivise their creation. Currently, an EU-headquartered joint venture that combines European and Ukrainian technology to facilitate technology sharing, manage export controls and access the EU market is classified simply as a ‘European’ company and receives no particular support from the EU.  Future EU defence-industrial funding instruments could give greater weight to projects in which Ukrainian firms contribute core intellectual property or production know-how through European-incorporated joint ventures.  </w:t>
      </w:r>
    </w:p>
    <w:p w14:paraId="2D42F7D4" w14:textId="77777777" w:rsidR="009A0B6B" w:rsidRPr="001D3A7A" w:rsidRDefault="009A0B6B" w:rsidP="009A0B6B">
      <w:pPr>
        <w:pStyle w:val="4body"/>
      </w:pPr>
      <w:r w:rsidRPr="001D3A7A">
        <w:t>Beyond adjusting its instruments, the EU could help assemble funding packages for joint ventures. Past examples including Denmark’s €</w:t>
      </w:r>
      <w:r w:rsidRPr="001D3A7A">
        <w:rPr>
          <w:lang w:val="cs-CZ"/>
        </w:rPr>
        <w:t xml:space="preserve">67 million envelope show that establishing production facilities requires substantial public funding, as well as government backing to secure the necessary permits. The EU could help coordinate packages combining </w:t>
      </w:r>
      <w:r w:rsidRPr="001D3A7A">
        <w:t>host-state funding, EU financing, EIB finance for eligible dual-use elements and private capital. Moreover, the next Multiannual Financial Framework (MFF) could also include a dedicated EU defence-industrial budget line to encourage the creation of joint ventures.</w:t>
      </w:r>
      <w:r w:rsidRPr="001D3A7A">
        <w:rPr>
          <w:lang w:val="cs-CZ"/>
        </w:rPr>
        <w:t xml:space="preserve"> </w:t>
      </w:r>
    </w:p>
    <w:p w14:paraId="7D2A543B" w14:textId="77777777" w:rsidR="009A0B6B" w:rsidRPr="001D3A7A" w:rsidRDefault="009A0B6B" w:rsidP="009A0B6B">
      <w:pPr>
        <w:pStyle w:val="4body"/>
      </w:pPr>
      <w:r w:rsidRPr="001D3A7A">
        <w:t>Public support should also include clear demand signals. To help joint ventures scale up production, Member States should consider framework contracts and advance purchase commitments that would give firms the certainty needed to increase production capacity and attract private capital. To facilitate testing and certification, Member States should provide Ukrainian firms and Ukrainian-European partnerships, including EU-based joint ventures, with access to testing facilities.</w:t>
      </w:r>
    </w:p>
    <w:p w14:paraId="5BEE61EE" w14:textId="77777777" w:rsidR="009A0B6B" w:rsidRPr="001D3A7A" w:rsidRDefault="009A0B6B" w:rsidP="009A0B6B">
      <w:pPr>
        <w:pStyle w:val="4body"/>
        <w:rPr>
          <w:lang w:val="cs-CZ"/>
        </w:rPr>
      </w:pPr>
    </w:p>
    <w:p w14:paraId="632FC319" w14:textId="77777777" w:rsidR="009A0B6B" w:rsidRPr="001D3A7A" w:rsidRDefault="009A0B6B" w:rsidP="009A0B6B">
      <w:pPr>
        <w:pStyle w:val="4body"/>
        <w:rPr>
          <w:lang w:val="cs-CZ"/>
        </w:rPr>
      </w:pPr>
    </w:p>
    <w:p w14:paraId="3A5C758B" w14:textId="77777777" w:rsidR="009A0B6B" w:rsidRPr="00960197" w:rsidRDefault="009A0B6B" w:rsidP="009A0B6B">
      <w:pPr>
        <w:pStyle w:val="4body"/>
        <w:sectPr w:rsidR="009A0B6B" w:rsidRPr="00960197" w:rsidSect="009A0B6B">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2A54FF47" w14:textId="5327AC7C" w:rsidR="00BD3940" w:rsidRPr="00295B10" w:rsidRDefault="009843FD" w:rsidP="00BD3940">
      <w:pPr>
        <w:pStyle w:val="41mainheading"/>
        <w:rPr>
          <w:lang w:val="en-GB"/>
        </w:rPr>
      </w:pPr>
      <w:r w:rsidRPr="009843FD">
        <w:rPr>
          <w:lang w:val="en-GB"/>
        </w:rPr>
        <w:lastRenderedPageBreak/>
        <w:t>‘Big on Board’</w:t>
      </w:r>
    </w:p>
    <w:p w14:paraId="19D20091" w14:textId="054A1204" w:rsidR="00BD3940" w:rsidRPr="005870CF" w:rsidRDefault="00B81C0F" w:rsidP="00BD3940">
      <w:pPr>
        <w:pStyle w:val="42subheading"/>
        <w:rPr>
          <w:lang w:val="en-GB"/>
        </w:rPr>
      </w:pPr>
      <w:r w:rsidRPr="00B81C0F">
        <w:rPr>
          <w:lang w:val="en-GB"/>
        </w:rPr>
        <w:t>Mobilising big business to rebuild Ukraine</w:t>
      </w:r>
    </w:p>
    <w:p w14:paraId="286C6FE0" w14:textId="77777777" w:rsidR="00BD3940" w:rsidRPr="00CD2915" w:rsidRDefault="00BD3940" w:rsidP="00BD3940">
      <w:pPr>
        <w:pStyle w:val="31by"/>
        <w:framePr w:hSpace="0" w:wrap="auto" w:vAnchor="margin" w:hAnchor="text" w:xAlign="left" w:yAlign="inline"/>
        <w:ind w:left="0"/>
        <w:rPr>
          <w:lang/>
        </w:rPr>
      </w:pPr>
      <w:r>
        <w:rPr>
          <w:lang/>
        </w:rPr>
        <w:t xml:space="preserve">by </w:t>
      </w:r>
    </w:p>
    <w:p w14:paraId="630CBCDD" w14:textId="639A5895" w:rsidR="00BD3940" w:rsidRDefault="00BD3940" w:rsidP="00BD3940">
      <w:pPr>
        <w:pStyle w:val="32author"/>
        <w:framePr w:hSpace="0" w:wrap="auto" w:vAnchor="margin" w:hAnchor="text" w:xAlign="left" w:yAlign="inline"/>
        <w:ind w:left="0"/>
      </w:pPr>
      <w:r w:rsidRPr="005E7881">
        <w:t xml:space="preserve">Ondrej Ditrych </w:t>
      </w:r>
    </w:p>
    <w:p w14:paraId="7AB657FA" w14:textId="77777777" w:rsidR="00BD3940" w:rsidRDefault="00BD3940" w:rsidP="00BD3940">
      <w:pPr>
        <w:spacing w:line="276" w:lineRule="auto"/>
        <w:jc w:val="both"/>
        <w:rPr>
          <w:rFonts w:ascii="Calibri" w:eastAsia="Calibri" w:hAnsi="Calibri" w:cs="Calibri"/>
          <w:lang/>
        </w:rPr>
      </w:pPr>
    </w:p>
    <w:p w14:paraId="63A6644A" w14:textId="77777777" w:rsidR="00AE0F29" w:rsidRPr="00AE0F29" w:rsidRDefault="00AE0F29" w:rsidP="00AE0F29">
      <w:pPr>
        <w:pStyle w:val="4body"/>
        <w:rPr>
          <w:rFonts w:eastAsia="Calibri"/>
          <w:lang w:val="cs-CZ"/>
        </w:rPr>
      </w:pPr>
      <w:r w:rsidRPr="00AE0F29">
        <w:rPr>
          <w:rFonts w:eastAsia="Calibri"/>
        </w:rPr>
        <w:t>Substantial private capital, as well as the participation of more risk-averse stakeholders, will be essential for Ukraine’s recovery and reconstruction</w:t>
      </w:r>
      <w:r w:rsidRPr="00AE0F29">
        <w:rPr>
          <w:rFonts w:eastAsia="Calibri"/>
          <w:lang w:val="cs-CZ"/>
        </w:rPr>
        <w:t xml:space="preserve">. Global investment is increasingly concentrated in developed economies and a limited number of sectors, particularly the digital economy, reflecting growing competition for scarce capital. At the same time, international project finance continues to in decline </w:t>
      </w:r>
      <w:hyperlink r:id="rId73">
        <w:r w:rsidRPr="00AE0F29">
          <w:rPr>
            <w:rStyle w:val="Hyperlink"/>
            <w:rFonts w:eastAsia="Calibri"/>
            <w:lang w:val="cs-CZ"/>
          </w:rPr>
          <w:t>according</w:t>
        </w:r>
      </w:hyperlink>
      <w:r w:rsidRPr="00AE0F29">
        <w:rPr>
          <w:rFonts w:eastAsia="Calibri"/>
          <w:lang w:val="cs-CZ"/>
        </w:rPr>
        <w:t xml:space="preserve"> to UN Trade and Development (UNCTAD). In addition to helping Ukraine create an attractive environment for doing business, the EU should strengthen incentives for private investment. This will require a combination of domestic measures – expenditure-based incentives in particular – and more effective external de-risking instruments. A new </w:t>
      </w:r>
      <w:r w:rsidRPr="00AE0F29">
        <w:rPr>
          <w:rFonts w:eastAsia="Calibri"/>
        </w:rPr>
        <w:t>‘Big on Board’ initiative could help focus the efforts of EU stakeholders towards achieving these goals.</w:t>
      </w:r>
    </w:p>
    <w:p w14:paraId="33ED281E" w14:textId="77777777" w:rsidR="00AE0F29" w:rsidRPr="00AE0F29" w:rsidRDefault="00AE0F29" w:rsidP="00AE0F29">
      <w:pPr>
        <w:pStyle w:val="43subsubheading"/>
        <w:rPr>
          <w:lang w:val="cs-CZ"/>
        </w:rPr>
      </w:pPr>
      <w:r w:rsidRPr="00AE0F29">
        <w:t>WH</w:t>
      </w:r>
      <w:r w:rsidRPr="00AE0F29">
        <w:rPr>
          <w:lang w:val="cs-CZ"/>
        </w:rPr>
        <w:t>Y</w:t>
      </w:r>
    </w:p>
    <w:p w14:paraId="2C28E3E3" w14:textId="77777777" w:rsidR="00AE0F29" w:rsidRPr="00AE0F29" w:rsidRDefault="00AE0F29" w:rsidP="00AE0F29">
      <w:pPr>
        <w:pStyle w:val="4body"/>
        <w:rPr>
          <w:rFonts w:eastAsia="Calibri"/>
        </w:rPr>
      </w:pPr>
      <w:r w:rsidRPr="00AE0F29">
        <w:rPr>
          <w:rFonts w:eastAsia="Calibri"/>
        </w:rPr>
        <w:t xml:space="preserve">Mobilising large-scale private investment and attracting major companies is one of the biggest challenges in post-conflict reconstruction and international development. In Ukraine, the challenge is compounded by a range of factors: security and political risks, including corruption and still inadequate anti-corruption safeguards; the prospect of future instability; labour shortages; and the fact that reconstruction is taking place across a vast territory, with regions facing different levels of risk and different reconstruction timelines. However, substantial private capital and the implementation capacity of large foreign companies will be indispensable to the success of the reconstruction effort. They will be essential for ensuring sustainable recovery, building a modern industrial base, and integrating Ukraine more closely into global value chains. </w:t>
      </w:r>
    </w:p>
    <w:p w14:paraId="37BB4A67" w14:textId="77777777" w:rsidR="00AE0F29" w:rsidRPr="00AE0F29" w:rsidRDefault="00AE0F29" w:rsidP="00AE0F29">
      <w:pPr>
        <w:pStyle w:val="4body"/>
        <w:rPr>
          <w:rFonts w:eastAsia="Calibri"/>
        </w:rPr>
      </w:pPr>
      <w:r w:rsidRPr="00AE0F29">
        <w:rPr>
          <w:rFonts w:eastAsia="Calibri"/>
        </w:rPr>
        <w:t>The allocation and coordination challenges associated with development finance can be addressed through an effective system for tracking and managing resources (link: OD Collector Pipeline chapter). But a well-designed incentive structure needs to be in place to nudge risk-averse stakeholders to engage in rebuilding Ukraine’s public services, especially in frontline regions like Kharkiv, Kherson or Odessa.</w:t>
      </w:r>
    </w:p>
    <w:p w14:paraId="6411EE0F" w14:textId="77777777" w:rsidR="00AE0F29" w:rsidRPr="00AE0F29" w:rsidRDefault="00AE0F29" w:rsidP="00AE0F29">
      <w:pPr>
        <w:pStyle w:val="43subsubheading"/>
      </w:pPr>
      <w:r w:rsidRPr="00AE0F29">
        <w:lastRenderedPageBreak/>
        <w:t>WHAT</w:t>
      </w:r>
    </w:p>
    <w:p w14:paraId="1EE6B08F" w14:textId="77777777" w:rsidR="00AE0F29" w:rsidRPr="00AE0F29" w:rsidRDefault="00AE0F29" w:rsidP="00AE0F29">
      <w:pPr>
        <w:pStyle w:val="4body"/>
        <w:rPr>
          <w:rFonts w:eastAsia="Calibri"/>
        </w:rPr>
      </w:pPr>
      <w:r w:rsidRPr="00AE0F29">
        <w:rPr>
          <w:rFonts w:eastAsia="Calibri"/>
        </w:rPr>
        <w:t>To ensure sufficient flows of private capital, Ukraine will need both security – meeting institutional investors’ fiduciary requirements for ‘peacetime’ investment – and a sound business environment. However, the EU should also put in place targeted incentives to support the privatisation of local state-owned enterprises engaged in large public infrastructure projects and services, the governance of which needs to be strengthened, including through the Peace and Prosperity Compact (link</w:t>
      </w:r>
      <w:r w:rsidRPr="00AE0F29">
        <w:rPr>
          <w:rFonts w:eastAsia="Calibri"/>
          <w:lang w:val="cs-CZ"/>
        </w:rPr>
        <w:t>: OD+GS chapter</w:t>
      </w:r>
      <w:r w:rsidRPr="00AE0F29">
        <w:rPr>
          <w:rFonts w:eastAsia="Calibri"/>
        </w:rPr>
        <w:t>). The EU should also encourage foreign companies capable of providing public services (such as utility companies) to enter the Ukrainian market.</w:t>
      </w:r>
    </w:p>
    <w:p w14:paraId="13102223" w14:textId="77777777" w:rsidR="00AE0F29" w:rsidRPr="00AE0F29" w:rsidRDefault="00AE0F29" w:rsidP="00AE0F29">
      <w:pPr>
        <w:pStyle w:val="4body"/>
        <w:rPr>
          <w:rFonts w:eastAsia="Calibri"/>
        </w:rPr>
      </w:pPr>
      <w:r w:rsidRPr="00AE0F29">
        <w:rPr>
          <w:rFonts w:eastAsia="Calibri"/>
        </w:rPr>
        <w:t>The ‘Big on Board’ initiative can help by focusing on two priorities within the EU’s broader support for Ukraine’s reform, reconstruction and recovery.</w:t>
      </w:r>
    </w:p>
    <w:p w14:paraId="6CFA576D" w14:textId="77777777" w:rsidR="00AE0F29" w:rsidRPr="00AE0F29" w:rsidRDefault="00AE0F29" w:rsidP="00AE0F29">
      <w:pPr>
        <w:pStyle w:val="4body"/>
        <w:rPr>
          <w:rFonts w:eastAsia="Calibri"/>
          <w:lang w:val="cs-CZ"/>
        </w:rPr>
      </w:pPr>
      <w:r w:rsidRPr="00AE0F29">
        <w:rPr>
          <w:rFonts w:eastAsia="Calibri"/>
        </w:rPr>
        <w:t xml:space="preserve">First, together with other stakeholders such as the Organisation for Economic Co-operation and Development (OECD), the EU can assist Ukraine in developing a set of domestic incentives to attract foreign direct investment (FDI) from advanced economies, once a sustained future ceasefire is in place, </w:t>
      </w:r>
      <w:r w:rsidRPr="00AE0F29">
        <w:rPr>
          <w:rFonts w:eastAsia="Calibri"/>
          <w:lang w:val="cs-CZ"/>
        </w:rPr>
        <w:t>while ensuring adequate protection for critical sectors (link: TR chapter)</w:t>
      </w:r>
      <w:r w:rsidRPr="00AE0F29">
        <w:rPr>
          <w:rFonts w:eastAsia="Calibri"/>
        </w:rPr>
        <w:t xml:space="preserve">. These include expenditure-based incentives </w:t>
      </w:r>
      <w:hyperlink r:id="rId74">
        <w:r w:rsidRPr="00AE0F29">
          <w:rPr>
            <w:rStyle w:val="Hyperlink"/>
            <w:rFonts w:eastAsia="Calibri"/>
          </w:rPr>
          <w:t>proposed by the OECD</w:t>
        </w:r>
      </w:hyperlink>
      <w:r w:rsidRPr="00AE0F29">
        <w:rPr>
          <w:rFonts w:eastAsia="Calibri"/>
        </w:rPr>
        <w:t xml:space="preserve"> (rather than current tax-based incentives) such as accelerated depreciation, capital expenditure allowances, green transition investments (aligned with Ukraine’s EU accession track), research and development grants, investment tax credits, matching schemes and investment-based subsidies. At the same time, Ukraine’s investment promotion agency, UkraineInvest, should evolve into an entity that assists investors navigate licensing, tax registration and regulatory compliance more efficiently, thereby reducing barriers to investment.</w:t>
      </w:r>
    </w:p>
    <w:p w14:paraId="5AF8F213" w14:textId="77777777" w:rsidR="00AE0F29" w:rsidRPr="00AE0F29" w:rsidRDefault="00AE0F29" w:rsidP="00AE0F29">
      <w:pPr>
        <w:pStyle w:val="4body"/>
        <w:rPr>
          <w:rFonts w:eastAsia="Calibri"/>
        </w:rPr>
      </w:pPr>
      <w:r w:rsidRPr="00AE0F29">
        <w:rPr>
          <w:rFonts w:eastAsia="Calibri"/>
        </w:rPr>
        <w:t xml:space="preserve">Second, the EU should give greater priority to de-risking measures when designing its instruments of assistance to Ukraine under the next Multiannual Financial Framework (MFF). The lessons learned from post-conflict reconstruction efforts worldwide suggest placing particular emphasis on blended finance, guarantees and consultations with local stakeholders. They also highlight the need for technical assistance and reliable data to support security and political risk </w:t>
      </w:r>
      <w:r w:rsidRPr="00AE0F29">
        <w:rPr>
          <w:rFonts w:eastAsia="Calibri"/>
        </w:rPr>
        <w:t>assessment, due diligence, risk pricing and insurance for both loans and equity investments.</w:t>
      </w:r>
    </w:p>
    <w:p w14:paraId="1B6B97F3" w14:textId="77777777" w:rsidR="00AE0F29" w:rsidRPr="00AE0F29" w:rsidRDefault="00AE0F29" w:rsidP="00AE0F29">
      <w:pPr>
        <w:pStyle w:val="4body"/>
        <w:rPr>
          <w:rFonts w:eastAsia="Calibri"/>
          <w:lang w:val="cs-CZ"/>
        </w:rPr>
      </w:pPr>
      <w:r w:rsidRPr="00AE0F29">
        <w:rPr>
          <w:rFonts w:eastAsia="Calibri"/>
        </w:rPr>
        <w:t>The aim should be not to eliminate risk. From an investor’s perspective, Ukraine will remain a high-risk territor</w:t>
      </w:r>
      <w:r w:rsidRPr="00AE0F29">
        <w:rPr>
          <w:rFonts w:eastAsia="Calibri"/>
          <w:lang w:val="cs-CZ"/>
        </w:rPr>
        <w:t>y for some time. Rather, the objective should be to reduce risk to a level that is acceptable both to investors willing to accept higher risks in return for potentially higher returns before the market fully stabilises – which may take years – and to more risk-averse providers of essential public services.  These include utility companies, power generation companies,  electricity, digital and communciation network operators, heating and waste management providers, and major infrastructure construction firms. The EU could support these investors through tailored de-risking packages combining blended finance, first loss risk insurance, and instruments to lower borrowing costs.</w:t>
      </w:r>
    </w:p>
    <w:p w14:paraId="66326B0D" w14:textId="77777777" w:rsidR="00AE0F29" w:rsidRPr="00AE0F29" w:rsidRDefault="00AE0F29" w:rsidP="00AE0F29">
      <w:pPr>
        <w:pStyle w:val="43subsubheading"/>
        <w:rPr>
          <w:lang w:val="cs-CZ"/>
        </w:rPr>
      </w:pPr>
      <w:r w:rsidRPr="00AE0F29">
        <w:t>HOW</w:t>
      </w:r>
    </w:p>
    <w:p w14:paraId="5E36C17B" w14:textId="0847B50C" w:rsidR="001C342D" w:rsidRDefault="00AE0F29" w:rsidP="001C342D">
      <w:pPr>
        <w:pStyle w:val="4body"/>
        <w:rPr>
          <w:rFonts w:eastAsia="Calibri"/>
          <w:lang/>
        </w:rPr>
      </w:pPr>
      <w:r w:rsidRPr="00AE0F29">
        <w:rPr>
          <w:rFonts w:eastAsia="Calibri"/>
        </w:rPr>
        <w:t>The EU can start implementing the ‘Big on Board’ initiative in three ways. First, following consultations with other international stakeholders, particularly donors and international financial institutions (IFIs), the EU could incorporate expenditure</w:t>
      </w:r>
      <w:r w:rsidRPr="00AE0F29">
        <w:rPr>
          <w:rFonts w:eastAsia="Calibri"/>
          <w:lang w:val="cs-CZ"/>
        </w:rPr>
        <w:t xml:space="preserve">-based investment incentives into the next update of the Ukraine Plan or any subsequent framework setting out the conditions for the disbursement of EU aid. The current emphasis on tax breaks is likely to have limited impact and may face constraints imposed by the global minimum tax (GMT) regime. Secondly, the EU should upgrade the Ukraine Investment Framework (UIF), the second pillar of the Ukraine Facility and its main financing instrument for Ukraine, so that it can mobilise more public and private capital, particularly for major public infrastructure and service projects. Finally, the EU should offer technical assistance to help Ukraine implement the measures included in the Ukraine Plan. This should include putting in place conditions for (partial) privatisation of state-owned enterprises (SOEs), and strengthening domestic investment incentives, including by transforming UkraineInvest into a one-stop shop for foreign investors. These new initiatives should be streamlined with parallel efforts by the European Bank for Reconstruction and Development (EBRD), the European Investment Bank (EIB) and other IFIs to </w:t>
      </w:r>
      <w:r w:rsidRPr="00AE0F29">
        <w:rPr>
          <w:rFonts w:eastAsia="Calibri"/>
          <w:lang w:val="cs-CZ"/>
        </w:rPr>
        <w:lastRenderedPageBreak/>
        <w:t>maximise their impact.  In particular, the EBRD's wartime risk insurance scheme, the Recovery and Reconstruction Guarantee Facility, should be scaled up.</w:t>
      </w:r>
    </w:p>
    <w:p w14:paraId="6E2B899D" w14:textId="77777777" w:rsidR="00C302CD" w:rsidRPr="001D3A7A" w:rsidRDefault="00C302CD" w:rsidP="00C302CD">
      <w:pPr>
        <w:pStyle w:val="4body"/>
        <w:rPr>
          <w:lang w:val="cs-CZ"/>
        </w:rPr>
      </w:pPr>
    </w:p>
    <w:p w14:paraId="174B4C04" w14:textId="77777777" w:rsidR="00C302CD" w:rsidRPr="00960197" w:rsidRDefault="00C302CD" w:rsidP="00C302CD">
      <w:pPr>
        <w:pStyle w:val="4body"/>
        <w:sectPr w:rsidR="00C302CD" w:rsidRPr="00960197" w:rsidSect="00C302CD">
          <w:footnotePr>
            <w:numFmt w:val="chicago"/>
          </w:footnotePr>
          <w:endnotePr>
            <w:numFmt w:val="decimal"/>
          </w:endnotePr>
          <w:pgSz w:w="11906" w:h="16838" w:code="9"/>
          <w:pgMar w:top="1134" w:right="1134" w:bottom="1134" w:left="1134" w:header="425" w:footer="350" w:gutter="0"/>
          <w:pgNumType w:start="1"/>
          <w:cols w:num="2" w:space="708"/>
          <w:titlePg/>
          <w:docGrid w:linePitch="360"/>
        </w:sectPr>
      </w:pPr>
    </w:p>
    <w:p w14:paraId="549119D0" w14:textId="3366FC9D" w:rsidR="00C302CD" w:rsidRPr="00295B10" w:rsidRDefault="00F83404" w:rsidP="00C302CD">
      <w:pPr>
        <w:pStyle w:val="41mainheading"/>
        <w:rPr>
          <w:lang w:val="en-GB"/>
        </w:rPr>
      </w:pPr>
      <w:r w:rsidRPr="00F83404">
        <w:rPr>
          <w:lang w:val="en-GB"/>
        </w:rPr>
        <w:lastRenderedPageBreak/>
        <w:t>Smart fences</w:t>
      </w:r>
    </w:p>
    <w:p w14:paraId="5D981801" w14:textId="6FD1796C" w:rsidR="00C302CD" w:rsidRPr="005870CF" w:rsidRDefault="00D306F3" w:rsidP="00C302CD">
      <w:pPr>
        <w:pStyle w:val="42subheading"/>
        <w:rPr>
          <w:lang w:val="en-GB"/>
        </w:rPr>
      </w:pPr>
      <w:r w:rsidRPr="00D306F3">
        <w:rPr>
          <w:lang w:val="en-GB"/>
        </w:rPr>
        <w:t>Calibrating China’s role in Ukraine’s reconstruction</w:t>
      </w:r>
    </w:p>
    <w:p w14:paraId="2EDDB73B" w14:textId="77777777" w:rsidR="00C302CD" w:rsidRPr="00CD2915" w:rsidRDefault="00C302CD" w:rsidP="00C302CD">
      <w:pPr>
        <w:pStyle w:val="31by"/>
        <w:framePr w:hSpace="0" w:wrap="auto" w:vAnchor="margin" w:hAnchor="text" w:xAlign="left" w:yAlign="inline"/>
        <w:ind w:left="0"/>
        <w:rPr>
          <w:lang/>
        </w:rPr>
      </w:pPr>
      <w:r>
        <w:rPr>
          <w:lang/>
        </w:rPr>
        <w:t xml:space="preserve">by </w:t>
      </w:r>
    </w:p>
    <w:p w14:paraId="0ACB163F" w14:textId="26C8B3A7" w:rsidR="00C302CD" w:rsidRDefault="00464B8E" w:rsidP="00C302CD">
      <w:pPr>
        <w:pStyle w:val="32author"/>
        <w:framePr w:hSpace="0" w:wrap="auto" w:vAnchor="margin" w:hAnchor="text" w:xAlign="left" w:yAlign="inline"/>
        <w:ind w:left="0"/>
      </w:pPr>
      <w:r w:rsidRPr="00464B8E">
        <w:t>Tim Rühlig</w:t>
      </w:r>
    </w:p>
    <w:p w14:paraId="2C213120" w14:textId="77777777" w:rsidR="00C302CD" w:rsidRDefault="00C302CD" w:rsidP="00C302CD">
      <w:pPr>
        <w:spacing w:line="276" w:lineRule="auto"/>
        <w:jc w:val="both"/>
        <w:rPr>
          <w:rFonts w:ascii="Calibri" w:eastAsia="Calibri" w:hAnsi="Calibri" w:cs="Calibri"/>
          <w:lang/>
        </w:rPr>
      </w:pPr>
    </w:p>
    <w:p w14:paraId="6B3093B3" w14:textId="77777777" w:rsidR="00806E8B" w:rsidRPr="00806E8B" w:rsidRDefault="00806E8B" w:rsidP="00806E8B">
      <w:pPr>
        <w:pStyle w:val="4body"/>
        <w:rPr>
          <w:rFonts w:eastAsia="Calibri"/>
        </w:rPr>
      </w:pPr>
      <w:r w:rsidRPr="00806E8B">
        <w:rPr>
          <w:rFonts w:eastAsia="Calibri"/>
        </w:rPr>
        <w:t xml:space="preserve">Ukraine’s reconstruction bill </w:t>
      </w:r>
      <w:hyperlink r:id="rId75">
        <w:r w:rsidRPr="00806E8B">
          <w:rPr>
            <w:rStyle w:val="Hyperlink"/>
            <w:rFonts w:eastAsia="Calibri"/>
          </w:rPr>
          <w:t>is now estimated at €500 billion over the next decade,</w:t>
        </w:r>
      </w:hyperlink>
      <w:r w:rsidRPr="00806E8B">
        <w:rPr>
          <w:rFonts w:eastAsia="Calibri"/>
        </w:rPr>
        <w:t xml:space="preserve"> as of 31 December 2025, according to the latest joint assessment by the Government of Ukraine, the World Bank Group, the European Commission and the United Nations. This amounts to nearly three times the country’s projected nominal GDP for 2025. The EU alone cannot cover it, and substantial G7 support remains uncertain (link</w:t>
      </w:r>
      <w:r w:rsidRPr="00806E8B">
        <w:rPr>
          <w:rFonts w:eastAsia="Calibri"/>
          <w:lang w:val="cs-CZ"/>
        </w:rPr>
        <w:t>: OD + GS chapter</w:t>
      </w:r>
      <w:r w:rsidRPr="00806E8B">
        <w:rPr>
          <w:rFonts w:eastAsia="Calibri"/>
        </w:rPr>
        <w:t xml:space="preserve">). This financing gap creates an opening for China. Beijing has the industrial capacity, the capital, and the appetite: it has </w:t>
      </w:r>
      <w:hyperlink r:id="rId76">
        <w:r w:rsidRPr="00806E8B">
          <w:rPr>
            <w:rStyle w:val="Hyperlink"/>
            <w:rFonts w:eastAsia="Calibri"/>
          </w:rPr>
          <w:t>publicly signalled readiness to participate in Ukraine’s post-war reconstruction</w:t>
        </w:r>
      </w:hyperlink>
      <w:r w:rsidRPr="00806E8B">
        <w:rPr>
          <w:rFonts w:eastAsia="Calibri"/>
        </w:rPr>
        <w:t xml:space="preserve"> and </w:t>
      </w:r>
      <w:hyperlink r:id="rId77">
        <w:r w:rsidRPr="00806E8B">
          <w:rPr>
            <w:rStyle w:val="Hyperlink"/>
            <w:rFonts w:eastAsia="Calibri"/>
          </w:rPr>
          <w:t>recently reiterated its interest</w:t>
        </w:r>
      </w:hyperlink>
      <w:r w:rsidRPr="00806E8B">
        <w:rPr>
          <w:rFonts w:eastAsia="Calibri"/>
        </w:rPr>
        <w:t xml:space="preserve"> – an observation also corroborated by the author’s interviews with party officials.</w:t>
      </w:r>
    </w:p>
    <w:p w14:paraId="419F2FF7" w14:textId="77777777" w:rsidR="00806E8B" w:rsidRPr="00806E8B" w:rsidRDefault="00806E8B" w:rsidP="00806E8B">
      <w:pPr>
        <w:pStyle w:val="4body"/>
        <w:rPr>
          <w:rFonts w:eastAsia="Calibri"/>
        </w:rPr>
      </w:pPr>
      <w:r w:rsidRPr="00806E8B">
        <w:rPr>
          <w:rFonts w:eastAsia="Calibri"/>
        </w:rPr>
        <w:t xml:space="preserve">But Chinese involvement in rebuilding Ukraine’s critical infrastructure carries serious political and security risks. The EU should act now: equipping Ukraine with a robust toolkit of regulatory </w:t>
      </w:r>
      <w:r w:rsidRPr="00806E8B">
        <w:rPr>
          <w:rFonts w:eastAsia="Calibri"/>
        </w:rPr>
        <w:t>instruments and risk-limitation expertise so that reconstruction does not become a vector for dependency, espionage or sabotage. The goal should be to calibrate – not prohibit – China’s involvement in Ukraine’s reconstruction.</w:t>
      </w:r>
    </w:p>
    <w:p w14:paraId="7F32E8EA" w14:textId="77777777" w:rsidR="00806E8B" w:rsidRPr="00806E8B" w:rsidRDefault="00806E8B" w:rsidP="00480691">
      <w:pPr>
        <w:pStyle w:val="43subsubheading"/>
      </w:pPr>
      <w:r w:rsidRPr="00806E8B">
        <w:t>WHY</w:t>
      </w:r>
    </w:p>
    <w:p w14:paraId="5F1E5EC1" w14:textId="77777777" w:rsidR="00806E8B" w:rsidRPr="00806E8B" w:rsidRDefault="00806E8B" w:rsidP="00806E8B">
      <w:pPr>
        <w:pStyle w:val="4body"/>
        <w:rPr>
          <w:rFonts w:eastAsia="Calibri"/>
        </w:rPr>
      </w:pPr>
      <w:r w:rsidRPr="00806E8B">
        <w:rPr>
          <w:rFonts w:eastAsia="Calibri"/>
        </w:rPr>
        <w:t>This is a pivotal moment. Decisions taken now on procurement rules, technology standards and investment screening will shape Ukraine’s infrastructure for decades. Allowing Chinese firms to embed themselves in critical systems without adequate safeguards could undermine both Ukraine’s and Europe’s security.</w:t>
      </w:r>
    </w:p>
    <w:p w14:paraId="2B25F4CC" w14:textId="77777777" w:rsidR="00806E8B" w:rsidRPr="00806E8B" w:rsidRDefault="00806E8B" w:rsidP="00806E8B">
      <w:pPr>
        <w:pStyle w:val="4body"/>
        <w:rPr>
          <w:rFonts w:eastAsia="Calibri"/>
        </w:rPr>
      </w:pPr>
      <w:r w:rsidRPr="00806E8B">
        <w:rPr>
          <w:rFonts w:eastAsia="Calibri"/>
        </w:rPr>
        <w:t xml:space="preserve">China’s interest in Ukraine’s reconstruction is not incidental. Beijing has developed a </w:t>
      </w:r>
      <w:hyperlink r:id="rId78">
        <w:r w:rsidRPr="00806E8B">
          <w:rPr>
            <w:rStyle w:val="Hyperlink"/>
            <w:rFonts w:eastAsia="Calibri"/>
          </w:rPr>
          <w:t>growing global role in post-conflict reconstruction,</w:t>
        </w:r>
      </w:hyperlink>
      <w:r w:rsidRPr="00806E8B">
        <w:rPr>
          <w:rFonts w:eastAsia="Calibri"/>
        </w:rPr>
        <w:t xml:space="preserve"> with a recognisable track record that spans Iraq, South Sudan, Syria, Afghanistan and Ethiopia. In each case, involvement in reconstruction has provided Beijing with commercial footholds, political leverage and strategic influence. For example, in Ethiopia China was among the first to back reconstruction after the Tigray War, resuming the Exim Bank–financed Mekelle City Water Supply Project; in Iraq, its 2019 ‘oil-for-projects’ deal traded twenty years of guaranteed oil supply for concessional credit earmarked for the country's infrastructure development. China’s proclivity for mixing commercial and state interests has also sparked security concerns in the EU and is likely </w:t>
      </w:r>
      <w:r w:rsidRPr="00806E8B">
        <w:rPr>
          <w:rFonts w:eastAsia="Calibri"/>
        </w:rPr>
        <w:lastRenderedPageBreak/>
        <w:t>to generate similar concerns in Ukraine. The risks cluster around three distinct but related threats.</w:t>
      </w:r>
    </w:p>
    <w:p w14:paraId="6A2CF20D" w14:textId="77777777" w:rsidR="00806E8B" w:rsidRPr="00806E8B" w:rsidRDefault="00806E8B" w:rsidP="00806E8B">
      <w:pPr>
        <w:pStyle w:val="4body"/>
        <w:rPr>
          <w:rFonts w:eastAsia="Calibri"/>
        </w:rPr>
      </w:pPr>
      <w:r w:rsidRPr="00806E8B">
        <w:rPr>
          <w:rFonts w:eastAsia="Calibri"/>
        </w:rPr>
        <w:t xml:space="preserve">The first risk is espionage. Chinese companies operate under a domestic legal framework, most prominently </w:t>
      </w:r>
      <w:hyperlink r:id="rId79">
        <w:r w:rsidRPr="00806E8B">
          <w:rPr>
            <w:rStyle w:val="Hyperlink"/>
            <w:rFonts w:eastAsia="Calibri"/>
          </w:rPr>
          <w:t>the 2017 National Intelligence Law</w:t>
        </w:r>
      </w:hyperlink>
      <w:r w:rsidRPr="00806E8B">
        <w:rPr>
          <w:rFonts w:eastAsia="Calibri"/>
        </w:rPr>
        <w:t>, that obliges all organisations and citizens to support, assist and cooperate with state intelligence work. Their involvement in building or operating critical infrastructure – transport hubs, energy grids, communications networks – creates opportunities for intelligence collection. Any sensitive information gathered could ultimately benefit Moscow should Beijing choose to share it with Russia.</w:t>
      </w:r>
    </w:p>
    <w:p w14:paraId="594EC28D" w14:textId="77777777" w:rsidR="00806E8B" w:rsidRPr="00806E8B" w:rsidRDefault="00806E8B" w:rsidP="00806E8B">
      <w:pPr>
        <w:pStyle w:val="4body"/>
        <w:rPr>
          <w:rFonts w:eastAsia="Calibri"/>
        </w:rPr>
      </w:pPr>
      <w:r w:rsidRPr="00806E8B">
        <w:rPr>
          <w:rFonts w:eastAsia="Calibri"/>
        </w:rPr>
        <w:t>Sabotage is the second risk. Digital infrastructure, including telecommunications networks and economically vital seaports, is increasingly maintenance-intensive and requires continuous remote servicing by manufacturers. In a conflict scenario, such access could be weaponised to disrupt critical systems. For example, if Russia were to launch another attack on Ukraine, Chinese technology companies could disrupt or degrade Ukrainian communications and transport networks, thereby undermining Ukraine’s ability to defend itself.</w:t>
      </w:r>
    </w:p>
    <w:p w14:paraId="3D8A6F4B" w14:textId="77777777" w:rsidR="00806E8B" w:rsidRPr="00806E8B" w:rsidRDefault="00806E8B" w:rsidP="00806E8B">
      <w:pPr>
        <w:pStyle w:val="4body"/>
        <w:rPr>
          <w:rFonts w:eastAsia="Calibri"/>
        </w:rPr>
      </w:pPr>
      <w:r w:rsidRPr="00806E8B">
        <w:rPr>
          <w:rFonts w:eastAsia="Calibri"/>
        </w:rPr>
        <w:t xml:space="preserve">The third risk is that Chinese-led reconstruction will lock Ukraine into lasting dependencies. The adoption of Chinese technical standards would create long-term reliance on Chinese suppliers, since Chinese technologies and components cannot easily be replaced or serviced by European providers. Once embedded, </w:t>
      </w:r>
      <w:hyperlink r:id="rId80" w:anchor="!/Publikation/1334">
        <w:r w:rsidRPr="00806E8B">
          <w:rPr>
            <w:rStyle w:val="Hyperlink"/>
            <w:rFonts w:eastAsia="Calibri"/>
          </w:rPr>
          <w:t>these dependencies are extraordinarily costly to unwind.</w:t>
        </w:r>
      </w:hyperlink>
    </w:p>
    <w:p w14:paraId="02DC6272" w14:textId="77777777" w:rsidR="00806E8B" w:rsidRPr="00806E8B" w:rsidRDefault="00806E8B" w:rsidP="00480691">
      <w:pPr>
        <w:pStyle w:val="43subsubheading"/>
      </w:pPr>
      <w:r w:rsidRPr="00806E8B">
        <w:t>WHAT</w:t>
      </w:r>
    </w:p>
    <w:p w14:paraId="5BB96CDB" w14:textId="77777777" w:rsidR="00806E8B" w:rsidRPr="00806E8B" w:rsidRDefault="00806E8B" w:rsidP="00806E8B">
      <w:pPr>
        <w:pStyle w:val="4body"/>
        <w:rPr>
          <w:rFonts w:eastAsia="Calibri"/>
        </w:rPr>
      </w:pPr>
      <w:r w:rsidRPr="00806E8B">
        <w:rPr>
          <w:rFonts w:eastAsia="Calibri"/>
        </w:rPr>
        <w:t xml:space="preserve">To enable Ukraine to benefit from Chinese investment opportunities without compromising its security, the EU should equip Ukraine with a robust protective toolkit. This requires systematically transferring the EU’s own regulatory and risk-limitation expertise to Ukraine and embedding it in Ukraine’s reconstruction architecture before Chinese actors establish significant footholds. The necessary safeguards should be incorporated into the legal, procurement and investment framework governing reconstruction from the outset. The Ukraine Facility Regulation already restricts procurement and supply financed under the Facility to eligible countries, effectively excluding </w:t>
      </w:r>
      <w:r w:rsidRPr="00806E8B">
        <w:rPr>
          <w:rFonts w:eastAsia="Calibri"/>
        </w:rPr>
        <w:t>Chinese firms and goods. But these rules govern only how EU funds are spent; they do not screen Chinese investment in reconstruction financed by Ukraine, other donors or private capital, and they contain no investment-screening, high-risk-vendor or foreign-subsidy mechanism. The task is therefore to strengthen Ukraine’s own regulatory instruments and to make the Facility’s discretionary security provisions more systematic. This approach would allow pragmatic engagement with Chinese capital and industrial capacity where appropriate, thus contributing to reconstruction and recovery efforts to everyone’s benefit while ring-fencing critical sectors or components.</w:t>
      </w:r>
    </w:p>
    <w:p w14:paraId="7391E54D" w14:textId="77777777" w:rsidR="00806E8B" w:rsidRPr="00806E8B" w:rsidRDefault="00806E8B" w:rsidP="00806E8B">
      <w:pPr>
        <w:pStyle w:val="4body"/>
        <w:rPr>
          <w:rFonts w:eastAsia="Calibri"/>
        </w:rPr>
      </w:pPr>
      <w:r w:rsidRPr="00806E8B">
        <w:rPr>
          <w:rFonts w:eastAsia="Calibri"/>
        </w:rPr>
        <w:t xml:space="preserve">The EU should share lessons learned from its own risk-assessment activities with Ukraine and discuss the criteria and thresholds it has put in place, both in its 2023 Economic Security Strategy and the </w:t>
      </w:r>
      <w:hyperlink r:id="rId81">
        <w:r w:rsidRPr="00806E8B">
          <w:rPr>
            <w:rStyle w:val="Hyperlink"/>
            <w:rFonts w:eastAsia="Calibri"/>
          </w:rPr>
          <w:t>four corresponding risk assessments it has launched</w:t>
        </w:r>
      </w:hyperlink>
      <w:r w:rsidRPr="00806E8B">
        <w:rPr>
          <w:rFonts w:eastAsia="Calibri"/>
        </w:rPr>
        <w:t xml:space="preserve"> on supply chain resilience, physical and cyber security of critical infrastructure, technology security and leakage, and the weaponisation of economic dependencies.</w:t>
      </w:r>
    </w:p>
    <w:p w14:paraId="3F16A05A" w14:textId="77777777" w:rsidR="00806E8B" w:rsidRPr="00806E8B" w:rsidRDefault="00806E8B" w:rsidP="00480691">
      <w:pPr>
        <w:pStyle w:val="43subsubheading"/>
      </w:pPr>
      <w:r w:rsidRPr="00806E8B">
        <w:t>HOW</w:t>
      </w:r>
    </w:p>
    <w:p w14:paraId="62126D64" w14:textId="77777777" w:rsidR="00806E8B" w:rsidRPr="00806E8B" w:rsidRDefault="00806E8B" w:rsidP="00806E8B">
      <w:pPr>
        <w:pStyle w:val="4body"/>
        <w:rPr>
          <w:rFonts w:eastAsia="Calibri"/>
        </w:rPr>
      </w:pPr>
      <w:r w:rsidRPr="00806E8B">
        <w:rPr>
          <w:rFonts w:eastAsia="Calibri"/>
        </w:rPr>
        <w:t xml:space="preserve">The EU has in place a cooperation mechanism on investment screening through which Member States and the Commission exchange information on foreign direct investment (FDI) in sensitive sectors. It is therefore in a position to support Ukraine develop its own instruments by sharing lessons learned and institutional experience from both national screening regimes and the EU-level screening mechanism. While the EU cannot share confidential information exchanged through its investment-screening mechanism with Ukraine, it can provide guidance on screening methodologies and implementation. Currently, the EU is </w:t>
      </w:r>
      <w:hyperlink r:id="rId82">
        <w:r w:rsidRPr="00806E8B">
          <w:rPr>
            <w:rStyle w:val="Hyperlink"/>
            <w:rFonts w:eastAsia="Calibri"/>
          </w:rPr>
          <w:t>expanding and harmonising the sectors subject to mandatory screening,</w:t>
        </w:r>
      </w:hyperlink>
      <w:r w:rsidRPr="00806E8B">
        <w:rPr>
          <w:rFonts w:eastAsia="Calibri"/>
        </w:rPr>
        <w:t xml:space="preserve"> including energy, transport, digital infrastructure, defence, dual-use technology, AI, biotech, critical raw materials, food, media and ports. Ukraine could receive technical assistance to adopt these practices at a pace commensurate with its institutional capacity.</w:t>
      </w:r>
    </w:p>
    <w:p w14:paraId="77FB8737" w14:textId="77777777" w:rsidR="00806E8B" w:rsidRPr="00806E8B" w:rsidRDefault="00806E8B" w:rsidP="00806E8B">
      <w:pPr>
        <w:pStyle w:val="4body"/>
        <w:rPr>
          <w:rFonts w:eastAsia="Calibri"/>
        </w:rPr>
      </w:pPr>
      <w:r w:rsidRPr="00806E8B">
        <w:rPr>
          <w:rFonts w:eastAsia="Calibri"/>
        </w:rPr>
        <w:t xml:space="preserve">In the area of public procurement and state-subsidised competition, the </w:t>
      </w:r>
      <w:hyperlink r:id="rId83">
        <w:r w:rsidRPr="00806E8B">
          <w:rPr>
            <w:rStyle w:val="Hyperlink"/>
            <w:rFonts w:eastAsia="Calibri"/>
          </w:rPr>
          <w:t>Foreign Subsidies Regulation</w:t>
        </w:r>
      </w:hyperlink>
      <w:r w:rsidRPr="00806E8B">
        <w:rPr>
          <w:rFonts w:eastAsia="Calibri"/>
        </w:rPr>
        <w:t xml:space="preserve"> empowers the European Commission to investigate distortions caused by non-EU state </w:t>
      </w:r>
      <w:r w:rsidRPr="00806E8B">
        <w:rPr>
          <w:rFonts w:eastAsia="Calibri"/>
        </w:rPr>
        <w:lastRenderedPageBreak/>
        <w:t xml:space="preserve">subsidies in mergers and public procurement above specified thresholds. A similar mechanism is needed in Ukraine to scrutinise Chinese state-backed bids for reconstruction contracts. The </w:t>
      </w:r>
      <w:hyperlink r:id="rId84">
        <w:r w:rsidRPr="00806E8B">
          <w:rPr>
            <w:rStyle w:val="Hyperlink"/>
            <w:rFonts w:eastAsia="Calibri"/>
          </w:rPr>
          <w:t>International Procurement Instrument allows the EU to restrict access to public tenders</w:t>
        </w:r>
      </w:hyperlink>
      <w:r w:rsidRPr="00806E8B">
        <w:rPr>
          <w:rFonts w:eastAsia="Calibri"/>
        </w:rPr>
        <w:t xml:space="preserve"> for firms from countries that do not offer reciprocal market access. Meanwhile, the </w:t>
      </w:r>
      <w:hyperlink r:id="rId85">
        <w:r w:rsidRPr="00806E8B">
          <w:rPr>
            <w:rStyle w:val="Hyperlink"/>
            <w:rFonts w:eastAsia="Calibri"/>
          </w:rPr>
          <w:t>Net-Zero Industry Act has introduced explicit non-price criteria</w:t>
        </w:r>
      </w:hyperlink>
      <w:r w:rsidRPr="00806E8B">
        <w:rPr>
          <w:rFonts w:eastAsia="Calibri"/>
        </w:rPr>
        <w:t xml:space="preserve"> – including sustainability, resilience and supply-source diversification – into procurement evaluation for clean-tech tenders. Similar criteria could be incorporated into Ukraine’s reconstruction procurement framework, particularly for tenders in energy and transport.</w:t>
      </w:r>
    </w:p>
    <w:p w14:paraId="077F4CC8" w14:textId="77777777" w:rsidR="00806E8B" w:rsidRPr="00806E8B" w:rsidRDefault="00806E8B" w:rsidP="00806E8B">
      <w:pPr>
        <w:pStyle w:val="4body"/>
        <w:rPr>
          <w:rFonts w:eastAsia="Calibri"/>
        </w:rPr>
      </w:pPr>
      <w:r w:rsidRPr="00806E8B">
        <w:rPr>
          <w:rFonts w:eastAsia="Calibri"/>
        </w:rPr>
        <w:t xml:space="preserve">In the field of cybersecurity and critical infrastructure, the EU’s </w:t>
      </w:r>
      <w:hyperlink r:id="rId86">
        <w:r w:rsidRPr="00806E8B">
          <w:rPr>
            <w:rStyle w:val="Hyperlink"/>
            <w:rFonts w:eastAsia="Calibri"/>
          </w:rPr>
          <w:t>5G Cybersecurity Toolbox</w:t>
        </w:r>
      </w:hyperlink>
      <w:r w:rsidRPr="00806E8B">
        <w:rPr>
          <w:rFonts w:eastAsia="Calibri"/>
        </w:rPr>
        <w:t xml:space="preserve"> established the ‘high-risk supplier’ concept that has underpinned Member State decisions to restrict or exclude Huawei and ZTE. The Commission’s </w:t>
      </w:r>
      <w:hyperlink r:id="rId87">
        <w:r w:rsidRPr="00806E8B">
          <w:rPr>
            <w:rStyle w:val="Hyperlink"/>
            <w:rFonts w:eastAsia="Calibri"/>
          </w:rPr>
          <w:t>January 2026 proposal to revise the Cybersecurity Act</w:t>
        </w:r>
      </w:hyperlink>
      <w:r w:rsidRPr="00806E8B">
        <w:rPr>
          <w:rFonts w:eastAsia="Calibri"/>
        </w:rPr>
        <w:t xml:space="preserve"> would translate the Toolbox into binding obligations and extend its logic to fibre-optic and other critical telecommunications infrastructure. Such measures could provide a blueprint for Ukraine’s own approach to vendor risk assessment and the exclusion of high-risk suppliers. Drawing on the </w:t>
      </w:r>
      <w:hyperlink r:id="rId88">
        <w:r w:rsidRPr="00806E8B">
          <w:rPr>
            <w:rStyle w:val="Hyperlink"/>
            <w:rFonts w:eastAsia="Calibri"/>
          </w:rPr>
          <w:t>NIS2 Directive</w:t>
        </w:r>
      </w:hyperlink>
      <w:r w:rsidRPr="00806E8B">
        <w:rPr>
          <w:rFonts w:eastAsia="Calibri"/>
        </w:rPr>
        <w:t xml:space="preserve">, Kyiv could harmonise cybersecurity obligations across 18 critical sectors and complement this with measures modelled on the </w:t>
      </w:r>
      <w:hyperlink r:id="rId89">
        <w:r w:rsidRPr="00806E8B">
          <w:rPr>
            <w:rStyle w:val="Hyperlink"/>
            <w:rFonts w:eastAsia="Calibri"/>
          </w:rPr>
          <w:t>Critical Entities Resilience Directive</w:t>
        </w:r>
      </w:hyperlink>
      <w:r w:rsidRPr="00806E8B">
        <w:rPr>
          <w:rFonts w:eastAsia="Calibri"/>
        </w:rPr>
        <w:t>, which strengthens the physical resilience of critical entities in 11 sectors.</w:t>
      </w:r>
    </w:p>
    <w:p w14:paraId="39B15B9D" w14:textId="77777777" w:rsidR="00806E8B" w:rsidRPr="00806E8B" w:rsidRDefault="00806E8B" w:rsidP="00806E8B">
      <w:pPr>
        <w:pStyle w:val="4body"/>
        <w:rPr>
          <w:rFonts w:eastAsia="Calibri"/>
        </w:rPr>
      </w:pPr>
      <w:r w:rsidRPr="00806E8B">
        <w:rPr>
          <w:rFonts w:eastAsia="Calibri"/>
        </w:rPr>
        <w:t xml:space="preserve">Crucially, much of this is not discretionary as cybersecurity and critical infrastructure rules form part of the </w:t>
      </w:r>
      <w:r w:rsidRPr="00806E8B">
        <w:rPr>
          <w:rFonts w:eastAsia="Calibri"/>
          <w:i/>
        </w:rPr>
        <w:t>acquis</w:t>
      </w:r>
      <w:r w:rsidRPr="00806E8B">
        <w:rPr>
          <w:rFonts w:eastAsia="Calibri"/>
        </w:rPr>
        <w:t xml:space="preserve">. But the EU should frontload specific instruments such as high-risk-vendor screening, NIS2-style obligations, and CER-style resilience within the reform conditionality. </w:t>
      </w:r>
    </w:p>
    <w:p w14:paraId="64147066" w14:textId="77777777" w:rsidR="00806E8B" w:rsidRPr="00806E8B" w:rsidRDefault="00806E8B" w:rsidP="00806E8B">
      <w:pPr>
        <w:pStyle w:val="4body"/>
        <w:rPr>
          <w:rFonts w:eastAsia="Calibri"/>
        </w:rPr>
      </w:pPr>
      <w:r w:rsidRPr="00806E8B">
        <w:rPr>
          <w:rFonts w:eastAsia="Calibri"/>
        </w:rPr>
        <w:t xml:space="preserve">None of this will work without sufficient institutional capacity. Ukraine lacks the resources to conduct complex screening procedures, foreign-subsidy investigations and high-risk-vendor assessments at the scale that reconstruction will require. The EU can help here with direct technical assistance, not least in the context of Europe’s pre-accession assistance. </w:t>
      </w:r>
    </w:p>
    <w:p w14:paraId="7F28D523" w14:textId="77777777" w:rsidR="00806E8B" w:rsidRPr="00806E8B" w:rsidRDefault="00806E8B" w:rsidP="00806E8B">
      <w:pPr>
        <w:pStyle w:val="4body"/>
        <w:rPr>
          <w:rFonts w:eastAsia="Calibri"/>
        </w:rPr>
      </w:pPr>
      <w:r w:rsidRPr="00806E8B">
        <w:rPr>
          <w:rFonts w:eastAsia="Calibri"/>
        </w:rPr>
        <w:t xml:space="preserve">The costs of building this architecture are modest compared to the cost of inaction: a compromised port, a sabotaged grid, or a decade-long technical dependency on Chinese suppliers would far </w:t>
      </w:r>
      <w:r w:rsidRPr="00806E8B">
        <w:rPr>
          <w:rFonts w:eastAsia="Calibri"/>
        </w:rPr>
        <w:t>outweigh any short-term procurement savings, especially once Ukraine has become a member of the EU.</w:t>
      </w:r>
    </w:p>
    <w:p w14:paraId="1950939A" w14:textId="77777777" w:rsidR="00464B8E" w:rsidRPr="00806E8B" w:rsidRDefault="00464B8E" w:rsidP="00464B8E">
      <w:pPr>
        <w:pStyle w:val="4body"/>
        <w:rPr>
          <w:rFonts w:eastAsia="Calibri"/>
        </w:rPr>
      </w:pPr>
    </w:p>
    <w:sectPr w:rsidR="00464B8E" w:rsidRPr="00806E8B" w:rsidSect="009B5739">
      <w:footnotePr>
        <w:numFmt w:val="chicago"/>
      </w:footnotePr>
      <w:endnotePr>
        <w:numFmt w:val="decimal"/>
      </w:endnotePr>
      <w:pgSz w:w="11906" w:h="16838" w:code="9"/>
      <w:pgMar w:top="1134" w:right="1134" w:bottom="1134" w:left="1134" w:header="425" w:footer="350" w:gutter="0"/>
      <w:pgNumType w:start="1"/>
      <w:cols w:num="2"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iuseppe Spatafora" w:date="2026-07-09T11:23:00Z" w:initials="GS">
    <w:p w14:paraId="22C35D76" w14:textId="77777777" w:rsidR="002C7A2B" w:rsidRDefault="002C7A2B" w:rsidP="00755D17">
      <w:pPr>
        <w:pStyle w:val="CommentText"/>
      </w:pPr>
      <w:r>
        <w:rPr>
          <w:rStyle w:val="CommentReference"/>
        </w:rPr>
        <w:annotationRef/>
      </w:r>
      <w:r>
        <w:t>Insert link to GS+OD chapter here</w:t>
      </w:r>
    </w:p>
  </w:comment>
  <w:comment w:id="2" w:author="Giuseppe Spatafora" w:date="2026-07-09T11:23:00Z" w:initials="GS">
    <w:p w14:paraId="3BE544F8" w14:textId="77777777" w:rsidR="002C7A2B" w:rsidRDefault="002C7A2B" w:rsidP="00755D17">
      <w:pPr>
        <w:pStyle w:val="CommentText"/>
      </w:pPr>
      <w:r>
        <w:rPr>
          <w:rStyle w:val="CommentReference"/>
        </w:rPr>
        <w:annotationRef/>
      </w:r>
      <w:r>
        <w:t>Insert link to LS+OD chapter here</w:t>
      </w:r>
    </w:p>
  </w:comment>
  <w:comment w:id="3" w:author="Ondrej Ditrych" w:date="2026-06-22T10:31:00Z" w:initials="OD">
    <w:p w14:paraId="6593B469" w14:textId="77777777" w:rsidR="002C7A2B" w:rsidRDefault="002C7A2B" w:rsidP="00E02504">
      <w:pPr>
        <w:pStyle w:val="CommentText"/>
      </w:pPr>
      <w:r>
        <w:rPr>
          <w:rStyle w:val="CommentReference"/>
        </w:rPr>
        <w:annotationRef/>
      </w:r>
      <w:r>
        <w:rPr>
          <w:lang w:val="cs-CZ"/>
        </w:rPr>
        <w:t>Would it not make sense to integrate it with the paragraph above now ending with „components“?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C35D76" w15:done="0"/>
  <w15:commentEx w15:paraId="3BE544F8" w15:done="0"/>
  <w15:commentEx w15:paraId="6593B46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B1A162" w16cex:dateUtc="2026-07-09T09:23:00Z"/>
  <w16cex:commentExtensible w16cex:durableId="60DA29E1" w16cex:dateUtc="2026-07-09T09:23:00Z"/>
  <w16cex:commentExtensible w16cex:durableId="64CFF39D" w16cex:dateUtc="2026-06-22T08:31:00Z">
    <w16cex:extLst>
      <w16:ext w16:uri="{CE6994B0-6A32-4C9F-8C6B-6E91EDA988CE}">
        <cr:reactions xmlns:cr="http://schemas.microsoft.com/office/comments/2020/reactions">
          <cr:reaction reactionType="1">
            <cr:reactionInfo dateUtc="2026-06-22T08:42:21Z">
              <cr:user userId="S::Giuseppe.Spatafora@iss.europa.eu::bf546678-48ac-4212-bd75-58491b45fc89" userProvider="AD" userName="Giuseppe Spatafor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C35D76" w16cid:durableId="14B1A162"/>
  <w16cid:commentId w16cid:paraId="3BE544F8" w16cid:durableId="60DA29E1"/>
  <w16cid:commentId w16cid:paraId="6593B469" w16cid:durableId="64CFF3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5051A" w14:textId="77777777" w:rsidR="0050670B" w:rsidRDefault="0050670B" w:rsidP="00F0727C">
      <w:r>
        <w:separator/>
      </w:r>
    </w:p>
    <w:p w14:paraId="26F186D8" w14:textId="77777777" w:rsidR="0050670B" w:rsidRDefault="0050670B"/>
    <w:p w14:paraId="1ACEE27D" w14:textId="77777777" w:rsidR="0050670B" w:rsidRDefault="0050670B"/>
  </w:endnote>
  <w:endnote w:type="continuationSeparator" w:id="0">
    <w:p w14:paraId="0A399B7B" w14:textId="77777777" w:rsidR="0050670B" w:rsidRDefault="0050670B" w:rsidP="00F0727C">
      <w:r>
        <w:continuationSeparator/>
      </w:r>
    </w:p>
    <w:p w14:paraId="5F0E78CD" w14:textId="77777777" w:rsidR="0050670B" w:rsidRDefault="0050670B"/>
    <w:p w14:paraId="493D3660" w14:textId="77777777" w:rsidR="0050670B" w:rsidRDefault="0050670B"/>
  </w:endnote>
  <w:endnote w:type="continuationNotice" w:id="1">
    <w:p w14:paraId="7B106E14" w14:textId="77777777" w:rsidR="0050670B" w:rsidRDefault="0050670B"/>
    <w:p w14:paraId="405BFFCF" w14:textId="77777777" w:rsidR="0050670B" w:rsidRDefault="0050670B"/>
    <w:p w14:paraId="24717C7F" w14:textId="77777777" w:rsidR="0050670B" w:rsidRDefault="005067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Corbel">
    <w:panose1 w:val="020B0503020204020204"/>
    <w:charset w:val="00"/>
    <w:family w:val="swiss"/>
    <w:pitch w:val="variable"/>
    <w:sig w:usb0="A00002EF" w:usb1="4000A44B" w:usb2="00000000" w:usb3="00000000" w:csb0="0000019F" w:csb1="00000000"/>
  </w:font>
  <w:font w:name="PT Sans Pro Black">
    <w:altName w:val="Arial"/>
    <w:panose1 w:val="020B0903020203020204"/>
    <w:charset w:val="00"/>
    <w:family w:val="swiss"/>
    <w:notTrueType/>
    <w:pitch w:val="variable"/>
    <w:sig w:usb0="A00002FF" w:usb1="5000205B" w:usb2="00000000" w:usb3="00000000" w:csb0="00000097" w:csb1="00000000"/>
  </w:font>
  <w:font w:name="Segoe UI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T Sans Narrow">
    <w:panose1 w:val="020B0506020203020204"/>
    <w:charset w:val="00"/>
    <w:family w:val="swiss"/>
    <w:pitch w:val="variable"/>
    <w:sig w:usb0="A00002EF" w:usb1="5000204B" w:usb2="00000000" w:usb3="00000000" w:csb0="00000097" w:csb1="00000000"/>
  </w:font>
  <w:font w:name="Segoe UI Bold">
    <w:altName w:val="Segoe UI"/>
    <w:panose1 w:val="020B0802040204020203"/>
    <w:charset w:val="00"/>
    <w:family w:val="swiss"/>
    <w:pitch w:val="variable"/>
    <w:sig w:usb0="E4002EFF" w:usb1="C000E47F" w:usb2="00000009" w:usb3="00000000" w:csb0="000001FF" w:csb1="00000000"/>
  </w:font>
  <w:font w:name="Merriweather">
    <w:panose1 w:val="02000000000000000000"/>
    <w:charset w:val="00"/>
    <w:family w:val="auto"/>
    <w:pitch w:val="variable"/>
    <w:sig w:usb0="A00002BF" w:usb1="5000207B" w:usb2="00000008" w:usb3="00000000" w:csb0="00000197" w:csb1="00000000"/>
  </w:font>
  <w:font w:name="MS Mincho">
    <w:panose1 w:val="02020609040205080304"/>
    <w:charset w:val="80"/>
    <w:family w:val="modern"/>
    <w:pitch w:val="fixed"/>
    <w:sig w:usb0="E00002FF" w:usb1="6AC7FDFB" w:usb2="08000012" w:usb3="00000000" w:csb0="0002009F" w:csb1="00000000"/>
  </w:font>
  <w:font w:name="EC Square Sans Pro">
    <w:altName w:val="Calibri"/>
    <w:charset w:val="00"/>
    <w:family w:val="swiss"/>
    <w:pitch w:val="variable"/>
    <w:sig w:usb0="A00002BF" w:usb1="5000E0FB" w:usb2="00000000" w:usb3="00000000" w:csb0="0000019F" w:csb1="00000000"/>
  </w:font>
  <w:font w:name="PT Sans">
    <w:panose1 w:val="020B0503020203020204"/>
    <w:charset w:val="00"/>
    <w:family w:val="swiss"/>
    <w:pitch w:val="variable"/>
    <w:sig w:usb0="A00002EF" w:usb1="5000204B" w:usb2="00000020" w:usb3="00000000" w:csb0="00000097"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5D844" w14:textId="1ACB8BBB" w:rsidR="0085355F" w:rsidRPr="008C593A" w:rsidRDefault="0085355F" w:rsidP="009E1D19">
    <w:pPr>
      <w:pStyle w:val="Footer"/>
      <w:pBdr>
        <w:top w:val="single" w:sz="4" w:space="1" w:color="9D9D9C" w:themeColor="text2"/>
      </w:pBdr>
      <w:tabs>
        <w:tab w:val="clear" w:pos="5216"/>
        <w:tab w:val="right" w:pos="6804"/>
      </w:tabs>
      <w:jc w:val="right"/>
    </w:pPr>
    <w:r w:rsidRPr="008C593A">
      <w:fldChar w:fldCharType="begin"/>
    </w:r>
    <w:r w:rsidRPr="008C593A">
      <w:instrText xml:space="preserve"> PAGE   \* MERGEFORMAT </w:instrText>
    </w:r>
    <w:r w:rsidRPr="008C593A">
      <w:fldChar w:fldCharType="separate"/>
    </w:r>
    <w:r w:rsidRPr="008C593A">
      <w:t>1</w:t>
    </w:r>
    <w:r w:rsidRPr="008C593A">
      <w:fldChar w:fldCharType="end"/>
    </w:r>
    <w:r w:rsidRPr="008C593A">
      <w:tab/>
    </w:r>
    <w:r w:rsidRPr="008C593A">
      <w:tab/>
    </w:r>
    <w:sdt>
      <w:sdtPr>
        <w:alias w:val="Title"/>
        <w:tag w:val=""/>
        <w:id w:val="-1597244968"/>
        <w:dataBinding w:prefixMappings="xmlns:ns0='http://purl.org/dc/elements/1.1/' xmlns:ns1='http://schemas.openxmlformats.org/package/2006/metadata/core-properties' " w:xpath="/ns1:coreProperties[1]/ns0:title[1]" w:storeItemID="{6C3C8BC8-F283-45AE-878A-BAB7291924A1}"/>
        <w:text/>
      </w:sdtPr>
      <w:sdtEndPr/>
      <w:sdtContent>
        <w:r w:rsidR="003940C4">
          <w:t xml:space="preserve">The </w:t>
        </w:r>
        <w:r w:rsidR="00126155">
          <w:t>Foreign Policy-First</w:t>
        </w:r>
        <w:r w:rsidR="003940C4">
          <w:t xml:space="preserve"> </w:t>
        </w:r>
        <w:r w:rsidR="00126155">
          <w:t>President?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C58D6" w14:textId="00DB6DDA" w:rsidR="004C3F29" w:rsidRDefault="004C3F29" w:rsidP="005264E6">
    <w:pPr>
      <w:pStyle w:val="Footer"/>
      <w:pBdr>
        <w:top w:val="none" w:sz="0" w:space="0" w:color="auto"/>
      </w:pBdr>
      <w:tabs>
        <w:tab w:val="left" w:pos="426"/>
      </w:tabs>
      <w:ind w:hanging="284"/>
    </w:pPr>
    <w:r w:rsidRPr="00FD0907">
      <w:rPr>
        <w:noProof/>
      </w:rPr>
      <w:drawing>
        <wp:anchor distT="0" distB="0" distL="114300" distR="114300" simplePos="0" relativeHeight="251658241" behindDoc="1" locked="0" layoutInCell="1" allowOverlap="1" wp14:anchorId="21C909AA" wp14:editId="7D11FDE3">
          <wp:simplePos x="0" y="0"/>
          <wp:positionH relativeFrom="page">
            <wp:posOffset>-2800985</wp:posOffset>
          </wp:positionH>
          <wp:positionV relativeFrom="page">
            <wp:align>top</wp:align>
          </wp:positionV>
          <wp:extent cx="9770400" cy="10692000"/>
          <wp:effectExtent l="0" t="0" r="2540" b="0"/>
          <wp:wrapNone/>
          <wp:docPr id="1151124946" name="Picture 2" descr="A black and white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8308" name="Picture 2" descr="A black and white letter&#10;&#10;Description automatically generated"/>
                  <pic:cNvPicPr/>
                </pic:nvPicPr>
                <pic:blipFill rotWithShape="1">
                  <a:blip r:embed="rId1">
                    <a:extLst>
                      <a:ext uri="{28A0092B-C50C-407E-A947-70E740481C1C}">
                        <a14:useLocalDpi xmlns:a14="http://schemas.microsoft.com/office/drawing/2010/main" val="0"/>
                      </a:ext>
                    </a:extLst>
                  </a:blip>
                  <a:srcRect r="8607"/>
                  <a:stretch/>
                </pic:blipFill>
                <pic:spPr bwMode="auto">
                  <a:xfrm>
                    <a:off x="0" y="0"/>
                    <a:ext cx="9770400" cy="1069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6FDD2" w14:textId="77777777" w:rsidR="007231F7" w:rsidRDefault="007231F7" w:rsidP="00D27211">
    <w:pPr>
      <w:pStyle w:val="Footer"/>
    </w:pPr>
    <w:r w:rsidRPr="008C593A">
      <w:fldChar w:fldCharType="begin"/>
    </w:r>
    <w:r>
      <w:instrText xml:space="preserve"> PAGE   \* MERGEFORMAT </w:instrText>
    </w:r>
    <w:r w:rsidRPr="008C593A">
      <w:fldChar w:fldCharType="separate"/>
    </w:r>
    <w:r w:rsidRPr="008C593A">
      <w:t>1</w:t>
    </w:r>
    <w:r w:rsidRPr="008C593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7DECF" w14:textId="77777777" w:rsidR="0050670B" w:rsidRDefault="0050670B" w:rsidP="00F0727C">
      <w:r>
        <w:separator/>
      </w:r>
    </w:p>
    <w:p w14:paraId="620B8EB4" w14:textId="77777777" w:rsidR="0050670B" w:rsidRDefault="0050670B"/>
    <w:p w14:paraId="706E719E" w14:textId="77777777" w:rsidR="0050670B" w:rsidRDefault="0050670B"/>
  </w:footnote>
  <w:footnote w:type="continuationSeparator" w:id="0">
    <w:p w14:paraId="09090F1B" w14:textId="77777777" w:rsidR="0050670B" w:rsidRDefault="0050670B" w:rsidP="00F0727C">
      <w:r>
        <w:continuationSeparator/>
      </w:r>
    </w:p>
    <w:p w14:paraId="3B953834" w14:textId="77777777" w:rsidR="0050670B" w:rsidRDefault="0050670B"/>
    <w:p w14:paraId="669A01F9" w14:textId="77777777" w:rsidR="0050670B" w:rsidRDefault="0050670B"/>
  </w:footnote>
  <w:footnote w:type="continuationNotice" w:id="1">
    <w:p w14:paraId="7217FF0B" w14:textId="77777777" w:rsidR="0050670B" w:rsidRDefault="0050670B"/>
    <w:p w14:paraId="1DA03173" w14:textId="77777777" w:rsidR="0050670B" w:rsidRDefault="0050670B"/>
    <w:p w14:paraId="2595C459" w14:textId="77777777" w:rsidR="0050670B" w:rsidRDefault="005067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960A0" w14:textId="4BDA85CE" w:rsidR="0085355F" w:rsidRPr="008C593A" w:rsidRDefault="002603D2" w:rsidP="008C593A">
    <w:pPr>
      <w:pStyle w:val="Header"/>
    </w:pPr>
    <w:r>
      <w:rPr>
        <w:noProof/>
      </w:rPr>
      <w:drawing>
        <wp:anchor distT="0" distB="0" distL="114300" distR="114300" simplePos="0" relativeHeight="251658240" behindDoc="1" locked="0" layoutInCell="1" allowOverlap="1" wp14:anchorId="4F6FE566" wp14:editId="0C18C2B7">
          <wp:simplePos x="0" y="0"/>
          <wp:positionH relativeFrom="margin">
            <wp:posOffset>-6775014</wp:posOffset>
          </wp:positionH>
          <wp:positionV relativeFrom="paragraph">
            <wp:posOffset>-322580</wp:posOffset>
          </wp:positionV>
          <wp:extent cx="19192230" cy="10800000"/>
          <wp:effectExtent l="0" t="0" r="0" b="1905"/>
          <wp:wrapNone/>
          <wp:docPr id="8674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73881" name="Picture 1"/>
                  <pic:cNvPicPr>
                    <a:picLocks noChangeAspect="1" noChangeArrowheads="1"/>
                  </pic:cNvPicPr>
                </pic:nvPicPr>
                <pic:blipFill>
                  <a:blip r:embed="rId1"/>
                  <a:stretch>
                    <a:fillRect/>
                  </a:stretch>
                </pic:blipFill>
                <pic:spPr bwMode="auto">
                  <a:xfrm>
                    <a:off x="0" y="0"/>
                    <a:ext cx="19192230" cy="1080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55F" w:rsidRPr="008C593A">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BD93" w14:textId="48046ECF" w:rsidR="008B420B" w:rsidRPr="008B420B" w:rsidRDefault="00295B10" w:rsidP="008B420B">
    <w:pPr>
      <w:pStyle w:val="Header"/>
    </w:pPr>
    <w:r>
      <w:rPr>
        <w:noProof/>
      </w:rPr>
      <w:drawing>
        <wp:anchor distT="0" distB="0" distL="114300" distR="114300" simplePos="0" relativeHeight="251660289" behindDoc="0" locked="0" layoutInCell="1" allowOverlap="1" wp14:anchorId="6D1BCA8C" wp14:editId="5FF5E147">
          <wp:simplePos x="0" y="0"/>
          <wp:positionH relativeFrom="margin">
            <wp:align>center</wp:align>
          </wp:positionH>
          <wp:positionV relativeFrom="page">
            <wp:align>top</wp:align>
          </wp:positionV>
          <wp:extent cx="7560000" cy="4254221"/>
          <wp:effectExtent l="0" t="0" r="3175" b="0"/>
          <wp:wrapSquare wrapText="bothSides"/>
          <wp:docPr id="7451708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70853" name="Picture 5"/>
                  <pic:cNvPicPr>
                    <a:picLocks noChangeAspect="1" noChangeArrowheads="1"/>
                  </pic:cNvPicPr>
                </pic:nvPicPr>
                <pic:blipFill>
                  <a:blip r:embed="rId1"/>
                  <a:stretch>
                    <a:fillRect/>
                  </a:stretch>
                </pic:blipFill>
                <pic:spPr bwMode="auto">
                  <a:xfrm>
                    <a:off x="0" y="0"/>
                    <a:ext cx="7560000" cy="425422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62D1"/>
    <w:multiLevelType w:val="hybridMultilevel"/>
    <w:tmpl w:val="88E07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E077BD"/>
    <w:multiLevelType w:val="hybridMultilevel"/>
    <w:tmpl w:val="C478B650"/>
    <w:lvl w:ilvl="0" w:tplc="3B4EAAE0">
      <w:numFmt w:val="bullet"/>
      <w:lvlText w:val=""/>
      <w:lvlJc w:val="left"/>
      <w:pPr>
        <w:ind w:left="720" w:hanging="360"/>
      </w:pPr>
      <w:rPr>
        <w:rFonts w:ascii="Symbol" w:eastAsia="Times New Roman" w:hAnsi="Symbol" w:cs="Times New Roman"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B73E01"/>
    <w:multiLevelType w:val="hybridMultilevel"/>
    <w:tmpl w:val="C5B4FDA6"/>
    <w:lvl w:ilvl="0" w:tplc="B7B6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AA652E"/>
    <w:multiLevelType w:val="hybridMultilevel"/>
    <w:tmpl w:val="A5A89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43470F"/>
    <w:multiLevelType w:val="hybridMultilevel"/>
    <w:tmpl w:val="DD361A20"/>
    <w:lvl w:ilvl="0" w:tplc="A5509D6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696570"/>
    <w:multiLevelType w:val="hybridMultilevel"/>
    <w:tmpl w:val="CB5AC6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7E20C2"/>
    <w:multiLevelType w:val="hybridMultilevel"/>
    <w:tmpl w:val="6F28D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175412"/>
    <w:multiLevelType w:val="hybridMultilevel"/>
    <w:tmpl w:val="F4AC0EC2"/>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3A422EF"/>
    <w:multiLevelType w:val="multilevel"/>
    <w:tmpl w:val="D3F2798A"/>
    <w:styleLink w:val="StyleNumbered11ptText1Left063cmHanging063cm"/>
    <w:lvl w:ilvl="0">
      <w:start w:val="1"/>
      <w:numFmt w:val="decimal"/>
      <w:lvlText w:val="%1."/>
      <w:lvlJc w:val="left"/>
      <w:pPr>
        <w:ind w:left="720" w:hanging="360"/>
      </w:pPr>
      <w:rPr>
        <w:rFonts w:asciiTheme="majorHAnsi" w:hAnsiTheme="majorHAnsi"/>
        <w:color w:val="F28E00" w:themeColor="accent3"/>
        <w:sz w:val="22"/>
      </w:rPr>
    </w:lvl>
    <w:lvl w:ilvl="1">
      <w:start w:val="1"/>
      <w:numFmt w:val="lowerLetter"/>
      <w:lvlText w:val="%2."/>
      <w:lvlJc w:val="left"/>
      <w:pPr>
        <w:ind w:left="1440" w:hanging="360"/>
      </w:pPr>
      <w:rPr>
        <w:color w:val="F28E00" w:themeColor="accent3"/>
      </w:rPr>
    </w:lvl>
    <w:lvl w:ilvl="2">
      <w:start w:val="1"/>
      <w:numFmt w:val="lowerRoman"/>
      <w:lvlText w:val="%3."/>
      <w:lvlJc w:val="right"/>
      <w:pPr>
        <w:ind w:left="2160" w:hanging="180"/>
      </w:pPr>
      <w:rPr>
        <w:color w:val="F28E00" w:themeColor="accent3"/>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D43132"/>
    <w:multiLevelType w:val="hybridMultilevel"/>
    <w:tmpl w:val="FCDE71BA"/>
    <w:lvl w:ilvl="0" w:tplc="08090005">
      <w:start w:val="1"/>
      <w:numFmt w:val="bullet"/>
      <w:lvlText w:val=""/>
      <w:lvlJc w:val="left"/>
      <w:pPr>
        <w:ind w:left="720" w:hanging="360"/>
      </w:pPr>
      <w:rPr>
        <w:rFonts w:ascii="Wingdings" w:hAnsi="Wingdings"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A103EE"/>
    <w:multiLevelType w:val="hybridMultilevel"/>
    <w:tmpl w:val="08C605F4"/>
    <w:lvl w:ilvl="0" w:tplc="D310ADE0">
      <w:start w:val="1"/>
      <w:numFmt w:val="bullet"/>
      <w:lvlText w:val="•"/>
      <w:lvlJc w:val="left"/>
      <w:pPr>
        <w:ind w:left="360" w:hanging="360"/>
      </w:pPr>
      <w:rPr>
        <w:sz w:val="20"/>
        <w:szCs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2B94651"/>
    <w:multiLevelType w:val="hybridMultilevel"/>
    <w:tmpl w:val="EB163F0C"/>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8C540D0"/>
    <w:multiLevelType w:val="hybridMultilevel"/>
    <w:tmpl w:val="2AD23C1A"/>
    <w:lvl w:ilvl="0" w:tplc="F23EF7D8">
      <w:start w:val="1"/>
      <w:numFmt w:val="bullet"/>
      <w:lvlText w:val="&gt;"/>
      <w:lvlJc w:val="left"/>
      <w:pPr>
        <w:ind w:left="360" w:hanging="360"/>
      </w:pPr>
      <w:rPr>
        <w:rFonts w:ascii="Constantia" w:hAnsi="Constantia" w:hint="default"/>
        <w:b/>
        <w:i w:val="0"/>
        <w:sz w:val="20"/>
        <w:szCs w:val="2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8C707EA"/>
    <w:multiLevelType w:val="hybridMultilevel"/>
    <w:tmpl w:val="080AAA1C"/>
    <w:lvl w:ilvl="0" w:tplc="70B07066">
      <w:start w:val="1"/>
      <w:numFmt w:val="decimal"/>
      <w:lvlText w:val="%1."/>
      <w:lvlJc w:val="left"/>
      <w:pPr>
        <w:ind w:left="720" w:hanging="360"/>
      </w:pPr>
      <w:rPr>
        <w:rFonts w:ascii="PT Sans Pro Black" w:hAnsi="PT Sans Pro Black" w:hint="default"/>
        <w:b/>
        <w:i w:val="0"/>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9067C3D"/>
    <w:multiLevelType w:val="hybridMultilevel"/>
    <w:tmpl w:val="90A44F32"/>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9876073"/>
    <w:multiLevelType w:val="hybridMultilevel"/>
    <w:tmpl w:val="B2446732"/>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6" w15:restartNumberingAfterBreak="0">
    <w:nsid w:val="29EA33B5"/>
    <w:multiLevelType w:val="multilevel"/>
    <w:tmpl w:val="2F0AE2B8"/>
    <w:styleLink w:val="62numberedlist"/>
    <w:lvl w:ilvl="0">
      <w:start w:val="1"/>
      <w:numFmt w:val="decimal"/>
      <w:lvlText w:val="%1)"/>
      <w:lvlJc w:val="left"/>
      <w:pPr>
        <w:ind w:left="360" w:hanging="360"/>
      </w:pPr>
      <w:rPr>
        <w:rFonts w:ascii="Segoe UI Black" w:hAnsi="Segoe UI Black" w:hint="default"/>
      </w:rPr>
    </w:lvl>
    <w:lvl w:ilvl="1">
      <w:start w:val="1"/>
      <w:numFmt w:val="decimal"/>
      <w:lvlText w:val="%2)"/>
      <w:lvlJc w:val="left"/>
      <w:pPr>
        <w:ind w:left="720" w:hanging="360"/>
      </w:pPr>
      <w:rPr>
        <w:rFonts w:ascii="Segoe UI Semibold" w:hAnsi="Segoe UI Semibold" w:hint="default"/>
      </w:rPr>
    </w:lvl>
    <w:lvl w:ilvl="2">
      <w:start w:val="1"/>
      <w:numFmt w:val="decimal"/>
      <w:lvlText w:val="%3)"/>
      <w:lvlJc w:val="left"/>
      <w:pPr>
        <w:ind w:left="1080" w:hanging="360"/>
      </w:pPr>
      <w:rPr>
        <w:rFonts w:ascii="Segoe UI" w:hAnsi="Segoe UI" w:hint="default"/>
      </w:rPr>
    </w:lvl>
    <w:lvl w:ilvl="3">
      <w:start w:val="1"/>
      <w:numFmt w:val="decimal"/>
      <w:lvlText w:val="%4"/>
      <w:lvlJc w:val="left"/>
      <w:pPr>
        <w:ind w:left="1440" w:hanging="360"/>
      </w:pPr>
      <w:rPr>
        <w:rFonts w:ascii="Segoe UI" w:hAnsi="Segoe UI"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AA40B66"/>
    <w:multiLevelType w:val="hybridMultilevel"/>
    <w:tmpl w:val="42ECC83E"/>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1DB4C6C"/>
    <w:multiLevelType w:val="multilevel"/>
    <w:tmpl w:val="19F6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BC1A06"/>
    <w:multiLevelType w:val="multilevel"/>
    <w:tmpl w:val="B216617E"/>
    <w:lvl w:ilvl="0">
      <w:start w:val="1"/>
      <w:numFmt w:val="bullet"/>
      <w:pStyle w:val="ListParagraph"/>
      <w:lvlText w:val="&gt;"/>
      <w:lvlJc w:val="left"/>
      <w:pPr>
        <w:ind w:left="720" w:hanging="360"/>
      </w:pPr>
      <w:rPr>
        <w:rFonts w:ascii="Constantia" w:hAnsi="Constantia" w:hint="default"/>
        <w:b/>
        <w:i w:val="0"/>
        <w:color w:val="309EBE"/>
      </w:rPr>
    </w:lvl>
    <w:lvl w:ilvl="1">
      <w:start w:val="1"/>
      <w:numFmt w:val="bullet"/>
      <w:lvlText w:val="&gt;"/>
      <w:lvlJc w:val="left"/>
      <w:pPr>
        <w:ind w:left="1440" w:hanging="360"/>
      </w:pPr>
      <w:rPr>
        <w:rFonts w:ascii="Constantia" w:hAnsi="Constantia" w:hint="default"/>
        <w:b/>
        <w:i w:val="0"/>
        <w:color w:val="309EBE"/>
      </w:rPr>
    </w:lvl>
    <w:lvl w:ilvl="2">
      <w:start w:val="1"/>
      <w:numFmt w:val="bullet"/>
      <w:lvlText w:val="&gt;"/>
      <w:lvlJc w:val="left"/>
      <w:pPr>
        <w:ind w:left="2160" w:hanging="360"/>
      </w:pPr>
      <w:rPr>
        <w:rFonts w:ascii="Constantia" w:hAnsi="Constantia" w:hint="default"/>
        <w:b/>
        <w:i w:val="0"/>
        <w:color w:val="309EBE"/>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67E4222"/>
    <w:multiLevelType w:val="hybridMultilevel"/>
    <w:tmpl w:val="C01A35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72E2259"/>
    <w:multiLevelType w:val="hybridMultilevel"/>
    <w:tmpl w:val="D562A41C"/>
    <w:lvl w:ilvl="0" w:tplc="FFFFFFFF">
      <w:start w:val="1"/>
      <w:numFmt w:val="bullet"/>
      <w:lvlText w:val="•"/>
      <w:lvlJc w:val="left"/>
      <w:pPr>
        <w:ind w:left="360" w:hanging="360"/>
      </w:p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37B092B"/>
    <w:multiLevelType w:val="hybridMultilevel"/>
    <w:tmpl w:val="EF12127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A5A20E6"/>
    <w:multiLevelType w:val="hybridMultilevel"/>
    <w:tmpl w:val="E174B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DFD18BE"/>
    <w:multiLevelType w:val="multilevel"/>
    <w:tmpl w:val="C87A6628"/>
    <w:styleLink w:val="StyleOutlinenumbered11ptText1Accent2Left063cmHa"/>
    <w:lvl w:ilvl="0">
      <w:start w:val="1"/>
      <w:numFmt w:val="bullet"/>
      <w:lvlText w:val="&gt;"/>
      <w:lvlJc w:val="left"/>
      <w:pPr>
        <w:ind w:left="720" w:hanging="360"/>
      </w:pPr>
      <w:rPr>
        <w:rFonts w:asciiTheme="majorHAnsi" w:hAnsiTheme="majorHAnsi" w:cs="Times New Roman" w:hint="default"/>
        <w:b/>
        <w:color w:val="F28E00" w:themeColor="accent3"/>
        <w:sz w:val="22"/>
      </w:rPr>
    </w:lvl>
    <w:lvl w:ilvl="1">
      <w:start w:val="1"/>
      <w:numFmt w:val="bullet"/>
      <w:lvlText w:val="&gt;"/>
      <w:lvlJc w:val="left"/>
      <w:pPr>
        <w:ind w:left="1440" w:hanging="360"/>
      </w:pPr>
      <w:rPr>
        <w:rFonts w:asciiTheme="majorHAnsi" w:hAnsiTheme="majorHAnsi" w:cs="Times New Roman" w:hint="default"/>
        <w:b/>
        <w:color w:val="FFBC5E" w:themeColor="accent3" w:themeTint="99"/>
      </w:rPr>
    </w:lvl>
    <w:lvl w:ilvl="2">
      <w:start w:val="1"/>
      <w:numFmt w:val="bullet"/>
      <w:lvlText w:val="&gt;"/>
      <w:lvlJc w:val="left"/>
      <w:pPr>
        <w:ind w:left="2160" w:hanging="360"/>
      </w:pPr>
      <w:rPr>
        <w:rFonts w:asciiTheme="majorHAnsi" w:hAnsiTheme="majorHAnsi" w:cs="Times New Roman" w:hint="default"/>
        <w:b/>
        <w:color w:val="FFD293" w:themeColor="accent3" w:themeTint="66"/>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F2F0701"/>
    <w:multiLevelType w:val="hybridMultilevel"/>
    <w:tmpl w:val="AA7022BA"/>
    <w:lvl w:ilvl="0" w:tplc="0809000F">
      <w:start w:val="1"/>
      <w:numFmt w:val="decimal"/>
      <w:lvlText w:val="%1."/>
      <w:lvlJc w:val="left"/>
      <w:pPr>
        <w:ind w:left="1079" w:hanging="360"/>
      </w:pPr>
    </w:lvl>
    <w:lvl w:ilvl="1" w:tplc="08090019" w:tentative="1">
      <w:start w:val="1"/>
      <w:numFmt w:val="lowerLetter"/>
      <w:lvlText w:val="%2."/>
      <w:lvlJc w:val="left"/>
      <w:pPr>
        <w:ind w:left="1799" w:hanging="360"/>
      </w:pPr>
    </w:lvl>
    <w:lvl w:ilvl="2" w:tplc="0809001B" w:tentative="1">
      <w:start w:val="1"/>
      <w:numFmt w:val="lowerRoman"/>
      <w:lvlText w:val="%3."/>
      <w:lvlJc w:val="right"/>
      <w:pPr>
        <w:ind w:left="2519" w:hanging="180"/>
      </w:pPr>
    </w:lvl>
    <w:lvl w:ilvl="3" w:tplc="0809000F" w:tentative="1">
      <w:start w:val="1"/>
      <w:numFmt w:val="decimal"/>
      <w:lvlText w:val="%4."/>
      <w:lvlJc w:val="left"/>
      <w:pPr>
        <w:ind w:left="3239" w:hanging="360"/>
      </w:pPr>
    </w:lvl>
    <w:lvl w:ilvl="4" w:tplc="08090019" w:tentative="1">
      <w:start w:val="1"/>
      <w:numFmt w:val="lowerLetter"/>
      <w:lvlText w:val="%5."/>
      <w:lvlJc w:val="left"/>
      <w:pPr>
        <w:ind w:left="3959" w:hanging="360"/>
      </w:pPr>
    </w:lvl>
    <w:lvl w:ilvl="5" w:tplc="0809001B" w:tentative="1">
      <w:start w:val="1"/>
      <w:numFmt w:val="lowerRoman"/>
      <w:lvlText w:val="%6."/>
      <w:lvlJc w:val="right"/>
      <w:pPr>
        <w:ind w:left="4679" w:hanging="180"/>
      </w:pPr>
    </w:lvl>
    <w:lvl w:ilvl="6" w:tplc="0809000F" w:tentative="1">
      <w:start w:val="1"/>
      <w:numFmt w:val="decimal"/>
      <w:lvlText w:val="%7."/>
      <w:lvlJc w:val="left"/>
      <w:pPr>
        <w:ind w:left="5399" w:hanging="360"/>
      </w:pPr>
    </w:lvl>
    <w:lvl w:ilvl="7" w:tplc="08090019" w:tentative="1">
      <w:start w:val="1"/>
      <w:numFmt w:val="lowerLetter"/>
      <w:lvlText w:val="%8."/>
      <w:lvlJc w:val="left"/>
      <w:pPr>
        <w:ind w:left="6119" w:hanging="360"/>
      </w:pPr>
    </w:lvl>
    <w:lvl w:ilvl="8" w:tplc="0809001B" w:tentative="1">
      <w:start w:val="1"/>
      <w:numFmt w:val="lowerRoman"/>
      <w:lvlText w:val="%9."/>
      <w:lvlJc w:val="right"/>
      <w:pPr>
        <w:ind w:left="6839" w:hanging="180"/>
      </w:pPr>
    </w:lvl>
  </w:abstractNum>
  <w:abstractNum w:abstractNumId="26" w15:restartNumberingAfterBreak="0">
    <w:nsid w:val="511445E9"/>
    <w:multiLevelType w:val="hybridMultilevel"/>
    <w:tmpl w:val="1A044E82"/>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11C5DDD"/>
    <w:multiLevelType w:val="hybridMultilevel"/>
    <w:tmpl w:val="5C92B136"/>
    <w:lvl w:ilvl="0" w:tplc="F23EF7D8">
      <w:start w:val="1"/>
      <w:numFmt w:val="bullet"/>
      <w:lvlText w:val="&gt;"/>
      <w:lvlJc w:val="left"/>
      <w:pPr>
        <w:ind w:left="717" w:hanging="360"/>
      </w:pPr>
      <w:rPr>
        <w:rFonts w:ascii="Constantia" w:hAnsi="Constantia" w:hint="default"/>
        <w:b/>
        <w:i w:val="0"/>
        <w:sz w:val="20"/>
        <w:szCs w:val="20"/>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28" w15:restartNumberingAfterBreak="0">
    <w:nsid w:val="557D6B2B"/>
    <w:multiLevelType w:val="hybridMultilevel"/>
    <w:tmpl w:val="4CBC31EE"/>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99F71D1"/>
    <w:multiLevelType w:val="hybridMultilevel"/>
    <w:tmpl w:val="1152E022"/>
    <w:lvl w:ilvl="0" w:tplc="F23EF7D8">
      <w:start w:val="1"/>
      <w:numFmt w:val="bullet"/>
      <w:lvlText w:val="&gt;"/>
      <w:lvlJc w:val="left"/>
      <w:pPr>
        <w:ind w:left="360" w:hanging="360"/>
      </w:pPr>
      <w:rPr>
        <w:rFonts w:ascii="Constantia" w:hAnsi="Constantia" w:hint="default"/>
        <w:b/>
        <w:i w:val="0"/>
        <w:sz w:val="20"/>
        <w:szCs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9CA509D"/>
    <w:multiLevelType w:val="hybridMultilevel"/>
    <w:tmpl w:val="FF40D842"/>
    <w:lvl w:ilvl="0" w:tplc="0114CC24">
      <w:start w:val="1"/>
      <w:numFmt w:val="bullet"/>
      <w:pStyle w:val="listsummary"/>
      <w:lvlText w:val="&gt;"/>
      <w:lvlJc w:val="left"/>
      <w:pPr>
        <w:ind w:left="720" w:hanging="360"/>
      </w:pPr>
      <w:rPr>
        <w:rFonts w:ascii="Constantia" w:hAnsi="Constantia" w:hint="default"/>
        <w:b/>
        <w:i w:val="0"/>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5B4604"/>
    <w:multiLevelType w:val="hybridMultilevel"/>
    <w:tmpl w:val="F55C89C6"/>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E953564"/>
    <w:multiLevelType w:val="hybridMultilevel"/>
    <w:tmpl w:val="71B0E2A6"/>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62F40640"/>
    <w:multiLevelType w:val="hybridMultilevel"/>
    <w:tmpl w:val="FC4C9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A73AD"/>
    <w:multiLevelType w:val="multilevel"/>
    <w:tmpl w:val="0809001D"/>
    <w:styleLink w:val="61bulletlist"/>
    <w:lvl w:ilvl="0">
      <w:start w:val="1"/>
      <w:numFmt w:val="bullet"/>
      <w:lvlText w:val="&gt;"/>
      <w:lvlJc w:val="left"/>
      <w:pPr>
        <w:ind w:left="360" w:hanging="360"/>
      </w:pPr>
      <w:rPr>
        <w:rFonts w:ascii="Segoe UI Black" w:hAnsi="Segoe UI Black" w:hint="default"/>
      </w:rPr>
    </w:lvl>
    <w:lvl w:ilvl="1">
      <w:start w:val="1"/>
      <w:numFmt w:val="bullet"/>
      <w:lvlText w:val="&gt;"/>
      <w:lvlJc w:val="left"/>
      <w:pPr>
        <w:ind w:left="720" w:hanging="360"/>
      </w:pPr>
      <w:rPr>
        <w:rFonts w:ascii="Segoe UI" w:hAnsi="Segoe UI" w:hint="default"/>
      </w:rPr>
    </w:lvl>
    <w:lvl w:ilvl="2">
      <w:start w:val="1"/>
      <w:numFmt w:val="bullet"/>
      <w:lvlText w:val="&gt;"/>
      <w:lvlJc w:val="left"/>
      <w:pPr>
        <w:ind w:left="1080" w:hanging="360"/>
      </w:pPr>
      <w:rPr>
        <w:rFonts w:ascii="Segoe UI" w:hAnsi="Segoe UI" w:hint="default"/>
      </w:rPr>
    </w:lvl>
    <w:lvl w:ilvl="3">
      <w:start w:val="1"/>
      <w:numFmt w:val="bullet"/>
      <w:lvlText w:val="&gt;"/>
      <w:lvlJc w:val="left"/>
      <w:pPr>
        <w:ind w:left="1440" w:hanging="360"/>
      </w:pPr>
      <w:rPr>
        <w:rFonts w:ascii="Segoe UI" w:hAnsi="Segoe UI"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E20498"/>
    <w:multiLevelType w:val="hybridMultilevel"/>
    <w:tmpl w:val="1042F90C"/>
    <w:lvl w:ilvl="0" w:tplc="F23EF7D8">
      <w:start w:val="1"/>
      <w:numFmt w:val="bullet"/>
      <w:lvlText w:val="&gt;"/>
      <w:lvlJc w:val="left"/>
      <w:pPr>
        <w:ind w:left="360" w:hanging="360"/>
      </w:pPr>
      <w:rPr>
        <w:rFonts w:ascii="Constantia" w:hAnsi="Constantia" w:hint="default"/>
        <w:b/>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A9B176A"/>
    <w:multiLevelType w:val="hybridMultilevel"/>
    <w:tmpl w:val="46F8EE20"/>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6BC10AA7"/>
    <w:multiLevelType w:val="hybridMultilevel"/>
    <w:tmpl w:val="6DD86682"/>
    <w:lvl w:ilvl="0" w:tplc="F23EF7D8">
      <w:start w:val="1"/>
      <w:numFmt w:val="bullet"/>
      <w:lvlText w:val="&gt;"/>
      <w:lvlJc w:val="left"/>
      <w:pPr>
        <w:ind w:left="360" w:hanging="360"/>
      </w:pPr>
      <w:rPr>
        <w:rFonts w:ascii="Constantia" w:hAnsi="Constantia" w:hint="default"/>
        <w:b/>
        <w:i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6DF21BBB"/>
    <w:multiLevelType w:val="hybridMultilevel"/>
    <w:tmpl w:val="5D422AE2"/>
    <w:lvl w:ilvl="0" w:tplc="5A6A2674">
      <w:start w:val="1"/>
      <w:numFmt w:val="bullet"/>
      <w:lvlText w:val="&gt;"/>
      <w:lvlJc w:val="left"/>
      <w:pPr>
        <w:ind w:left="720" w:hanging="360"/>
      </w:pPr>
      <w:rPr>
        <w:rFonts w:ascii="Segoe UI Black" w:hAnsi="Segoe UI Black" w:hint="default"/>
        <w:color w:val="309EBE"/>
        <w:u w:color="309EB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09C53CA"/>
    <w:multiLevelType w:val="hybridMultilevel"/>
    <w:tmpl w:val="7AEACF78"/>
    <w:lvl w:ilvl="0" w:tplc="F23EF7D8">
      <w:start w:val="1"/>
      <w:numFmt w:val="bullet"/>
      <w:lvlText w:val="&gt;"/>
      <w:lvlJc w:val="left"/>
      <w:pPr>
        <w:ind w:left="717" w:hanging="360"/>
      </w:pPr>
      <w:rPr>
        <w:rFonts w:ascii="Constantia" w:hAnsi="Constantia" w:hint="default"/>
        <w:b/>
        <w:i w:val="0"/>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40" w15:restartNumberingAfterBreak="0">
    <w:nsid w:val="79D949F0"/>
    <w:multiLevelType w:val="multilevel"/>
    <w:tmpl w:val="0F3254A2"/>
    <w:lvl w:ilvl="0">
      <w:start w:val="1"/>
      <w:numFmt w:val="decimal"/>
      <w:pStyle w:val="Heading1"/>
      <w:lvlText w:val="%1."/>
      <w:lvlJc w:val="left"/>
      <w:pPr>
        <w:ind w:left="360" w:hanging="360"/>
      </w:pPr>
      <w:rPr>
        <w:rFonts w:ascii="Segoe UI" w:hAnsi="Segoe UI" w:cs="Segoe UI" w:hint="default"/>
        <w:b/>
        <w:bCs/>
        <w:sz w:val="24"/>
        <w:szCs w:val="24"/>
      </w:rPr>
    </w:lvl>
    <w:lvl w:ilvl="1">
      <w:start w:val="1"/>
      <w:numFmt w:val="decimal"/>
      <w:isLgl/>
      <w:lvlText w:val="%1.%2."/>
      <w:lvlJc w:val="left"/>
      <w:pPr>
        <w:ind w:left="360" w:hanging="360"/>
      </w:pPr>
      <w:rPr>
        <w:rFonts w:hint="default"/>
        <w:b/>
        <w:bCs/>
        <w:sz w:val="24"/>
        <w:szCs w:val="24"/>
      </w:rPr>
    </w:lvl>
    <w:lvl w:ilvl="2">
      <w:start w:val="1"/>
      <w:numFmt w:val="decimal"/>
      <w:lvlText w:val="%3.1"/>
      <w:lvlJc w:val="left"/>
      <w:pPr>
        <w:ind w:left="360" w:hanging="360"/>
      </w:pPr>
      <w:rPr>
        <w:rFonts w:ascii="Times New Roman" w:hAnsi="Times New Roman" w:hint="default"/>
        <w:b w:val="0"/>
        <w:i w:val="0"/>
        <w:sz w:val="24"/>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7A1B2198"/>
    <w:multiLevelType w:val="hybridMultilevel"/>
    <w:tmpl w:val="42DC60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9235508">
    <w:abstractNumId w:val="8"/>
  </w:num>
  <w:num w:numId="2" w16cid:durableId="881285203">
    <w:abstractNumId w:val="24"/>
  </w:num>
  <w:num w:numId="3" w16cid:durableId="453595540">
    <w:abstractNumId w:val="19"/>
  </w:num>
  <w:num w:numId="4" w16cid:durableId="1968274843">
    <w:abstractNumId w:val="34"/>
  </w:num>
  <w:num w:numId="5" w16cid:durableId="1938521657">
    <w:abstractNumId w:val="16"/>
  </w:num>
  <w:num w:numId="6" w16cid:durableId="1255213515">
    <w:abstractNumId w:val="40"/>
  </w:num>
  <w:num w:numId="7" w16cid:durableId="799420452">
    <w:abstractNumId w:val="6"/>
  </w:num>
  <w:num w:numId="8" w16cid:durableId="285165762">
    <w:abstractNumId w:val="41"/>
  </w:num>
  <w:num w:numId="9" w16cid:durableId="798303521">
    <w:abstractNumId w:val="14"/>
  </w:num>
  <w:num w:numId="10" w16cid:durableId="760836761">
    <w:abstractNumId w:val="21"/>
  </w:num>
  <w:num w:numId="11" w16cid:durableId="1378578756">
    <w:abstractNumId w:val="10"/>
  </w:num>
  <w:num w:numId="12" w16cid:durableId="706562541">
    <w:abstractNumId w:val="29"/>
  </w:num>
  <w:num w:numId="13" w16cid:durableId="1797522879">
    <w:abstractNumId w:val="7"/>
  </w:num>
  <w:num w:numId="14" w16cid:durableId="72629911">
    <w:abstractNumId w:val="35"/>
  </w:num>
  <w:num w:numId="15" w16cid:durableId="1894344306">
    <w:abstractNumId w:val="36"/>
  </w:num>
  <w:num w:numId="16" w16cid:durableId="2085912144">
    <w:abstractNumId w:val="32"/>
  </w:num>
  <w:num w:numId="17" w16cid:durableId="1362512357">
    <w:abstractNumId w:val="11"/>
  </w:num>
  <w:num w:numId="18" w16cid:durableId="641544550">
    <w:abstractNumId w:val="31"/>
  </w:num>
  <w:num w:numId="19" w16cid:durableId="999502396">
    <w:abstractNumId w:val="26"/>
  </w:num>
  <w:num w:numId="20" w16cid:durableId="1195339978">
    <w:abstractNumId w:val="22"/>
  </w:num>
  <w:num w:numId="21" w16cid:durableId="720178782">
    <w:abstractNumId w:val="28"/>
  </w:num>
  <w:num w:numId="22" w16cid:durableId="262614196">
    <w:abstractNumId w:val="17"/>
  </w:num>
  <w:num w:numId="23" w16cid:durableId="1870756129">
    <w:abstractNumId w:val="23"/>
  </w:num>
  <w:num w:numId="24" w16cid:durableId="2006546306">
    <w:abstractNumId w:val="5"/>
  </w:num>
  <w:num w:numId="25" w16cid:durableId="1979072288">
    <w:abstractNumId w:val="0"/>
  </w:num>
  <w:num w:numId="26" w16cid:durableId="1621492536">
    <w:abstractNumId w:val="37"/>
  </w:num>
  <w:num w:numId="27" w16cid:durableId="911542253">
    <w:abstractNumId w:val="39"/>
  </w:num>
  <w:num w:numId="28" w16cid:durableId="567960265">
    <w:abstractNumId w:val="12"/>
  </w:num>
  <w:num w:numId="29" w16cid:durableId="1783724423">
    <w:abstractNumId w:val="3"/>
  </w:num>
  <w:num w:numId="30" w16cid:durableId="1517227130">
    <w:abstractNumId w:val="4"/>
  </w:num>
  <w:num w:numId="31" w16cid:durableId="454636155">
    <w:abstractNumId w:val="25"/>
  </w:num>
  <w:num w:numId="32" w16cid:durableId="1763330073">
    <w:abstractNumId w:val="15"/>
  </w:num>
  <w:num w:numId="33" w16cid:durableId="1060784063">
    <w:abstractNumId w:val="27"/>
  </w:num>
  <w:num w:numId="34" w16cid:durableId="348722989">
    <w:abstractNumId w:val="30"/>
  </w:num>
  <w:num w:numId="35" w16cid:durableId="1918245316">
    <w:abstractNumId w:val="13"/>
  </w:num>
  <w:num w:numId="36" w16cid:durableId="233707387">
    <w:abstractNumId w:val="9"/>
  </w:num>
  <w:num w:numId="37" w16cid:durableId="1844466531">
    <w:abstractNumId w:val="18"/>
  </w:num>
  <w:num w:numId="38" w16cid:durableId="1279067161">
    <w:abstractNumId w:val="33"/>
  </w:num>
  <w:num w:numId="39" w16cid:durableId="1644653065">
    <w:abstractNumId w:val="1"/>
  </w:num>
  <w:num w:numId="40" w16cid:durableId="1139617700">
    <w:abstractNumId w:val="20"/>
  </w:num>
  <w:num w:numId="41" w16cid:durableId="422191044">
    <w:abstractNumId w:val="2"/>
  </w:num>
  <w:num w:numId="42" w16cid:durableId="473454562">
    <w:abstractNumId w:val="3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iuseppe Spatafora">
    <w15:presenceInfo w15:providerId="AD" w15:userId="S::Giuseppe.Spatafora@iss.europa.eu::bf546678-48ac-4212-bd75-58491b45fc89"/>
  </w15:person>
  <w15:person w15:author="Ondrej Ditrych">
    <w15:presenceInfo w15:providerId="AD" w15:userId="S::Ondrej.Ditrych@iss.europa.eu::95df4ee5-4a39-44bc-a3dc-bb4bc921d9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styleLockTheme/>
  <w:styleLockQFSet/>
  <w:defaultTabStop w:val="0"/>
  <w:characterSpacingControl w:val="doNotCompress"/>
  <w:hdrShapeDefaults>
    <o:shapedefaults v:ext="edit" spidmax="2050"/>
  </w:hdrShapeDefaults>
  <w:footnotePr>
    <w:numFmt w:val="chicago"/>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256"/>
    <w:rsid w:val="000007D0"/>
    <w:rsid w:val="00002E00"/>
    <w:rsid w:val="00003414"/>
    <w:rsid w:val="00010D5B"/>
    <w:rsid w:val="000118C1"/>
    <w:rsid w:val="00011F74"/>
    <w:rsid w:val="00014ACF"/>
    <w:rsid w:val="000158AD"/>
    <w:rsid w:val="00016B85"/>
    <w:rsid w:val="0001754E"/>
    <w:rsid w:val="00022466"/>
    <w:rsid w:val="00022558"/>
    <w:rsid w:val="00024F04"/>
    <w:rsid w:val="000254E6"/>
    <w:rsid w:val="00026402"/>
    <w:rsid w:val="00027530"/>
    <w:rsid w:val="00027EAC"/>
    <w:rsid w:val="000300FD"/>
    <w:rsid w:val="0003086B"/>
    <w:rsid w:val="00032B49"/>
    <w:rsid w:val="00033DD4"/>
    <w:rsid w:val="00034198"/>
    <w:rsid w:val="00034778"/>
    <w:rsid w:val="00034AFE"/>
    <w:rsid w:val="00036257"/>
    <w:rsid w:val="00037E81"/>
    <w:rsid w:val="000405B5"/>
    <w:rsid w:val="00040A58"/>
    <w:rsid w:val="00040CA3"/>
    <w:rsid w:val="00043837"/>
    <w:rsid w:val="00043A37"/>
    <w:rsid w:val="00043E1A"/>
    <w:rsid w:val="000440C2"/>
    <w:rsid w:val="00045D1F"/>
    <w:rsid w:val="0005252B"/>
    <w:rsid w:val="000527C0"/>
    <w:rsid w:val="00055153"/>
    <w:rsid w:val="000555AC"/>
    <w:rsid w:val="000606CA"/>
    <w:rsid w:val="000607C1"/>
    <w:rsid w:val="00060A27"/>
    <w:rsid w:val="00060B74"/>
    <w:rsid w:val="000611EA"/>
    <w:rsid w:val="00061C6F"/>
    <w:rsid w:val="00061D28"/>
    <w:rsid w:val="00061D52"/>
    <w:rsid w:val="00061FFE"/>
    <w:rsid w:val="000641C9"/>
    <w:rsid w:val="00065EB5"/>
    <w:rsid w:val="0007104D"/>
    <w:rsid w:val="00072BDC"/>
    <w:rsid w:val="00072E13"/>
    <w:rsid w:val="00074D57"/>
    <w:rsid w:val="00075F34"/>
    <w:rsid w:val="00081E44"/>
    <w:rsid w:val="00085B02"/>
    <w:rsid w:val="00085E16"/>
    <w:rsid w:val="0008629F"/>
    <w:rsid w:val="000874CA"/>
    <w:rsid w:val="00091876"/>
    <w:rsid w:val="00091C7D"/>
    <w:rsid w:val="00093044"/>
    <w:rsid w:val="00094F98"/>
    <w:rsid w:val="00097513"/>
    <w:rsid w:val="000A2991"/>
    <w:rsid w:val="000A6F07"/>
    <w:rsid w:val="000A7834"/>
    <w:rsid w:val="000B35EC"/>
    <w:rsid w:val="000B370E"/>
    <w:rsid w:val="000B42F1"/>
    <w:rsid w:val="000B4771"/>
    <w:rsid w:val="000B65B1"/>
    <w:rsid w:val="000B74D1"/>
    <w:rsid w:val="000C01BC"/>
    <w:rsid w:val="000C17E3"/>
    <w:rsid w:val="000C1B1E"/>
    <w:rsid w:val="000C207D"/>
    <w:rsid w:val="000C5FB7"/>
    <w:rsid w:val="000C740C"/>
    <w:rsid w:val="000C74A6"/>
    <w:rsid w:val="000D0968"/>
    <w:rsid w:val="000D309C"/>
    <w:rsid w:val="000D3C91"/>
    <w:rsid w:val="000D3D4A"/>
    <w:rsid w:val="000D4D32"/>
    <w:rsid w:val="000D4EF8"/>
    <w:rsid w:val="000E0427"/>
    <w:rsid w:val="000E0F91"/>
    <w:rsid w:val="000E21C2"/>
    <w:rsid w:val="000E3AE7"/>
    <w:rsid w:val="000E3BE4"/>
    <w:rsid w:val="000E62A0"/>
    <w:rsid w:val="000E6D43"/>
    <w:rsid w:val="000F16C2"/>
    <w:rsid w:val="000F21C4"/>
    <w:rsid w:val="000F22CE"/>
    <w:rsid w:val="000F59C6"/>
    <w:rsid w:val="000F68D2"/>
    <w:rsid w:val="00102390"/>
    <w:rsid w:val="001050E6"/>
    <w:rsid w:val="00105847"/>
    <w:rsid w:val="001061C1"/>
    <w:rsid w:val="0010627D"/>
    <w:rsid w:val="0010630A"/>
    <w:rsid w:val="00107FAC"/>
    <w:rsid w:val="001118A7"/>
    <w:rsid w:val="001126D5"/>
    <w:rsid w:val="0011287F"/>
    <w:rsid w:val="00112940"/>
    <w:rsid w:val="00113B52"/>
    <w:rsid w:val="001148DB"/>
    <w:rsid w:val="00120516"/>
    <w:rsid w:val="00122023"/>
    <w:rsid w:val="00124B01"/>
    <w:rsid w:val="00124EAA"/>
    <w:rsid w:val="0012516E"/>
    <w:rsid w:val="00125B8A"/>
    <w:rsid w:val="00126155"/>
    <w:rsid w:val="00127209"/>
    <w:rsid w:val="00130BA9"/>
    <w:rsid w:val="00131ABB"/>
    <w:rsid w:val="00132082"/>
    <w:rsid w:val="001328D5"/>
    <w:rsid w:val="00134143"/>
    <w:rsid w:val="001345CE"/>
    <w:rsid w:val="00136162"/>
    <w:rsid w:val="001400B9"/>
    <w:rsid w:val="00140833"/>
    <w:rsid w:val="0014101E"/>
    <w:rsid w:val="00141D72"/>
    <w:rsid w:val="001430E3"/>
    <w:rsid w:val="001443D5"/>
    <w:rsid w:val="00144D46"/>
    <w:rsid w:val="00145035"/>
    <w:rsid w:val="001459A6"/>
    <w:rsid w:val="00147455"/>
    <w:rsid w:val="00150F6A"/>
    <w:rsid w:val="00151036"/>
    <w:rsid w:val="00154209"/>
    <w:rsid w:val="00154416"/>
    <w:rsid w:val="001549D8"/>
    <w:rsid w:val="00155D34"/>
    <w:rsid w:val="00161EA5"/>
    <w:rsid w:val="00162058"/>
    <w:rsid w:val="0016319E"/>
    <w:rsid w:val="001637D4"/>
    <w:rsid w:val="00172B9E"/>
    <w:rsid w:val="00172C9E"/>
    <w:rsid w:val="00172D65"/>
    <w:rsid w:val="00173305"/>
    <w:rsid w:val="00174649"/>
    <w:rsid w:val="00174E7D"/>
    <w:rsid w:val="001761A7"/>
    <w:rsid w:val="0018014B"/>
    <w:rsid w:val="00182D07"/>
    <w:rsid w:val="00183631"/>
    <w:rsid w:val="00183C62"/>
    <w:rsid w:val="00185791"/>
    <w:rsid w:val="001866B0"/>
    <w:rsid w:val="00191DA6"/>
    <w:rsid w:val="001921CD"/>
    <w:rsid w:val="00195732"/>
    <w:rsid w:val="00195F5A"/>
    <w:rsid w:val="001968F1"/>
    <w:rsid w:val="0019788F"/>
    <w:rsid w:val="0019798A"/>
    <w:rsid w:val="001A1045"/>
    <w:rsid w:val="001A168C"/>
    <w:rsid w:val="001A1699"/>
    <w:rsid w:val="001A1A85"/>
    <w:rsid w:val="001A1AEE"/>
    <w:rsid w:val="001A4F35"/>
    <w:rsid w:val="001A5A7F"/>
    <w:rsid w:val="001A5D36"/>
    <w:rsid w:val="001A7558"/>
    <w:rsid w:val="001B3742"/>
    <w:rsid w:val="001B3D1D"/>
    <w:rsid w:val="001B62B0"/>
    <w:rsid w:val="001B6669"/>
    <w:rsid w:val="001B6DAF"/>
    <w:rsid w:val="001B7AEC"/>
    <w:rsid w:val="001B7F5E"/>
    <w:rsid w:val="001C0298"/>
    <w:rsid w:val="001C06D1"/>
    <w:rsid w:val="001C0B7C"/>
    <w:rsid w:val="001C0D27"/>
    <w:rsid w:val="001C1363"/>
    <w:rsid w:val="001C342D"/>
    <w:rsid w:val="001C3BA5"/>
    <w:rsid w:val="001C3E34"/>
    <w:rsid w:val="001C4BF9"/>
    <w:rsid w:val="001C5E78"/>
    <w:rsid w:val="001D1B5E"/>
    <w:rsid w:val="001D29F0"/>
    <w:rsid w:val="001D3615"/>
    <w:rsid w:val="001D3A7A"/>
    <w:rsid w:val="001D4898"/>
    <w:rsid w:val="001D5F23"/>
    <w:rsid w:val="001E10DC"/>
    <w:rsid w:val="001E476F"/>
    <w:rsid w:val="001E4BE4"/>
    <w:rsid w:val="001E5075"/>
    <w:rsid w:val="001E5153"/>
    <w:rsid w:val="001E5324"/>
    <w:rsid w:val="001E72C4"/>
    <w:rsid w:val="001E7A9A"/>
    <w:rsid w:val="001E7FB0"/>
    <w:rsid w:val="001F1811"/>
    <w:rsid w:val="001F4105"/>
    <w:rsid w:val="001F5C5C"/>
    <w:rsid w:val="001F641C"/>
    <w:rsid w:val="001F6FA1"/>
    <w:rsid w:val="001F749E"/>
    <w:rsid w:val="00200082"/>
    <w:rsid w:val="002028E6"/>
    <w:rsid w:val="002032E9"/>
    <w:rsid w:val="002040DD"/>
    <w:rsid w:val="0020428D"/>
    <w:rsid w:val="00204E58"/>
    <w:rsid w:val="00206A6F"/>
    <w:rsid w:val="00206CA9"/>
    <w:rsid w:val="00206E0A"/>
    <w:rsid w:val="0020727A"/>
    <w:rsid w:val="00210A6A"/>
    <w:rsid w:val="00211894"/>
    <w:rsid w:val="00211E10"/>
    <w:rsid w:val="0021263A"/>
    <w:rsid w:val="0021468C"/>
    <w:rsid w:val="002161F7"/>
    <w:rsid w:val="00216600"/>
    <w:rsid w:val="002169EE"/>
    <w:rsid w:val="00217449"/>
    <w:rsid w:val="00220CD5"/>
    <w:rsid w:val="00221997"/>
    <w:rsid w:val="0022236B"/>
    <w:rsid w:val="00222E24"/>
    <w:rsid w:val="0022337A"/>
    <w:rsid w:val="00225923"/>
    <w:rsid w:val="00226C7F"/>
    <w:rsid w:val="002314B8"/>
    <w:rsid w:val="00231C40"/>
    <w:rsid w:val="0023395D"/>
    <w:rsid w:val="00233BF1"/>
    <w:rsid w:val="00234C6D"/>
    <w:rsid w:val="00236AE5"/>
    <w:rsid w:val="00237478"/>
    <w:rsid w:val="00240425"/>
    <w:rsid w:val="00241B41"/>
    <w:rsid w:val="00245F97"/>
    <w:rsid w:val="002464A6"/>
    <w:rsid w:val="00251901"/>
    <w:rsid w:val="00253000"/>
    <w:rsid w:val="00253A6C"/>
    <w:rsid w:val="0025463F"/>
    <w:rsid w:val="0025480D"/>
    <w:rsid w:val="00256640"/>
    <w:rsid w:val="00256911"/>
    <w:rsid w:val="002603D2"/>
    <w:rsid w:val="00261F7A"/>
    <w:rsid w:val="00264EE8"/>
    <w:rsid w:val="00266936"/>
    <w:rsid w:val="00267DAD"/>
    <w:rsid w:val="00273022"/>
    <w:rsid w:val="00273067"/>
    <w:rsid w:val="00273489"/>
    <w:rsid w:val="0027643F"/>
    <w:rsid w:val="0027762C"/>
    <w:rsid w:val="002809AB"/>
    <w:rsid w:val="00281152"/>
    <w:rsid w:val="002829B4"/>
    <w:rsid w:val="00285A0A"/>
    <w:rsid w:val="00292F45"/>
    <w:rsid w:val="00295B10"/>
    <w:rsid w:val="00297A68"/>
    <w:rsid w:val="002A25BC"/>
    <w:rsid w:val="002A2B72"/>
    <w:rsid w:val="002A2D29"/>
    <w:rsid w:val="002A47B1"/>
    <w:rsid w:val="002A4C69"/>
    <w:rsid w:val="002A5036"/>
    <w:rsid w:val="002A5888"/>
    <w:rsid w:val="002A5D43"/>
    <w:rsid w:val="002A67B9"/>
    <w:rsid w:val="002A6E61"/>
    <w:rsid w:val="002A6E71"/>
    <w:rsid w:val="002B0727"/>
    <w:rsid w:val="002B128C"/>
    <w:rsid w:val="002B40D8"/>
    <w:rsid w:val="002B44B3"/>
    <w:rsid w:val="002B458A"/>
    <w:rsid w:val="002B63BA"/>
    <w:rsid w:val="002B67A4"/>
    <w:rsid w:val="002C0C1C"/>
    <w:rsid w:val="002C462C"/>
    <w:rsid w:val="002C5AD9"/>
    <w:rsid w:val="002C629E"/>
    <w:rsid w:val="002C7A2B"/>
    <w:rsid w:val="002D05A7"/>
    <w:rsid w:val="002D1AA0"/>
    <w:rsid w:val="002D2A07"/>
    <w:rsid w:val="002D2A8E"/>
    <w:rsid w:val="002D4718"/>
    <w:rsid w:val="002D49AE"/>
    <w:rsid w:val="002D6864"/>
    <w:rsid w:val="002E0F69"/>
    <w:rsid w:val="002E23FC"/>
    <w:rsid w:val="002E4338"/>
    <w:rsid w:val="002E6B35"/>
    <w:rsid w:val="002F1603"/>
    <w:rsid w:val="002F26C7"/>
    <w:rsid w:val="002F3264"/>
    <w:rsid w:val="002F5DA7"/>
    <w:rsid w:val="002F6286"/>
    <w:rsid w:val="00300BB7"/>
    <w:rsid w:val="00301120"/>
    <w:rsid w:val="0030408E"/>
    <w:rsid w:val="00307584"/>
    <w:rsid w:val="00311557"/>
    <w:rsid w:val="003122A5"/>
    <w:rsid w:val="00312B89"/>
    <w:rsid w:val="003136A3"/>
    <w:rsid w:val="003142C4"/>
    <w:rsid w:val="00314BCF"/>
    <w:rsid w:val="00315B83"/>
    <w:rsid w:val="00316BB6"/>
    <w:rsid w:val="00317025"/>
    <w:rsid w:val="00317405"/>
    <w:rsid w:val="00317789"/>
    <w:rsid w:val="0032192A"/>
    <w:rsid w:val="00321E5C"/>
    <w:rsid w:val="003227F8"/>
    <w:rsid w:val="00322F17"/>
    <w:rsid w:val="00322F5E"/>
    <w:rsid w:val="003247B7"/>
    <w:rsid w:val="003248DE"/>
    <w:rsid w:val="00325F81"/>
    <w:rsid w:val="003372EA"/>
    <w:rsid w:val="003373F2"/>
    <w:rsid w:val="00340FEE"/>
    <w:rsid w:val="003416FB"/>
    <w:rsid w:val="00342397"/>
    <w:rsid w:val="003428F1"/>
    <w:rsid w:val="003431C1"/>
    <w:rsid w:val="003439DF"/>
    <w:rsid w:val="00343D95"/>
    <w:rsid w:val="003451A8"/>
    <w:rsid w:val="00345456"/>
    <w:rsid w:val="0034669E"/>
    <w:rsid w:val="00346C54"/>
    <w:rsid w:val="00346FB9"/>
    <w:rsid w:val="00351F24"/>
    <w:rsid w:val="00352313"/>
    <w:rsid w:val="00354B08"/>
    <w:rsid w:val="00355678"/>
    <w:rsid w:val="0035666D"/>
    <w:rsid w:val="00357ABD"/>
    <w:rsid w:val="00360422"/>
    <w:rsid w:val="00361981"/>
    <w:rsid w:val="00362FF7"/>
    <w:rsid w:val="00363D72"/>
    <w:rsid w:val="00364F34"/>
    <w:rsid w:val="00365D80"/>
    <w:rsid w:val="00366004"/>
    <w:rsid w:val="00370154"/>
    <w:rsid w:val="003708B8"/>
    <w:rsid w:val="00374300"/>
    <w:rsid w:val="00375566"/>
    <w:rsid w:val="00376114"/>
    <w:rsid w:val="00380259"/>
    <w:rsid w:val="003812BD"/>
    <w:rsid w:val="003829B4"/>
    <w:rsid w:val="0038304D"/>
    <w:rsid w:val="00384354"/>
    <w:rsid w:val="003940C4"/>
    <w:rsid w:val="0039425B"/>
    <w:rsid w:val="0039449A"/>
    <w:rsid w:val="00394758"/>
    <w:rsid w:val="00396312"/>
    <w:rsid w:val="00397B90"/>
    <w:rsid w:val="003A0699"/>
    <w:rsid w:val="003A0A64"/>
    <w:rsid w:val="003A22BC"/>
    <w:rsid w:val="003A2472"/>
    <w:rsid w:val="003A2EB7"/>
    <w:rsid w:val="003A573E"/>
    <w:rsid w:val="003A656B"/>
    <w:rsid w:val="003B027E"/>
    <w:rsid w:val="003B07A5"/>
    <w:rsid w:val="003B264E"/>
    <w:rsid w:val="003B47D0"/>
    <w:rsid w:val="003B564E"/>
    <w:rsid w:val="003B625F"/>
    <w:rsid w:val="003B639E"/>
    <w:rsid w:val="003C010E"/>
    <w:rsid w:val="003C060E"/>
    <w:rsid w:val="003C088B"/>
    <w:rsid w:val="003C11CD"/>
    <w:rsid w:val="003C1FF8"/>
    <w:rsid w:val="003C44BE"/>
    <w:rsid w:val="003C4921"/>
    <w:rsid w:val="003C632E"/>
    <w:rsid w:val="003C6636"/>
    <w:rsid w:val="003C674F"/>
    <w:rsid w:val="003C67C4"/>
    <w:rsid w:val="003C711A"/>
    <w:rsid w:val="003C7C26"/>
    <w:rsid w:val="003D17BD"/>
    <w:rsid w:val="003D1FD1"/>
    <w:rsid w:val="003D2DFD"/>
    <w:rsid w:val="003D300C"/>
    <w:rsid w:val="003D350E"/>
    <w:rsid w:val="003D3DAA"/>
    <w:rsid w:val="003D728D"/>
    <w:rsid w:val="003D7653"/>
    <w:rsid w:val="003E2DA2"/>
    <w:rsid w:val="003E2F85"/>
    <w:rsid w:val="003E3940"/>
    <w:rsid w:val="003E43ED"/>
    <w:rsid w:val="003E4D85"/>
    <w:rsid w:val="003E67AE"/>
    <w:rsid w:val="003E6E2D"/>
    <w:rsid w:val="003E7424"/>
    <w:rsid w:val="003F03CE"/>
    <w:rsid w:val="003F1663"/>
    <w:rsid w:val="003F2440"/>
    <w:rsid w:val="003F3482"/>
    <w:rsid w:val="003F52C9"/>
    <w:rsid w:val="003F6154"/>
    <w:rsid w:val="003F667E"/>
    <w:rsid w:val="003F7502"/>
    <w:rsid w:val="00401C72"/>
    <w:rsid w:val="00402F1C"/>
    <w:rsid w:val="00404472"/>
    <w:rsid w:val="00404F52"/>
    <w:rsid w:val="00404F7A"/>
    <w:rsid w:val="00405EAF"/>
    <w:rsid w:val="004065D1"/>
    <w:rsid w:val="00407BD5"/>
    <w:rsid w:val="004179EF"/>
    <w:rsid w:val="00420106"/>
    <w:rsid w:val="004219E2"/>
    <w:rsid w:val="00423863"/>
    <w:rsid w:val="004243A7"/>
    <w:rsid w:val="0042765D"/>
    <w:rsid w:val="004276B9"/>
    <w:rsid w:val="0042771C"/>
    <w:rsid w:val="0043020B"/>
    <w:rsid w:val="00430ADB"/>
    <w:rsid w:val="004310C8"/>
    <w:rsid w:val="00431305"/>
    <w:rsid w:val="00432923"/>
    <w:rsid w:val="00433958"/>
    <w:rsid w:val="00434ED2"/>
    <w:rsid w:val="00434FBB"/>
    <w:rsid w:val="00436DFA"/>
    <w:rsid w:val="0044052E"/>
    <w:rsid w:val="00442F64"/>
    <w:rsid w:val="00443235"/>
    <w:rsid w:val="00444AEF"/>
    <w:rsid w:val="004522C1"/>
    <w:rsid w:val="00452827"/>
    <w:rsid w:val="00452EA4"/>
    <w:rsid w:val="0045333F"/>
    <w:rsid w:val="004534FF"/>
    <w:rsid w:val="004536F2"/>
    <w:rsid w:val="00453DCC"/>
    <w:rsid w:val="00454FDC"/>
    <w:rsid w:val="00460794"/>
    <w:rsid w:val="00460C7A"/>
    <w:rsid w:val="00461893"/>
    <w:rsid w:val="004624C3"/>
    <w:rsid w:val="004626ED"/>
    <w:rsid w:val="00462C10"/>
    <w:rsid w:val="004634E5"/>
    <w:rsid w:val="00464B8E"/>
    <w:rsid w:val="00464D75"/>
    <w:rsid w:val="004652DD"/>
    <w:rsid w:val="004661B3"/>
    <w:rsid w:val="004667A6"/>
    <w:rsid w:val="004713CA"/>
    <w:rsid w:val="00471C0C"/>
    <w:rsid w:val="00473A3A"/>
    <w:rsid w:val="00480691"/>
    <w:rsid w:val="00482ACF"/>
    <w:rsid w:val="0048324C"/>
    <w:rsid w:val="00483C34"/>
    <w:rsid w:val="0048456B"/>
    <w:rsid w:val="0048497E"/>
    <w:rsid w:val="004853C7"/>
    <w:rsid w:val="00490A0B"/>
    <w:rsid w:val="00492FBA"/>
    <w:rsid w:val="004939BB"/>
    <w:rsid w:val="00494763"/>
    <w:rsid w:val="00496572"/>
    <w:rsid w:val="00496EAF"/>
    <w:rsid w:val="00497DF5"/>
    <w:rsid w:val="004A1496"/>
    <w:rsid w:val="004A263A"/>
    <w:rsid w:val="004A4745"/>
    <w:rsid w:val="004A5ABA"/>
    <w:rsid w:val="004B203F"/>
    <w:rsid w:val="004B3332"/>
    <w:rsid w:val="004B659B"/>
    <w:rsid w:val="004B6686"/>
    <w:rsid w:val="004B6E0C"/>
    <w:rsid w:val="004B7455"/>
    <w:rsid w:val="004C07CB"/>
    <w:rsid w:val="004C0F18"/>
    <w:rsid w:val="004C1AD9"/>
    <w:rsid w:val="004C232B"/>
    <w:rsid w:val="004C3215"/>
    <w:rsid w:val="004C33C8"/>
    <w:rsid w:val="004C3F29"/>
    <w:rsid w:val="004C41BC"/>
    <w:rsid w:val="004C426E"/>
    <w:rsid w:val="004C4A44"/>
    <w:rsid w:val="004C5AE5"/>
    <w:rsid w:val="004C6C74"/>
    <w:rsid w:val="004C7706"/>
    <w:rsid w:val="004C7E21"/>
    <w:rsid w:val="004D0F3A"/>
    <w:rsid w:val="004D185E"/>
    <w:rsid w:val="004D225C"/>
    <w:rsid w:val="004D3E36"/>
    <w:rsid w:val="004D5523"/>
    <w:rsid w:val="004D7350"/>
    <w:rsid w:val="004D76B4"/>
    <w:rsid w:val="004D7F60"/>
    <w:rsid w:val="004E00B2"/>
    <w:rsid w:val="004E1785"/>
    <w:rsid w:val="004E2313"/>
    <w:rsid w:val="004E3BEE"/>
    <w:rsid w:val="004E52F6"/>
    <w:rsid w:val="004E542E"/>
    <w:rsid w:val="004E5A11"/>
    <w:rsid w:val="004E66C4"/>
    <w:rsid w:val="004E6DF4"/>
    <w:rsid w:val="004E7B96"/>
    <w:rsid w:val="004F07C9"/>
    <w:rsid w:val="004F1C39"/>
    <w:rsid w:val="004F4BFD"/>
    <w:rsid w:val="00500708"/>
    <w:rsid w:val="005019A7"/>
    <w:rsid w:val="00501D81"/>
    <w:rsid w:val="005022C6"/>
    <w:rsid w:val="00502426"/>
    <w:rsid w:val="00502E26"/>
    <w:rsid w:val="00505567"/>
    <w:rsid w:val="00505BB0"/>
    <w:rsid w:val="0050670B"/>
    <w:rsid w:val="0051062E"/>
    <w:rsid w:val="00510AB3"/>
    <w:rsid w:val="00511C31"/>
    <w:rsid w:val="00513D8F"/>
    <w:rsid w:val="0051413D"/>
    <w:rsid w:val="005164B7"/>
    <w:rsid w:val="00516A88"/>
    <w:rsid w:val="00517648"/>
    <w:rsid w:val="0052010E"/>
    <w:rsid w:val="00521ACA"/>
    <w:rsid w:val="0052449F"/>
    <w:rsid w:val="005264E6"/>
    <w:rsid w:val="0052687E"/>
    <w:rsid w:val="00530101"/>
    <w:rsid w:val="00533360"/>
    <w:rsid w:val="00535544"/>
    <w:rsid w:val="005419B1"/>
    <w:rsid w:val="005419DC"/>
    <w:rsid w:val="005427B6"/>
    <w:rsid w:val="00542F21"/>
    <w:rsid w:val="0054493C"/>
    <w:rsid w:val="00544A62"/>
    <w:rsid w:val="005467F6"/>
    <w:rsid w:val="00547644"/>
    <w:rsid w:val="00547866"/>
    <w:rsid w:val="005501A5"/>
    <w:rsid w:val="00551625"/>
    <w:rsid w:val="00554A66"/>
    <w:rsid w:val="0055616E"/>
    <w:rsid w:val="005569C2"/>
    <w:rsid w:val="00561333"/>
    <w:rsid w:val="0056354A"/>
    <w:rsid w:val="0056393E"/>
    <w:rsid w:val="0056458B"/>
    <w:rsid w:val="00567192"/>
    <w:rsid w:val="00567B58"/>
    <w:rsid w:val="0057113D"/>
    <w:rsid w:val="005718A3"/>
    <w:rsid w:val="005725D0"/>
    <w:rsid w:val="00572830"/>
    <w:rsid w:val="005728AB"/>
    <w:rsid w:val="00573FD3"/>
    <w:rsid w:val="00574E0F"/>
    <w:rsid w:val="00574F6C"/>
    <w:rsid w:val="0057672B"/>
    <w:rsid w:val="00576B58"/>
    <w:rsid w:val="00580AA4"/>
    <w:rsid w:val="00580E8F"/>
    <w:rsid w:val="00581A15"/>
    <w:rsid w:val="0058276F"/>
    <w:rsid w:val="00584430"/>
    <w:rsid w:val="0058450F"/>
    <w:rsid w:val="00584E66"/>
    <w:rsid w:val="005870CF"/>
    <w:rsid w:val="00590925"/>
    <w:rsid w:val="0059175A"/>
    <w:rsid w:val="00592BA4"/>
    <w:rsid w:val="00593C34"/>
    <w:rsid w:val="0059432C"/>
    <w:rsid w:val="00594A96"/>
    <w:rsid w:val="00594EEC"/>
    <w:rsid w:val="0059579A"/>
    <w:rsid w:val="00595885"/>
    <w:rsid w:val="00596EE2"/>
    <w:rsid w:val="00597057"/>
    <w:rsid w:val="0059735C"/>
    <w:rsid w:val="0059763C"/>
    <w:rsid w:val="005A0AE7"/>
    <w:rsid w:val="005A1D48"/>
    <w:rsid w:val="005A1FDC"/>
    <w:rsid w:val="005A3786"/>
    <w:rsid w:val="005A5478"/>
    <w:rsid w:val="005B15DA"/>
    <w:rsid w:val="005B3ADB"/>
    <w:rsid w:val="005B497C"/>
    <w:rsid w:val="005B4E51"/>
    <w:rsid w:val="005B5155"/>
    <w:rsid w:val="005B5295"/>
    <w:rsid w:val="005C06B7"/>
    <w:rsid w:val="005C0C86"/>
    <w:rsid w:val="005C0E4A"/>
    <w:rsid w:val="005C1942"/>
    <w:rsid w:val="005C1A67"/>
    <w:rsid w:val="005C1C9E"/>
    <w:rsid w:val="005C1E85"/>
    <w:rsid w:val="005C5033"/>
    <w:rsid w:val="005C6175"/>
    <w:rsid w:val="005D0A99"/>
    <w:rsid w:val="005D1CD3"/>
    <w:rsid w:val="005D205F"/>
    <w:rsid w:val="005D2749"/>
    <w:rsid w:val="005D3047"/>
    <w:rsid w:val="005D5703"/>
    <w:rsid w:val="005D6161"/>
    <w:rsid w:val="005D7250"/>
    <w:rsid w:val="005E1968"/>
    <w:rsid w:val="005E1A9F"/>
    <w:rsid w:val="005E25B4"/>
    <w:rsid w:val="005E313C"/>
    <w:rsid w:val="005E3AB3"/>
    <w:rsid w:val="005E4080"/>
    <w:rsid w:val="005E449B"/>
    <w:rsid w:val="005E4901"/>
    <w:rsid w:val="005E54D0"/>
    <w:rsid w:val="005E7881"/>
    <w:rsid w:val="005E7FF8"/>
    <w:rsid w:val="005F02D9"/>
    <w:rsid w:val="005F1105"/>
    <w:rsid w:val="005F34B1"/>
    <w:rsid w:val="005F3B14"/>
    <w:rsid w:val="005F5F2D"/>
    <w:rsid w:val="005F7458"/>
    <w:rsid w:val="005F7480"/>
    <w:rsid w:val="00600469"/>
    <w:rsid w:val="006008AD"/>
    <w:rsid w:val="0060241C"/>
    <w:rsid w:val="00607986"/>
    <w:rsid w:val="0061119B"/>
    <w:rsid w:val="00613818"/>
    <w:rsid w:val="006151BD"/>
    <w:rsid w:val="006167C1"/>
    <w:rsid w:val="00616969"/>
    <w:rsid w:val="00616C25"/>
    <w:rsid w:val="006170F9"/>
    <w:rsid w:val="006175E1"/>
    <w:rsid w:val="00617F0B"/>
    <w:rsid w:val="0062183D"/>
    <w:rsid w:val="00621DBE"/>
    <w:rsid w:val="006225E9"/>
    <w:rsid w:val="00622E30"/>
    <w:rsid w:val="0062659B"/>
    <w:rsid w:val="006269D6"/>
    <w:rsid w:val="006271AA"/>
    <w:rsid w:val="0063143E"/>
    <w:rsid w:val="00631933"/>
    <w:rsid w:val="0063270F"/>
    <w:rsid w:val="0063337E"/>
    <w:rsid w:val="006346FC"/>
    <w:rsid w:val="00634862"/>
    <w:rsid w:val="006350C6"/>
    <w:rsid w:val="006361C1"/>
    <w:rsid w:val="00636814"/>
    <w:rsid w:val="0063794A"/>
    <w:rsid w:val="006405C2"/>
    <w:rsid w:val="00641A47"/>
    <w:rsid w:val="0064265A"/>
    <w:rsid w:val="006460DF"/>
    <w:rsid w:val="0064642B"/>
    <w:rsid w:val="00646580"/>
    <w:rsid w:val="00647B98"/>
    <w:rsid w:val="0065111F"/>
    <w:rsid w:val="00651B78"/>
    <w:rsid w:val="006549D7"/>
    <w:rsid w:val="00656F4F"/>
    <w:rsid w:val="00657961"/>
    <w:rsid w:val="00661BF5"/>
    <w:rsid w:val="0066504E"/>
    <w:rsid w:val="00665CB5"/>
    <w:rsid w:val="00666005"/>
    <w:rsid w:val="00670752"/>
    <w:rsid w:val="006715C9"/>
    <w:rsid w:val="00673E98"/>
    <w:rsid w:val="00675340"/>
    <w:rsid w:val="006776DF"/>
    <w:rsid w:val="006778C3"/>
    <w:rsid w:val="0068101C"/>
    <w:rsid w:val="00681819"/>
    <w:rsid w:val="006823EF"/>
    <w:rsid w:val="006829FA"/>
    <w:rsid w:val="00683B86"/>
    <w:rsid w:val="00684992"/>
    <w:rsid w:val="00684F6A"/>
    <w:rsid w:val="006850F5"/>
    <w:rsid w:val="00685FCF"/>
    <w:rsid w:val="006861C1"/>
    <w:rsid w:val="0068668E"/>
    <w:rsid w:val="00686F0F"/>
    <w:rsid w:val="00687B1B"/>
    <w:rsid w:val="006903C0"/>
    <w:rsid w:val="00694EB8"/>
    <w:rsid w:val="006959A7"/>
    <w:rsid w:val="0069730A"/>
    <w:rsid w:val="00697C7E"/>
    <w:rsid w:val="006A2329"/>
    <w:rsid w:val="006A3142"/>
    <w:rsid w:val="006A37C4"/>
    <w:rsid w:val="006A3DBE"/>
    <w:rsid w:val="006A4124"/>
    <w:rsid w:val="006A4EEC"/>
    <w:rsid w:val="006A673B"/>
    <w:rsid w:val="006A7353"/>
    <w:rsid w:val="006B4CA8"/>
    <w:rsid w:val="006B5133"/>
    <w:rsid w:val="006B7801"/>
    <w:rsid w:val="006C0CE5"/>
    <w:rsid w:val="006C17D2"/>
    <w:rsid w:val="006C1952"/>
    <w:rsid w:val="006C64AA"/>
    <w:rsid w:val="006C756C"/>
    <w:rsid w:val="006C7C65"/>
    <w:rsid w:val="006D0516"/>
    <w:rsid w:val="006D0FCD"/>
    <w:rsid w:val="006D218F"/>
    <w:rsid w:val="006D56DF"/>
    <w:rsid w:val="006D5BE8"/>
    <w:rsid w:val="006D62AE"/>
    <w:rsid w:val="006D7A82"/>
    <w:rsid w:val="006E0573"/>
    <w:rsid w:val="006E07CF"/>
    <w:rsid w:val="006E1945"/>
    <w:rsid w:val="006E2178"/>
    <w:rsid w:val="006E6C06"/>
    <w:rsid w:val="006F07A9"/>
    <w:rsid w:val="006F1431"/>
    <w:rsid w:val="006F26B2"/>
    <w:rsid w:val="006F28A1"/>
    <w:rsid w:val="006F2BA3"/>
    <w:rsid w:val="006F348D"/>
    <w:rsid w:val="006F58EC"/>
    <w:rsid w:val="00700C25"/>
    <w:rsid w:val="00701E76"/>
    <w:rsid w:val="0070201A"/>
    <w:rsid w:val="0070230A"/>
    <w:rsid w:val="0070248F"/>
    <w:rsid w:val="00702E9E"/>
    <w:rsid w:val="00702EEC"/>
    <w:rsid w:val="007051ED"/>
    <w:rsid w:val="0070548D"/>
    <w:rsid w:val="00705C06"/>
    <w:rsid w:val="00706FEE"/>
    <w:rsid w:val="00710232"/>
    <w:rsid w:val="007113B5"/>
    <w:rsid w:val="0071227C"/>
    <w:rsid w:val="00712FE8"/>
    <w:rsid w:val="00713760"/>
    <w:rsid w:val="007142AC"/>
    <w:rsid w:val="007161B5"/>
    <w:rsid w:val="007165B9"/>
    <w:rsid w:val="0071664D"/>
    <w:rsid w:val="00716A0A"/>
    <w:rsid w:val="00716D64"/>
    <w:rsid w:val="0071799B"/>
    <w:rsid w:val="0072292F"/>
    <w:rsid w:val="007231F7"/>
    <w:rsid w:val="007262D8"/>
    <w:rsid w:val="0072755B"/>
    <w:rsid w:val="00733785"/>
    <w:rsid w:val="007363B6"/>
    <w:rsid w:val="00736D49"/>
    <w:rsid w:val="00736F89"/>
    <w:rsid w:val="00740BE5"/>
    <w:rsid w:val="0074286C"/>
    <w:rsid w:val="00743545"/>
    <w:rsid w:val="0074590F"/>
    <w:rsid w:val="007464B1"/>
    <w:rsid w:val="00746BA8"/>
    <w:rsid w:val="00747298"/>
    <w:rsid w:val="00747DDE"/>
    <w:rsid w:val="007518DA"/>
    <w:rsid w:val="00754D3A"/>
    <w:rsid w:val="00754E00"/>
    <w:rsid w:val="007551B0"/>
    <w:rsid w:val="007557E4"/>
    <w:rsid w:val="00755885"/>
    <w:rsid w:val="00755C33"/>
    <w:rsid w:val="00756213"/>
    <w:rsid w:val="00756924"/>
    <w:rsid w:val="00756C52"/>
    <w:rsid w:val="007574F1"/>
    <w:rsid w:val="007579EC"/>
    <w:rsid w:val="00757BB5"/>
    <w:rsid w:val="00757C25"/>
    <w:rsid w:val="00761804"/>
    <w:rsid w:val="007620B6"/>
    <w:rsid w:val="00762993"/>
    <w:rsid w:val="007642AD"/>
    <w:rsid w:val="00764338"/>
    <w:rsid w:val="00764F99"/>
    <w:rsid w:val="007656DE"/>
    <w:rsid w:val="00766448"/>
    <w:rsid w:val="007668A0"/>
    <w:rsid w:val="007670E1"/>
    <w:rsid w:val="00771734"/>
    <w:rsid w:val="00771A5E"/>
    <w:rsid w:val="00772884"/>
    <w:rsid w:val="00775BA4"/>
    <w:rsid w:val="00776ED4"/>
    <w:rsid w:val="00777C41"/>
    <w:rsid w:val="00780343"/>
    <w:rsid w:val="007807B5"/>
    <w:rsid w:val="00783FBE"/>
    <w:rsid w:val="00784B02"/>
    <w:rsid w:val="00785532"/>
    <w:rsid w:val="007857B2"/>
    <w:rsid w:val="007864E1"/>
    <w:rsid w:val="007866BF"/>
    <w:rsid w:val="00787658"/>
    <w:rsid w:val="007876B2"/>
    <w:rsid w:val="007879A4"/>
    <w:rsid w:val="007918E0"/>
    <w:rsid w:val="00791D1E"/>
    <w:rsid w:val="00792E6A"/>
    <w:rsid w:val="007931F5"/>
    <w:rsid w:val="00793BD0"/>
    <w:rsid w:val="007967F5"/>
    <w:rsid w:val="00796F1E"/>
    <w:rsid w:val="007976AD"/>
    <w:rsid w:val="007978ED"/>
    <w:rsid w:val="00797CFF"/>
    <w:rsid w:val="00797E3D"/>
    <w:rsid w:val="007A00F0"/>
    <w:rsid w:val="007A04A6"/>
    <w:rsid w:val="007A11CE"/>
    <w:rsid w:val="007A157D"/>
    <w:rsid w:val="007A1E24"/>
    <w:rsid w:val="007A2140"/>
    <w:rsid w:val="007A2286"/>
    <w:rsid w:val="007A3ED8"/>
    <w:rsid w:val="007A6C8C"/>
    <w:rsid w:val="007B2E9C"/>
    <w:rsid w:val="007B32F6"/>
    <w:rsid w:val="007B390F"/>
    <w:rsid w:val="007B4731"/>
    <w:rsid w:val="007B50CA"/>
    <w:rsid w:val="007B5B14"/>
    <w:rsid w:val="007B662F"/>
    <w:rsid w:val="007B666A"/>
    <w:rsid w:val="007C6DD9"/>
    <w:rsid w:val="007D2AF1"/>
    <w:rsid w:val="007D32A9"/>
    <w:rsid w:val="007D35E4"/>
    <w:rsid w:val="007D4131"/>
    <w:rsid w:val="007D5117"/>
    <w:rsid w:val="007D5917"/>
    <w:rsid w:val="007E1980"/>
    <w:rsid w:val="007E20E8"/>
    <w:rsid w:val="007E6F06"/>
    <w:rsid w:val="007F1460"/>
    <w:rsid w:val="007F21DC"/>
    <w:rsid w:val="007F2520"/>
    <w:rsid w:val="007F2686"/>
    <w:rsid w:val="007F3484"/>
    <w:rsid w:val="007F375B"/>
    <w:rsid w:val="007F3E8A"/>
    <w:rsid w:val="007F45F2"/>
    <w:rsid w:val="007F4DA6"/>
    <w:rsid w:val="007F7C87"/>
    <w:rsid w:val="00801BB3"/>
    <w:rsid w:val="00802132"/>
    <w:rsid w:val="008034E0"/>
    <w:rsid w:val="0080382A"/>
    <w:rsid w:val="00806273"/>
    <w:rsid w:val="00806E8B"/>
    <w:rsid w:val="00807955"/>
    <w:rsid w:val="00811BE0"/>
    <w:rsid w:val="008120EF"/>
    <w:rsid w:val="00814C75"/>
    <w:rsid w:val="00815EB0"/>
    <w:rsid w:val="008167EF"/>
    <w:rsid w:val="00821E45"/>
    <w:rsid w:val="00822218"/>
    <w:rsid w:val="0082414D"/>
    <w:rsid w:val="00826606"/>
    <w:rsid w:val="00830AF6"/>
    <w:rsid w:val="00830F1E"/>
    <w:rsid w:val="0083226E"/>
    <w:rsid w:val="00833222"/>
    <w:rsid w:val="00833360"/>
    <w:rsid w:val="008349A5"/>
    <w:rsid w:val="00834BFB"/>
    <w:rsid w:val="0083649D"/>
    <w:rsid w:val="00837597"/>
    <w:rsid w:val="00837747"/>
    <w:rsid w:val="00840468"/>
    <w:rsid w:val="008404C5"/>
    <w:rsid w:val="008413FE"/>
    <w:rsid w:val="00843233"/>
    <w:rsid w:val="00845791"/>
    <w:rsid w:val="0084780A"/>
    <w:rsid w:val="00850C9A"/>
    <w:rsid w:val="00851EFA"/>
    <w:rsid w:val="00852CCD"/>
    <w:rsid w:val="0085355F"/>
    <w:rsid w:val="008603B4"/>
    <w:rsid w:val="008612D7"/>
    <w:rsid w:val="00861775"/>
    <w:rsid w:val="008617C1"/>
    <w:rsid w:val="008621FE"/>
    <w:rsid w:val="0086622F"/>
    <w:rsid w:val="00866562"/>
    <w:rsid w:val="008670DF"/>
    <w:rsid w:val="008711EF"/>
    <w:rsid w:val="008715B2"/>
    <w:rsid w:val="00872362"/>
    <w:rsid w:val="00872B65"/>
    <w:rsid w:val="00872C7E"/>
    <w:rsid w:val="00873F96"/>
    <w:rsid w:val="0088049C"/>
    <w:rsid w:val="0088098A"/>
    <w:rsid w:val="008830AC"/>
    <w:rsid w:val="00883CE7"/>
    <w:rsid w:val="00883D18"/>
    <w:rsid w:val="008848E9"/>
    <w:rsid w:val="00885CDD"/>
    <w:rsid w:val="008901FA"/>
    <w:rsid w:val="00890D32"/>
    <w:rsid w:val="00890F58"/>
    <w:rsid w:val="0089147A"/>
    <w:rsid w:val="00891ADC"/>
    <w:rsid w:val="008921B2"/>
    <w:rsid w:val="008939E3"/>
    <w:rsid w:val="00894A74"/>
    <w:rsid w:val="0089596F"/>
    <w:rsid w:val="008A0004"/>
    <w:rsid w:val="008A0735"/>
    <w:rsid w:val="008A2309"/>
    <w:rsid w:val="008A2A26"/>
    <w:rsid w:val="008A3569"/>
    <w:rsid w:val="008A373C"/>
    <w:rsid w:val="008A3EA1"/>
    <w:rsid w:val="008A7C58"/>
    <w:rsid w:val="008B0470"/>
    <w:rsid w:val="008B2152"/>
    <w:rsid w:val="008B2677"/>
    <w:rsid w:val="008B3678"/>
    <w:rsid w:val="008B3D72"/>
    <w:rsid w:val="008B420B"/>
    <w:rsid w:val="008B6C26"/>
    <w:rsid w:val="008B726E"/>
    <w:rsid w:val="008C0976"/>
    <w:rsid w:val="008C143A"/>
    <w:rsid w:val="008C2256"/>
    <w:rsid w:val="008C255D"/>
    <w:rsid w:val="008C2636"/>
    <w:rsid w:val="008C3C5F"/>
    <w:rsid w:val="008C5517"/>
    <w:rsid w:val="008C593A"/>
    <w:rsid w:val="008C6AD3"/>
    <w:rsid w:val="008C7AAD"/>
    <w:rsid w:val="008D0432"/>
    <w:rsid w:val="008D06DB"/>
    <w:rsid w:val="008D227E"/>
    <w:rsid w:val="008D3155"/>
    <w:rsid w:val="008D4D3A"/>
    <w:rsid w:val="008D4FDF"/>
    <w:rsid w:val="008D5957"/>
    <w:rsid w:val="008D5E3D"/>
    <w:rsid w:val="008D61EB"/>
    <w:rsid w:val="008D7E20"/>
    <w:rsid w:val="008E2843"/>
    <w:rsid w:val="008E287E"/>
    <w:rsid w:val="008E2A4C"/>
    <w:rsid w:val="008E3C40"/>
    <w:rsid w:val="008E6A9B"/>
    <w:rsid w:val="008E6CDA"/>
    <w:rsid w:val="008E77C3"/>
    <w:rsid w:val="008F44EC"/>
    <w:rsid w:val="008F5202"/>
    <w:rsid w:val="008F578D"/>
    <w:rsid w:val="008F64C3"/>
    <w:rsid w:val="00900892"/>
    <w:rsid w:val="00900E97"/>
    <w:rsid w:val="00902FA6"/>
    <w:rsid w:val="00903406"/>
    <w:rsid w:val="00905C22"/>
    <w:rsid w:val="00910568"/>
    <w:rsid w:val="00912B86"/>
    <w:rsid w:val="00912D25"/>
    <w:rsid w:val="0091490C"/>
    <w:rsid w:val="0091514B"/>
    <w:rsid w:val="00915551"/>
    <w:rsid w:val="00920646"/>
    <w:rsid w:val="00921465"/>
    <w:rsid w:val="0092303E"/>
    <w:rsid w:val="0092532B"/>
    <w:rsid w:val="00926365"/>
    <w:rsid w:val="0092737A"/>
    <w:rsid w:val="00927430"/>
    <w:rsid w:val="00927A80"/>
    <w:rsid w:val="00927F9D"/>
    <w:rsid w:val="0093070E"/>
    <w:rsid w:val="00931BC6"/>
    <w:rsid w:val="00932E49"/>
    <w:rsid w:val="00933D2E"/>
    <w:rsid w:val="00935C9F"/>
    <w:rsid w:val="00936C21"/>
    <w:rsid w:val="009374AE"/>
    <w:rsid w:val="00941D6B"/>
    <w:rsid w:val="00943837"/>
    <w:rsid w:val="009439F9"/>
    <w:rsid w:val="00943D0F"/>
    <w:rsid w:val="0094604C"/>
    <w:rsid w:val="00947BA9"/>
    <w:rsid w:val="00947ECC"/>
    <w:rsid w:val="009500E4"/>
    <w:rsid w:val="00953885"/>
    <w:rsid w:val="00953AE0"/>
    <w:rsid w:val="0095447D"/>
    <w:rsid w:val="009565C0"/>
    <w:rsid w:val="009573F3"/>
    <w:rsid w:val="009577D1"/>
    <w:rsid w:val="00960197"/>
    <w:rsid w:val="00961AC3"/>
    <w:rsid w:val="0096361C"/>
    <w:rsid w:val="00963D39"/>
    <w:rsid w:val="00964BA1"/>
    <w:rsid w:val="00966415"/>
    <w:rsid w:val="00966DE5"/>
    <w:rsid w:val="00966DFA"/>
    <w:rsid w:val="00967134"/>
    <w:rsid w:val="009725B8"/>
    <w:rsid w:val="009729A9"/>
    <w:rsid w:val="0097435B"/>
    <w:rsid w:val="009757EF"/>
    <w:rsid w:val="00976A92"/>
    <w:rsid w:val="00977C0C"/>
    <w:rsid w:val="00980911"/>
    <w:rsid w:val="009810E9"/>
    <w:rsid w:val="0098180D"/>
    <w:rsid w:val="009820B5"/>
    <w:rsid w:val="009843FD"/>
    <w:rsid w:val="00985115"/>
    <w:rsid w:val="00985489"/>
    <w:rsid w:val="009854CA"/>
    <w:rsid w:val="00985AE6"/>
    <w:rsid w:val="00985B3B"/>
    <w:rsid w:val="00986339"/>
    <w:rsid w:val="009865CC"/>
    <w:rsid w:val="009867E0"/>
    <w:rsid w:val="00992C50"/>
    <w:rsid w:val="00997AAA"/>
    <w:rsid w:val="00997FD9"/>
    <w:rsid w:val="009A0B6B"/>
    <w:rsid w:val="009A2EB1"/>
    <w:rsid w:val="009A38F5"/>
    <w:rsid w:val="009A4678"/>
    <w:rsid w:val="009A55AD"/>
    <w:rsid w:val="009A6712"/>
    <w:rsid w:val="009B0829"/>
    <w:rsid w:val="009B13B8"/>
    <w:rsid w:val="009B1660"/>
    <w:rsid w:val="009B1FC5"/>
    <w:rsid w:val="009B28A3"/>
    <w:rsid w:val="009B2C53"/>
    <w:rsid w:val="009B4382"/>
    <w:rsid w:val="009B440B"/>
    <w:rsid w:val="009B5739"/>
    <w:rsid w:val="009B7FBE"/>
    <w:rsid w:val="009C0EC6"/>
    <w:rsid w:val="009C46CA"/>
    <w:rsid w:val="009C5E38"/>
    <w:rsid w:val="009C67CD"/>
    <w:rsid w:val="009D00B3"/>
    <w:rsid w:val="009D14C9"/>
    <w:rsid w:val="009D2E6C"/>
    <w:rsid w:val="009D4974"/>
    <w:rsid w:val="009D4F65"/>
    <w:rsid w:val="009E0771"/>
    <w:rsid w:val="009E1D19"/>
    <w:rsid w:val="009E1F04"/>
    <w:rsid w:val="009E3B48"/>
    <w:rsid w:val="009E5AB5"/>
    <w:rsid w:val="009E6A2B"/>
    <w:rsid w:val="009E6C68"/>
    <w:rsid w:val="009E7808"/>
    <w:rsid w:val="009F0A43"/>
    <w:rsid w:val="009F1D41"/>
    <w:rsid w:val="009F4071"/>
    <w:rsid w:val="009F6BFF"/>
    <w:rsid w:val="00A0016A"/>
    <w:rsid w:val="00A0098B"/>
    <w:rsid w:val="00A00C9A"/>
    <w:rsid w:val="00A014DF"/>
    <w:rsid w:val="00A01C5C"/>
    <w:rsid w:val="00A03E70"/>
    <w:rsid w:val="00A0710C"/>
    <w:rsid w:val="00A07E2E"/>
    <w:rsid w:val="00A1050C"/>
    <w:rsid w:val="00A1060F"/>
    <w:rsid w:val="00A132A6"/>
    <w:rsid w:val="00A13897"/>
    <w:rsid w:val="00A14B05"/>
    <w:rsid w:val="00A1551E"/>
    <w:rsid w:val="00A174ED"/>
    <w:rsid w:val="00A179B7"/>
    <w:rsid w:val="00A21B69"/>
    <w:rsid w:val="00A22244"/>
    <w:rsid w:val="00A22809"/>
    <w:rsid w:val="00A22A99"/>
    <w:rsid w:val="00A259C6"/>
    <w:rsid w:val="00A266AC"/>
    <w:rsid w:val="00A27B7E"/>
    <w:rsid w:val="00A27D97"/>
    <w:rsid w:val="00A307F2"/>
    <w:rsid w:val="00A339DB"/>
    <w:rsid w:val="00A35A11"/>
    <w:rsid w:val="00A37449"/>
    <w:rsid w:val="00A374AD"/>
    <w:rsid w:val="00A37823"/>
    <w:rsid w:val="00A405DE"/>
    <w:rsid w:val="00A416CE"/>
    <w:rsid w:val="00A44A96"/>
    <w:rsid w:val="00A44CFB"/>
    <w:rsid w:val="00A460C4"/>
    <w:rsid w:val="00A47D7E"/>
    <w:rsid w:val="00A47F7B"/>
    <w:rsid w:val="00A5113C"/>
    <w:rsid w:val="00A517DD"/>
    <w:rsid w:val="00A521F0"/>
    <w:rsid w:val="00A552E4"/>
    <w:rsid w:val="00A55842"/>
    <w:rsid w:val="00A56E6F"/>
    <w:rsid w:val="00A57D31"/>
    <w:rsid w:val="00A60F8F"/>
    <w:rsid w:val="00A61130"/>
    <w:rsid w:val="00A61F93"/>
    <w:rsid w:val="00A63AEC"/>
    <w:rsid w:val="00A67215"/>
    <w:rsid w:val="00A67424"/>
    <w:rsid w:val="00A67789"/>
    <w:rsid w:val="00A70940"/>
    <w:rsid w:val="00A72E39"/>
    <w:rsid w:val="00A74C26"/>
    <w:rsid w:val="00A74C64"/>
    <w:rsid w:val="00A75D14"/>
    <w:rsid w:val="00A76418"/>
    <w:rsid w:val="00A77333"/>
    <w:rsid w:val="00A77736"/>
    <w:rsid w:val="00A80611"/>
    <w:rsid w:val="00A83E97"/>
    <w:rsid w:val="00A84FAB"/>
    <w:rsid w:val="00A85236"/>
    <w:rsid w:val="00A876B4"/>
    <w:rsid w:val="00A90398"/>
    <w:rsid w:val="00A9064B"/>
    <w:rsid w:val="00A90B87"/>
    <w:rsid w:val="00A911BC"/>
    <w:rsid w:val="00A918BD"/>
    <w:rsid w:val="00A93798"/>
    <w:rsid w:val="00A93D9C"/>
    <w:rsid w:val="00A94CC3"/>
    <w:rsid w:val="00A9589B"/>
    <w:rsid w:val="00A958A2"/>
    <w:rsid w:val="00A971FB"/>
    <w:rsid w:val="00AA117F"/>
    <w:rsid w:val="00AA3F06"/>
    <w:rsid w:val="00AA4714"/>
    <w:rsid w:val="00AA5011"/>
    <w:rsid w:val="00AA5CF3"/>
    <w:rsid w:val="00AA66A3"/>
    <w:rsid w:val="00AA6D35"/>
    <w:rsid w:val="00AA702A"/>
    <w:rsid w:val="00AB0899"/>
    <w:rsid w:val="00AB1863"/>
    <w:rsid w:val="00AB2426"/>
    <w:rsid w:val="00AB420E"/>
    <w:rsid w:val="00AB5602"/>
    <w:rsid w:val="00AB6077"/>
    <w:rsid w:val="00AB71D2"/>
    <w:rsid w:val="00AC1651"/>
    <w:rsid w:val="00AC4EA8"/>
    <w:rsid w:val="00AC5888"/>
    <w:rsid w:val="00AC60CA"/>
    <w:rsid w:val="00AC7663"/>
    <w:rsid w:val="00AD0EC9"/>
    <w:rsid w:val="00AD21E7"/>
    <w:rsid w:val="00AD232E"/>
    <w:rsid w:val="00AD2DF2"/>
    <w:rsid w:val="00AD3B6B"/>
    <w:rsid w:val="00AD3FD0"/>
    <w:rsid w:val="00AD4E29"/>
    <w:rsid w:val="00AD4FB9"/>
    <w:rsid w:val="00AD59C9"/>
    <w:rsid w:val="00AD5B6F"/>
    <w:rsid w:val="00AD6F2B"/>
    <w:rsid w:val="00AD728B"/>
    <w:rsid w:val="00AE0007"/>
    <w:rsid w:val="00AE0F29"/>
    <w:rsid w:val="00AE24AB"/>
    <w:rsid w:val="00AE300A"/>
    <w:rsid w:val="00AE31C9"/>
    <w:rsid w:val="00AE3977"/>
    <w:rsid w:val="00AE6F02"/>
    <w:rsid w:val="00AE6F4C"/>
    <w:rsid w:val="00AE78A3"/>
    <w:rsid w:val="00AF0374"/>
    <w:rsid w:val="00AF35C0"/>
    <w:rsid w:val="00AF3C8D"/>
    <w:rsid w:val="00AF59DA"/>
    <w:rsid w:val="00AF6CA0"/>
    <w:rsid w:val="00B01577"/>
    <w:rsid w:val="00B0288E"/>
    <w:rsid w:val="00B04BA8"/>
    <w:rsid w:val="00B0594D"/>
    <w:rsid w:val="00B12100"/>
    <w:rsid w:val="00B13B1F"/>
    <w:rsid w:val="00B174D3"/>
    <w:rsid w:val="00B17DCA"/>
    <w:rsid w:val="00B22BE0"/>
    <w:rsid w:val="00B242B5"/>
    <w:rsid w:val="00B24374"/>
    <w:rsid w:val="00B2437E"/>
    <w:rsid w:val="00B24935"/>
    <w:rsid w:val="00B25A4D"/>
    <w:rsid w:val="00B26EE8"/>
    <w:rsid w:val="00B278C4"/>
    <w:rsid w:val="00B30410"/>
    <w:rsid w:val="00B30737"/>
    <w:rsid w:val="00B31237"/>
    <w:rsid w:val="00B312C7"/>
    <w:rsid w:val="00B325AC"/>
    <w:rsid w:val="00B32CBA"/>
    <w:rsid w:val="00B33F2E"/>
    <w:rsid w:val="00B33F65"/>
    <w:rsid w:val="00B348E4"/>
    <w:rsid w:val="00B374C8"/>
    <w:rsid w:val="00B419D6"/>
    <w:rsid w:val="00B419E0"/>
    <w:rsid w:val="00B428E9"/>
    <w:rsid w:val="00B43CE8"/>
    <w:rsid w:val="00B4604B"/>
    <w:rsid w:val="00B473AC"/>
    <w:rsid w:val="00B4767D"/>
    <w:rsid w:val="00B504BA"/>
    <w:rsid w:val="00B5408F"/>
    <w:rsid w:val="00B5633C"/>
    <w:rsid w:val="00B56877"/>
    <w:rsid w:val="00B5745B"/>
    <w:rsid w:val="00B60489"/>
    <w:rsid w:val="00B60D38"/>
    <w:rsid w:val="00B60E84"/>
    <w:rsid w:val="00B66868"/>
    <w:rsid w:val="00B71890"/>
    <w:rsid w:val="00B7355D"/>
    <w:rsid w:val="00B7363A"/>
    <w:rsid w:val="00B73A0F"/>
    <w:rsid w:val="00B74345"/>
    <w:rsid w:val="00B74BA9"/>
    <w:rsid w:val="00B77BE4"/>
    <w:rsid w:val="00B819ED"/>
    <w:rsid w:val="00B81C0F"/>
    <w:rsid w:val="00B823C5"/>
    <w:rsid w:val="00B83932"/>
    <w:rsid w:val="00B8450F"/>
    <w:rsid w:val="00B85300"/>
    <w:rsid w:val="00B85401"/>
    <w:rsid w:val="00B85D36"/>
    <w:rsid w:val="00B86515"/>
    <w:rsid w:val="00B86602"/>
    <w:rsid w:val="00B86670"/>
    <w:rsid w:val="00B87882"/>
    <w:rsid w:val="00B91108"/>
    <w:rsid w:val="00B91692"/>
    <w:rsid w:val="00B917A7"/>
    <w:rsid w:val="00B92D89"/>
    <w:rsid w:val="00B941CD"/>
    <w:rsid w:val="00B94DCB"/>
    <w:rsid w:val="00B9544F"/>
    <w:rsid w:val="00B957D1"/>
    <w:rsid w:val="00B958C1"/>
    <w:rsid w:val="00B95DE1"/>
    <w:rsid w:val="00B962D5"/>
    <w:rsid w:val="00B9695C"/>
    <w:rsid w:val="00B96A25"/>
    <w:rsid w:val="00B97F47"/>
    <w:rsid w:val="00BA213A"/>
    <w:rsid w:val="00BA501E"/>
    <w:rsid w:val="00BA555C"/>
    <w:rsid w:val="00BA6D67"/>
    <w:rsid w:val="00BB0895"/>
    <w:rsid w:val="00BB0ADA"/>
    <w:rsid w:val="00BB3AC1"/>
    <w:rsid w:val="00BB4C42"/>
    <w:rsid w:val="00BB4C81"/>
    <w:rsid w:val="00BB686A"/>
    <w:rsid w:val="00BB7F6C"/>
    <w:rsid w:val="00BC2CDB"/>
    <w:rsid w:val="00BC31E4"/>
    <w:rsid w:val="00BC3587"/>
    <w:rsid w:val="00BC4809"/>
    <w:rsid w:val="00BC4FB9"/>
    <w:rsid w:val="00BC5614"/>
    <w:rsid w:val="00BC723B"/>
    <w:rsid w:val="00BC76C3"/>
    <w:rsid w:val="00BD0B31"/>
    <w:rsid w:val="00BD3940"/>
    <w:rsid w:val="00BD3AA3"/>
    <w:rsid w:val="00BD4C27"/>
    <w:rsid w:val="00BD52F6"/>
    <w:rsid w:val="00BD6AAE"/>
    <w:rsid w:val="00BD74FB"/>
    <w:rsid w:val="00BE0E54"/>
    <w:rsid w:val="00BE10CA"/>
    <w:rsid w:val="00BE1745"/>
    <w:rsid w:val="00BE2095"/>
    <w:rsid w:val="00BE23A6"/>
    <w:rsid w:val="00BE3998"/>
    <w:rsid w:val="00BE3A20"/>
    <w:rsid w:val="00BE453E"/>
    <w:rsid w:val="00BE4781"/>
    <w:rsid w:val="00BE51AD"/>
    <w:rsid w:val="00BE6D01"/>
    <w:rsid w:val="00BE7498"/>
    <w:rsid w:val="00BF055F"/>
    <w:rsid w:val="00BF0D2E"/>
    <w:rsid w:val="00BF3012"/>
    <w:rsid w:val="00BF32F1"/>
    <w:rsid w:val="00BF7D18"/>
    <w:rsid w:val="00BF7D1B"/>
    <w:rsid w:val="00C0159E"/>
    <w:rsid w:val="00C03D2C"/>
    <w:rsid w:val="00C05860"/>
    <w:rsid w:val="00C05F02"/>
    <w:rsid w:val="00C06148"/>
    <w:rsid w:val="00C10243"/>
    <w:rsid w:val="00C11444"/>
    <w:rsid w:val="00C12CCE"/>
    <w:rsid w:val="00C14527"/>
    <w:rsid w:val="00C153BB"/>
    <w:rsid w:val="00C15EE0"/>
    <w:rsid w:val="00C17F31"/>
    <w:rsid w:val="00C17F78"/>
    <w:rsid w:val="00C205AC"/>
    <w:rsid w:val="00C21C95"/>
    <w:rsid w:val="00C225F9"/>
    <w:rsid w:val="00C229DF"/>
    <w:rsid w:val="00C2500F"/>
    <w:rsid w:val="00C302CD"/>
    <w:rsid w:val="00C34CA0"/>
    <w:rsid w:val="00C35051"/>
    <w:rsid w:val="00C35358"/>
    <w:rsid w:val="00C367BA"/>
    <w:rsid w:val="00C37F4F"/>
    <w:rsid w:val="00C40D36"/>
    <w:rsid w:val="00C43788"/>
    <w:rsid w:val="00C44EB3"/>
    <w:rsid w:val="00C450B5"/>
    <w:rsid w:val="00C466E4"/>
    <w:rsid w:val="00C47EF8"/>
    <w:rsid w:val="00C50726"/>
    <w:rsid w:val="00C5172C"/>
    <w:rsid w:val="00C52320"/>
    <w:rsid w:val="00C5291B"/>
    <w:rsid w:val="00C538DF"/>
    <w:rsid w:val="00C55CCF"/>
    <w:rsid w:val="00C562B6"/>
    <w:rsid w:val="00C57101"/>
    <w:rsid w:val="00C579AE"/>
    <w:rsid w:val="00C6008E"/>
    <w:rsid w:val="00C62A0B"/>
    <w:rsid w:val="00C64556"/>
    <w:rsid w:val="00C6560C"/>
    <w:rsid w:val="00C6619A"/>
    <w:rsid w:val="00C70630"/>
    <w:rsid w:val="00C7170A"/>
    <w:rsid w:val="00C72E81"/>
    <w:rsid w:val="00C734DE"/>
    <w:rsid w:val="00C76642"/>
    <w:rsid w:val="00C76EAC"/>
    <w:rsid w:val="00C77227"/>
    <w:rsid w:val="00C77C62"/>
    <w:rsid w:val="00C77D16"/>
    <w:rsid w:val="00C81861"/>
    <w:rsid w:val="00C85322"/>
    <w:rsid w:val="00C856C3"/>
    <w:rsid w:val="00C85811"/>
    <w:rsid w:val="00C86542"/>
    <w:rsid w:val="00C86B21"/>
    <w:rsid w:val="00C86BD4"/>
    <w:rsid w:val="00C86BD8"/>
    <w:rsid w:val="00C86E62"/>
    <w:rsid w:val="00C908CD"/>
    <w:rsid w:val="00C90C2A"/>
    <w:rsid w:val="00C91AF4"/>
    <w:rsid w:val="00C91B13"/>
    <w:rsid w:val="00C928DE"/>
    <w:rsid w:val="00C96B75"/>
    <w:rsid w:val="00C96EF3"/>
    <w:rsid w:val="00C9747D"/>
    <w:rsid w:val="00C976D6"/>
    <w:rsid w:val="00C97DB5"/>
    <w:rsid w:val="00CA0800"/>
    <w:rsid w:val="00CA3265"/>
    <w:rsid w:val="00CA3CEF"/>
    <w:rsid w:val="00CA3EDB"/>
    <w:rsid w:val="00CA4DCD"/>
    <w:rsid w:val="00CA610C"/>
    <w:rsid w:val="00CA730A"/>
    <w:rsid w:val="00CB0372"/>
    <w:rsid w:val="00CB056D"/>
    <w:rsid w:val="00CB05C7"/>
    <w:rsid w:val="00CB0CB2"/>
    <w:rsid w:val="00CB7426"/>
    <w:rsid w:val="00CB7C83"/>
    <w:rsid w:val="00CC015C"/>
    <w:rsid w:val="00CC14B8"/>
    <w:rsid w:val="00CC19B9"/>
    <w:rsid w:val="00CC1ABC"/>
    <w:rsid w:val="00CC1F73"/>
    <w:rsid w:val="00CC25C9"/>
    <w:rsid w:val="00CC3BFB"/>
    <w:rsid w:val="00CC4B1B"/>
    <w:rsid w:val="00CC6B14"/>
    <w:rsid w:val="00CD0612"/>
    <w:rsid w:val="00CD230D"/>
    <w:rsid w:val="00CD2915"/>
    <w:rsid w:val="00CD3758"/>
    <w:rsid w:val="00CD400B"/>
    <w:rsid w:val="00CD480E"/>
    <w:rsid w:val="00CD5219"/>
    <w:rsid w:val="00CD62D6"/>
    <w:rsid w:val="00CD6A16"/>
    <w:rsid w:val="00CD7EBB"/>
    <w:rsid w:val="00CE10C9"/>
    <w:rsid w:val="00CE1267"/>
    <w:rsid w:val="00CE1A1E"/>
    <w:rsid w:val="00CE3493"/>
    <w:rsid w:val="00CE4312"/>
    <w:rsid w:val="00CE4C88"/>
    <w:rsid w:val="00CE4F35"/>
    <w:rsid w:val="00CE60E8"/>
    <w:rsid w:val="00CE63C9"/>
    <w:rsid w:val="00CE7D68"/>
    <w:rsid w:val="00CF269A"/>
    <w:rsid w:val="00CF2AD6"/>
    <w:rsid w:val="00CF2F60"/>
    <w:rsid w:val="00CF4174"/>
    <w:rsid w:val="00CF5218"/>
    <w:rsid w:val="00CF5C99"/>
    <w:rsid w:val="00CF6BE4"/>
    <w:rsid w:val="00D01906"/>
    <w:rsid w:val="00D030D9"/>
    <w:rsid w:val="00D06FC4"/>
    <w:rsid w:val="00D0765B"/>
    <w:rsid w:val="00D07896"/>
    <w:rsid w:val="00D11CFE"/>
    <w:rsid w:val="00D11F5E"/>
    <w:rsid w:val="00D133E4"/>
    <w:rsid w:val="00D136AE"/>
    <w:rsid w:val="00D13F9F"/>
    <w:rsid w:val="00D15401"/>
    <w:rsid w:val="00D174AE"/>
    <w:rsid w:val="00D2000A"/>
    <w:rsid w:val="00D21CF4"/>
    <w:rsid w:val="00D21F26"/>
    <w:rsid w:val="00D22B6F"/>
    <w:rsid w:val="00D22DEE"/>
    <w:rsid w:val="00D232DC"/>
    <w:rsid w:val="00D23DE3"/>
    <w:rsid w:val="00D26C06"/>
    <w:rsid w:val="00D27115"/>
    <w:rsid w:val="00D27211"/>
    <w:rsid w:val="00D27A74"/>
    <w:rsid w:val="00D306F3"/>
    <w:rsid w:val="00D309C0"/>
    <w:rsid w:val="00D30A79"/>
    <w:rsid w:val="00D31C4C"/>
    <w:rsid w:val="00D324EA"/>
    <w:rsid w:val="00D33218"/>
    <w:rsid w:val="00D3437A"/>
    <w:rsid w:val="00D34423"/>
    <w:rsid w:val="00D34447"/>
    <w:rsid w:val="00D34B08"/>
    <w:rsid w:val="00D34C41"/>
    <w:rsid w:val="00D3577D"/>
    <w:rsid w:val="00D359C0"/>
    <w:rsid w:val="00D37765"/>
    <w:rsid w:val="00D40324"/>
    <w:rsid w:val="00D416B0"/>
    <w:rsid w:val="00D41CC9"/>
    <w:rsid w:val="00D43D0B"/>
    <w:rsid w:val="00D441FC"/>
    <w:rsid w:val="00D44D37"/>
    <w:rsid w:val="00D46C52"/>
    <w:rsid w:val="00D52C8C"/>
    <w:rsid w:val="00D53C28"/>
    <w:rsid w:val="00D54A7C"/>
    <w:rsid w:val="00D57165"/>
    <w:rsid w:val="00D61554"/>
    <w:rsid w:val="00D63B72"/>
    <w:rsid w:val="00D6421A"/>
    <w:rsid w:val="00D645D3"/>
    <w:rsid w:val="00D658C8"/>
    <w:rsid w:val="00D65B21"/>
    <w:rsid w:val="00D660C9"/>
    <w:rsid w:val="00D66727"/>
    <w:rsid w:val="00D66D76"/>
    <w:rsid w:val="00D67C8F"/>
    <w:rsid w:val="00D70CE9"/>
    <w:rsid w:val="00D75235"/>
    <w:rsid w:val="00D76419"/>
    <w:rsid w:val="00D76493"/>
    <w:rsid w:val="00D77534"/>
    <w:rsid w:val="00D819BC"/>
    <w:rsid w:val="00D81EFA"/>
    <w:rsid w:val="00D82BA8"/>
    <w:rsid w:val="00D83AC0"/>
    <w:rsid w:val="00D83F25"/>
    <w:rsid w:val="00D87E1F"/>
    <w:rsid w:val="00D90F94"/>
    <w:rsid w:val="00D92906"/>
    <w:rsid w:val="00D9511B"/>
    <w:rsid w:val="00D954EB"/>
    <w:rsid w:val="00D97CDB"/>
    <w:rsid w:val="00DA234B"/>
    <w:rsid w:val="00DA55A4"/>
    <w:rsid w:val="00DA65F1"/>
    <w:rsid w:val="00DB0814"/>
    <w:rsid w:val="00DB2904"/>
    <w:rsid w:val="00DB2B5E"/>
    <w:rsid w:val="00DB3DDE"/>
    <w:rsid w:val="00DB4A9B"/>
    <w:rsid w:val="00DB5A9A"/>
    <w:rsid w:val="00DB5C8C"/>
    <w:rsid w:val="00DB6636"/>
    <w:rsid w:val="00DB68E0"/>
    <w:rsid w:val="00DB70CA"/>
    <w:rsid w:val="00DC23F9"/>
    <w:rsid w:val="00DC25B4"/>
    <w:rsid w:val="00DC282C"/>
    <w:rsid w:val="00DC2863"/>
    <w:rsid w:val="00DC29BD"/>
    <w:rsid w:val="00DC4FDC"/>
    <w:rsid w:val="00DC59A7"/>
    <w:rsid w:val="00DC5C66"/>
    <w:rsid w:val="00DC6EA6"/>
    <w:rsid w:val="00DC7E1C"/>
    <w:rsid w:val="00DD08B1"/>
    <w:rsid w:val="00DD1866"/>
    <w:rsid w:val="00DD1A76"/>
    <w:rsid w:val="00DD6C37"/>
    <w:rsid w:val="00DD7230"/>
    <w:rsid w:val="00DD7578"/>
    <w:rsid w:val="00DD7C51"/>
    <w:rsid w:val="00DD7D05"/>
    <w:rsid w:val="00DE11FC"/>
    <w:rsid w:val="00DE213B"/>
    <w:rsid w:val="00DE3AC5"/>
    <w:rsid w:val="00DE3DEC"/>
    <w:rsid w:val="00DE4507"/>
    <w:rsid w:val="00DE5877"/>
    <w:rsid w:val="00DE7132"/>
    <w:rsid w:val="00DF0874"/>
    <w:rsid w:val="00DF11E2"/>
    <w:rsid w:val="00DF1FB1"/>
    <w:rsid w:val="00DF2352"/>
    <w:rsid w:val="00DF577A"/>
    <w:rsid w:val="00DF69A8"/>
    <w:rsid w:val="00DF6E18"/>
    <w:rsid w:val="00DF761B"/>
    <w:rsid w:val="00DF7634"/>
    <w:rsid w:val="00E01E80"/>
    <w:rsid w:val="00E03502"/>
    <w:rsid w:val="00E036DD"/>
    <w:rsid w:val="00E04EA8"/>
    <w:rsid w:val="00E0640D"/>
    <w:rsid w:val="00E07FBF"/>
    <w:rsid w:val="00E103F3"/>
    <w:rsid w:val="00E11604"/>
    <w:rsid w:val="00E11F7E"/>
    <w:rsid w:val="00E15289"/>
    <w:rsid w:val="00E15E06"/>
    <w:rsid w:val="00E17014"/>
    <w:rsid w:val="00E17362"/>
    <w:rsid w:val="00E17DD5"/>
    <w:rsid w:val="00E21483"/>
    <w:rsid w:val="00E21D5F"/>
    <w:rsid w:val="00E254B0"/>
    <w:rsid w:val="00E26244"/>
    <w:rsid w:val="00E27361"/>
    <w:rsid w:val="00E30F82"/>
    <w:rsid w:val="00E348C0"/>
    <w:rsid w:val="00E35489"/>
    <w:rsid w:val="00E35AA4"/>
    <w:rsid w:val="00E37A88"/>
    <w:rsid w:val="00E50C1E"/>
    <w:rsid w:val="00E51D0B"/>
    <w:rsid w:val="00E561B8"/>
    <w:rsid w:val="00E629FD"/>
    <w:rsid w:val="00E63821"/>
    <w:rsid w:val="00E63BD1"/>
    <w:rsid w:val="00E63BF9"/>
    <w:rsid w:val="00E65C2D"/>
    <w:rsid w:val="00E664C9"/>
    <w:rsid w:val="00E67E03"/>
    <w:rsid w:val="00E7050D"/>
    <w:rsid w:val="00E70A02"/>
    <w:rsid w:val="00E71602"/>
    <w:rsid w:val="00E71AD8"/>
    <w:rsid w:val="00E71BA2"/>
    <w:rsid w:val="00E738D7"/>
    <w:rsid w:val="00E74B52"/>
    <w:rsid w:val="00E76137"/>
    <w:rsid w:val="00E767B1"/>
    <w:rsid w:val="00E80790"/>
    <w:rsid w:val="00E80E8E"/>
    <w:rsid w:val="00E83270"/>
    <w:rsid w:val="00E832B2"/>
    <w:rsid w:val="00E8366C"/>
    <w:rsid w:val="00E848FD"/>
    <w:rsid w:val="00E84A83"/>
    <w:rsid w:val="00E85C3A"/>
    <w:rsid w:val="00E876CE"/>
    <w:rsid w:val="00E8791B"/>
    <w:rsid w:val="00E90C2C"/>
    <w:rsid w:val="00E9232F"/>
    <w:rsid w:val="00E9314D"/>
    <w:rsid w:val="00E941D6"/>
    <w:rsid w:val="00E95E5E"/>
    <w:rsid w:val="00EA259D"/>
    <w:rsid w:val="00EA5493"/>
    <w:rsid w:val="00EA5A44"/>
    <w:rsid w:val="00EB0790"/>
    <w:rsid w:val="00EB0E54"/>
    <w:rsid w:val="00EB1554"/>
    <w:rsid w:val="00EB1D36"/>
    <w:rsid w:val="00EB5EC5"/>
    <w:rsid w:val="00EB7625"/>
    <w:rsid w:val="00EC23CF"/>
    <w:rsid w:val="00ED00BD"/>
    <w:rsid w:val="00ED01B4"/>
    <w:rsid w:val="00ED0508"/>
    <w:rsid w:val="00ED10C2"/>
    <w:rsid w:val="00ED1350"/>
    <w:rsid w:val="00ED16B7"/>
    <w:rsid w:val="00ED2F76"/>
    <w:rsid w:val="00ED40BD"/>
    <w:rsid w:val="00ED5124"/>
    <w:rsid w:val="00ED66E0"/>
    <w:rsid w:val="00ED7EE0"/>
    <w:rsid w:val="00EE0A18"/>
    <w:rsid w:val="00EE23DD"/>
    <w:rsid w:val="00EE3255"/>
    <w:rsid w:val="00EE45CF"/>
    <w:rsid w:val="00EE4913"/>
    <w:rsid w:val="00EE4F02"/>
    <w:rsid w:val="00EE6F93"/>
    <w:rsid w:val="00EF05EF"/>
    <w:rsid w:val="00EF2403"/>
    <w:rsid w:val="00EF31D8"/>
    <w:rsid w:val="00EF581F"/>
    <w:rsid w:val="00EF783F"/>
    <w:rsid w:val="00F00446"/>
    <w:rsid w:val="00F0046E"/>
    <w:rsid w:val="00F00BA5"/>
    <w:rsid w:val="00F01003"/>
    <w:rsid w:val="00F02612"/>
    <w:rsid w:val="00F03374"/>
    <w:rsid w:val="00F03794"/>
    <w:rsid w:val="00F0453B"/>
    <w:rsid w:val="00F0627A"/>
    <w:rsid w:val="00F06BE6"/>
    <w:rsid w:val="00F0727C"/>
    <w:rsid w:val="00F07D8C"/>
    <w:rsid w:val="00F11B65"/>
    <w:rsid w:val="00F12923"/>
    <w:rsid w:val="00F13230"/>
    <w:rsid w:val="00F13D78"/>
    <w:rsid w:val="00F14A41"/>
    <w:rsid w:val="00F157D7"/>
    <w:rsid w:val="00F17C4C"/>
    <w:rsid w:val="00F2130E"/>
    <w:rsid w:val="00F22339"/>
    <w:rsid w:val="00F22794"/>
    <w:rsid w:val="00F251DE"/>
    <w:rsid w:val="00F257E9"/>
    <w:rsid w:val="00F25C76"/>
    <w:rsid w:val="00F27E2E"/>
    <w:rsid w:val="00F30009"/>
    <w:rsid w:val="00F306AB"/>
    <w:rsid w:val="00F306F9"/>
    <w:rsid w:val="00F31510"/>
    <w:rsid w:val="00F32A67"/>
    <w:rsid w:val="00F34733"/>
    <w:rsid w:val="00F35738"/>
    <w:rsid w:val="00F35F34"/>
    <w:rsid w:val="00F360B9"/>
    <w:rsid w:val="00F377CA"/>
    <w:rsid w:val="00F40097"/>
    <w:rsid w:val="00F4152E"/>
    <w:rsid w:val="00F41535"/>
    <w:rsid w:val="00F42295"/>
    <w:rsid w:val="00F45623"/>
    <w:rsid w:val="00F4639C"/>
    <w:rsid w:val="00F53D11"/>
    <w:rsid w:val="00F56321"/>
    <w:rsid w:val="00F56AA5"/>
    <w:rsid w:val="00F57BA2"/>
    <w:rsid w:val="00F6030B"/>
    <w:rsid w:val="00F607AF"/>
    <w:rsid w:val="00F612F7"/>
    <w:rsid w:val="00F6432C"/>
    <w:rsid w:val="00F65C57"/>
    <w:rsid w:val="00F66327"/>
    <w:rsid w:val="00F67704"/>
    <w:rsid w:val="00F707DB"/>
    <w:rsid w:val="00F713DE"/>
    <w:rsid w:val="00F7179C"/>
    <w:rsid w:val="00F72C6B"/>
    <w:rsid w:val="00F747E4"/>
    <w:rsid w:val="00F75D1A"/>
    <w:rsid w:val="00F76268"/>
    <w:rsid w:val="00F82B73"/>
    <w:rsid w:val="00F83404"/>
    <w:rsid w:val="00F85334"/>
    <w:rsid w:val="00F85F05"/>
    <w:rsid w:val="00F8735E"/>
    <w:rsid w:val="00F879B2"/>
    <w:rsid w:val="00F87EAE"/>
    <w:rsid w:val="00F919E4"/>
    <w:rsid w:val="00F9490E"/>
    <w:rsid w:val="00F9531B"/>
    <w:rsid w:val="00F95633"/>
    <w:rsid w:val="00F971A8"/>
    <w:rsid w:val="00FA056B"/>
    <w:rsid w:val="00FA0DD9"/>
    <w:rsid w:val="00FA1015"/>
    <w:rsid w:val="00FA13E1"/>
    <w:rsid w:val="00FA1A5A"/>
    <w:rsid w:val="00FA2D14"/>
    <w:rsid w:val="00FA6FB3"/>
    <w:rsid w:val="00FA72FA"/>
    <w:rsid w:val="00FB0479"/>
    <w:rsid w:val="00FB2237"/>
    <w:rsid w:val="00FB3917"/>
    <w:rsid w:val="00FB3EE7"/>
    <w:rsid w:val="00FB40E1"/>
    <w:rsid w:val="00FB6D68"/>
    <w:rsid w:val="00FC0B25"/>
    <w:rsid w:val="00FC237B"/>
    <w:rsid w:val="00FC4ADE"/>
    <w:rsid w:val="00FC6857"/>
    <w:rsid w:val="00FC6BFA"/>
    <w:rsid w:val="00FC7279"/>
    <w:rsid w:val="00FC7BD7"/>
    <w:rsid w:val="00FD0907"/>
    <w:rsid w:val="00FD0E24"/>
    <w:rsid w:val="00FD126F"/>
    <w:rsid w:val="00FD2FC9"/>
    <w:rsid w:val="00FD3CB1"/>
    <w:rsid w:val="00FD5E84"/>
    <w:rsid w:val="00FD6398"/>
    <w:rsid w:val="00FE122F"/>
    <w:rsid w:val="00FE71A5"/>
    <w:rsid w:val="00FE7C36"/>
    <w:rsid w:val="00FF17CA"/>
    <w:rsid w:val="00FF22A3"/>
    <w:rsid w:val="00FF3159"/>
    <w:rsid w:val="00FF35B9"/>
    <w:rsid w:val="00FF46EA"/>
    <w:rsid w:val="00FF5BDA"/>
    <w:rsid w:val="00FF69D0"/>
    <w:rsid w:val="00FF7776"/>
    <w:rsid w:val="00FF79DE"/>
    <w:rsid w:val="01E85718"/>
    <w:rsid w:val="02E79B95"/>
    <w:rsid w:val="034C59BA"/>
    <w:rsid w:val="0BC83360"/>
    <w:rsid w:val="1E00CC7B"/>
    <w:rsid w:val="1EC26B97"/>
    <w:rsid w:val="229CAFD0"/>
    <w:rsid w:val="2493BE42"/>
    <w:rsid w:val="28D341C0"/>
    <w:rsid w:val="336A3B58"/>
    <w:rsid w:val="35B12AEA"/>
    <w:rsid w:val="3D57EFA2"/>
    <w:rsid w:val="4025CAD2"/>
    <w:rsid w:val="4613A8CA"/>
    <w:rsid w:val="46CB1480"/>
    <w:rsid w:val="4BC9AC82"/>
    <w:rsid w:val="4C43C09D"/>
    <w:rsid w:val="58ABF198"/>
    <w:rsid w:val="61B13910"/>
    <w:rsid w:val="6BE0DF16"/>
    <w:rsid w:val="6C404078"/>
    <w:rsid w:val="74F1C0DA"/>
    <w:rsid w:val="7F0A93B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CB963F"/>
  <w15:docId w15:val="{3FEB20C4-1602-4035-A83E-1C764AC5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1" w:defUIPriority="0" w:defSemiHidden="0" w:defUnhideWhenUsed="0" w:defQFormat="0" w:count="376">
    <w:lsdException w:name="Normal" w:locked="0" w:qFormat="1"/>
    <w:lsdException w:name="heading 1" w:locked="0"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nhideWhenUsed="1"/>
    <w:lsdException w:name="toc 5" w:locked="0" w:semiHidden="1" w:unhideWhenUsed="1"/>
    <w:lsdException w:name="toc 6" w:locked="0" w:semiHidden="1" w:unhideWhenUsed="1"/>
    <w:lsdException w:name="toc 7" w:locked="0" w:semiHidden="1" w:unhideWhenUsed="1"/>
    <w:lsdException w:name="toc 8" w:locked="0" w:semiHidden="1" w:unhideWhenUsed="1"/>
    <w:lsdException w:name="toc 9" w:locked="0" w:semiHidden="1" w:unhideWhenUsed="1"/>
    <w:lsdException w:name="Normal Indent" w:semiHidden="1" w:unhideWhenUsed="1"/>
    <w:lsdException w:name="footnote text" w:locked="0" w:semiHidden="1" w:uiPriority="99" w:unhideWhenUsed="1"/>
    <w:lsdException w:name="annotation text" w:semiHidden="1" w:uiPriority="99" w:unhideWhenUsed="1"/>
    <w:lsdException w:name="header" w:locked="0" w:semiHidden="1" w:uiPriority="99" w:unhideWhenUsed="1"/>
    <w:lsdException w:name="footer" w:locked="0"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locked="0" w:semiHidden="1" w:uiPriority="99" w:unhideWhenUsed="1"/>
    <w:lsdException w:name="endnote text" w:locked="0"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iPriority="99" w:unhideWhenUsed="1"/>
    <w:lsdException w:name="HTML Bottom of Form" w:locked="0"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iPriority="99"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39"/>
    <w:lsdException w:name="Table Theme" w:semiHidden="1" w:unhideWhenUsed="1"/>
    <w:lsdException w:name="Placeholder Text" w:locked="0"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locked="0"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locked="0" w:semiHidden="1" w:uiPriority="99" w:unhideWhenUsed="1"/>
    <w:lsdException w:name="Smart Link" w:semiHidden="1" w:uiPriority="99" w:unhideWhenUsed="1"/>
  </w:latentStyles>
  <w:style w:type="paragraph" w:default="1" w:styleId="Normal">
    <w:name w:val="Normal"/>
    <w:semiHidden/>
    <w:qFormat/>
    <w:rsid w:val="008C593A"/>
    <w:rPr>
      <w:rFonts w:asciiTheme="majorHAnsi" w:hAnsiTheme="majorHAnsi"/>
      <w:color w:val="3C3C3B" w:themeColor="background2"/>
      <w:szCs w:val="24"/>
      <w14:ligatures w14:val="standard"/>
    </w:rPr>
  </w:style>
  <w:style w:type="paragraph" w:styleId="Heading10">
    <w:name w:val="heading 1"/>
    <w:basedOn w:val="Normal"/>
    <w:next w:val="Normal"/>
    <w:link w:val="Heading1Char"/>
    <w:uiPriority w:val="9"/>
    <w:qFormat/>
    <w:locked/>
    <w:rsid w:val="008E2A4C"/>
    <w:pPr>
      <w:outlineLvl w:val="0"/>
    </w:pPr>
    <w:rPr>
      <w:rFonts w:cs="Arial"/>
      <w:color w:val="595959" w:themeColor="text1" w:themeTint="A6"/>
      <w:sz w:val="28"/>
      <w:szCs w:val="36"/>
      <w:lang w:val="it-IT"/>
    </w:rPr>
  </w:style>
  <w:style w:type="paragraph" w:styleId="Heading2">
    <w:name w:val="heading 2"/>
    <w:basedOn w:val="Normal"/>
    <w:next w:val="Normal"/>
    <w:link w:val="Heading2Char"/>
    <w:uiPriority w:val="9"/>
    <w:unhideWhenUsed/>
    <w:qFormat/>
    <w:locked/>
    <w:rsid w:val="00B85401"/>
    <w:pPr>
      <w:keepNext/>
      <w:keepLines/>
      <w:spacing w:before="200"/>
      <w:outlineLvl w:val="1"/>
    </w:pPr>
    <w:rPr>
      <w:rFonts w:eastAsiaTheme="majorEastAsia" w:cstheme="majorBidi"/>
      <w:b/>
      <w:bCs/>
      <w:color w:val="587690" w:themeColor="accent1"/>
      <w:sz w:val="26"/>
      <w:szCs w:val="26"/>
    </w:rPr>
  </w:style>
  <w:style w:type="paragraph" w:styleId="Heading3">
    <w:name w:val="heading 3"/>
    <w:basedOn w:val="Normal"/>
    <w:next w:val="Normal"/>
    <w:link w:val="Heading3Char"/>
    <w:uiPriority w:val="9"/>
    <w:unhideWhenUsed/>
    <w:qFormat/>
    <w:locked/>
    <w:rsid w:val="00616969"/>
    <w:pPr>
      <w:keepNext/>
      <w:keepLines/>
      <w:spacing w:before="40"/>
      <w:outlineLvl w:val="2"/>
    </w:pPr>
    <w:rPr>
      <w:rFonts w:eastAsiaTheme="majorEastAsia" w:cstheme="majorBidi"/>
      <w:color w:val="2B3A47" w:themeColor="accent1" w:themeShade="7F"/>
      <w:sz w:val="24"/>
    </w:rPr>
  </w:style>
  <w:style w:type="paragraph" w:styleId="Heading4">
    <w:name w:val="heading 4"/>
    <w:basedOn w:val="Normal"/>
    <w:next w:val="Normal"/>
    <w:link w:val="Heading4Char"/>
    <w:uiPriority w:val="9"/>
    <w:unhideWhenUsed/>
    <w:qFormat/>
    <w:locked/>
    <w:rsid w:val="00C40D36"/>
    <w:pPr>
      <w:keepNext/>
      <w:keepLines/>
      <w:spacing w:before="80" w:after="40"/>
      <w:outlineLvl w:val="3"/>
    </w:pPr>
    <w:rPr>
      <w:rFonts w:asciiTheme="minorHAnsi" w:eastAsiaTheme="majorEastAsia" w:hAnsiTheme="minorHAnsi" w:cstheme="majorBidi"/>
      <w:i/>
      <w:iCs/>
      <w:color w:val="42586B" w:themeColor="accent1" w:themeShade="BF"/>
      <w:kern w:val="2"/>
      <w:sz w:val="24"/>
      <w:lang w:eastAsia="en-US"/>
      <w14:ligatures w14:val="standardContextual"/>
    </w:rPr>
  </w:style>
  <w:style w:type="paragraph" w:styleId="Heading5">
    <w:name w:val="heading 5"/>
    <w:basedOn w:val="Normal"/>
    <w:next w:val="Normal"/>
    <w:link w:val="Heading5Char"/>
    <w:uiPriority w:val="9"/>
    <w:semiHidden/>
    <w:unhideWhenUsed/>
    <w:qFormat/>
    <w:locked/>
    <w:rsid w:val="00C40D36"/>
    <w:pPr>
      <w:keepNext/>
      <w:keepLines/>
      <w:spacing w:before="80" w:after="40"/>
      <w:outlineLvl w:val="4"/>
    </w:pPr>
    <w:rPr>
      <w:rFonts w:asciiTheme="minorHAnsi" w:eastAsiaTheme="majorEastAsia" w:hAnsiTheme="minorHAnsi" w:cstheme="majorBidi"/>
      <w:color w:val="42586B" w:themeColor="accent1" w:themeShade="BF"/>
      <w:kern w:val="2"/>
      <w:sz w:val="24"/>
      <w:lang w:eastAsia="en-US"/>
      <w14:ligatures w14:val="standardContextual"/>
    </w:rPr>
  </w:style>
  <w:style w:type="paragraph" w:styleId="Heading6">
    <w:name w:val="heading 6"/>
    <w:basedOn w:val="Normal"/>
    <w:next w:val="Normal"/>
    <w:link w:val="Heading6Char"/>
    <w:uiPriority w:val="9"/>
    <w:semiHidden/>
    <w:unhideWhenUsed/>
    <w:qFormat/>
    <w:locked/>
    <w:rsid w:val="00C40D36"/>
    <w:pPr>
      <w:keepNext/>
      <w:keepLines/>
      <w:spacing w:before="40"/>
      <w:outlineLvl w:val="5"/>
    </w:pPr>
    <w:rPr>
      <w:rFonts w:asciiTheme="minorHAnsi" w:eastAsiaTheme="majorEastAsia" w:hAnsiTheme="minorHAnsi" w:cstheme="majorBidi"/>
      <w:i/>
      <w:iCs/>
      <w:color w:val="595959" w:themeColor="text1" w:themeTint="A6"/>
      <w:kern w:val="2"/>
      <w:sz w:val="24"/>
      <w:lang w:eastAsia="en-US"/>
      <w14:ligatures w14:val="standardContextual"/>
    </w:rPr>
  </w:style>
  <w:style w:type="paragraph" w:styleId="Heading7">
    <w:name w:val="heading 7"/>
    <w:basedOn w:val="Normal"/>
    <w:next w:val="Normal"/>
    <w:link w:val="Heading7Char"/>
    <w:uiPriority w:val="9"/>
    <w:semiHidden/>
    <w:unhideWhenUsed/>
    <w:qFormat/>
    <w:locked/>
    <w:rsid w:val="00C40D36"/>
    <w:pPr>
      <w:keepNext/>
      <w:keepLines/>
      <w:spacing w:before="40"/>
      <w:outlineLvl w:val="6"/>
    </w:pPr>
    <w:rPr>
      <w:rFonts w:asciiTheme="minorHAnsi" w:eastAsiaTheme="majorEastAsia" w:hAnsiTheme="minorHAnsi" w:cstheme="majorBidi"/>
      <w:color w:val="595959" w:themeColor="text1" w:themeTint="A6"/>
      <w:kern w:val="2"/>
      <w:sz w:val="24"/>
      <w:lang w:eastAsia="en-US"/>
      <w14:ligatures w14:val="standardContextual"/>
    </w:rPr>
  </w:style>
  <w:style w:type="paragraph" w:styleId="Heading8">
    <w:name w:val="heading 8"/>
    <w:basedOn w:val="Normal"/>
    <w:next w:val="Normal"/>
    <w:link w:val="Heading8Char"/>
    <w:uiPriority w:val="9"/>
    <w:semiHidden/>
    <w:unhideWhenUsed/>
    <w:qFormat/>
    <w:locked/>
    <w:rsid w:val="00C40D36"/>
    <w:pPr>
      <w:keepNext/>
      <w:keepLines/>
      <w:outlineLvl w:val="7"/>
    </w:pPr>
    <w:rPr>
      <w:rFonts w:asciiTheme="minorHAnsi" w:eastAsiaTheme="majorEastAsia" w:hAnsiTheme="minorHAnsi" w:cstheme="majorBidi"/>
      <w:i/>
      <w:iCs/>
      <w:color w:val="272727" w:themeColor="text1" w:themeTint="D8"/>
      <w:kern w:val="2"/>
      <w:sz w:val="24"/>
      <w:lang w:eastAsia="en-US"/>
      <w14:ligatures w14:val="standardContextual"/>
    </w:rPr>
  </w:style>
  <w:style w:type="paragraph" w:styleId="Heading9">
    <w:name w:val="heading 9"/>
    <w:basedOn w:val="Normal"/>
    <w:next w:val="Normal"/>
    <w:link w:val="Heading9Char"/>
    <w:uiPriority w:val="9"/>
    <w:semiHidden/>
    <w:unhideWhenUsed/>
    <w:qFormat/>
    <w:locked/>
    <w:rsid w:val="00C40D36"/>
    <w:pPr>
      <w:keepNext/>
      <w:keepLines/>
      <w:outlineLvl w:val="8"/>
    </w:pPr>
    <w:rPr>
      <w:rFonts w:asciiTheme="minorHAnsi" w:eastAsiaTheme="majorEastAsia" w:hAnsiTheme="minorHAnsi" w:cstheme="majorBidi"/>
      <w:color w:val="272727" w:themeColor="text1" w:themeTint="D8"/>
      <w:kern w:val="2"/>
      <w:sz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locked/>
    <w:rsid w:val="006405C2"/>
    <w:rPr>
      <w:vertAlign w:val="superscript"/>
    </w:rPr>
  </w:style>
  <w:style w:type="paragraph" w:styleId="BalloonText">
    <w:name w:val="Balloon Text"/>
    <w:basedOn w:val="Normal"/>
    <w:link w:val="BalloonTextChar"/>
    <w:semiHidden/>
    <w:locked/>
    <w:rsid w:val="009757EF"/>
    <w:rPr>
      <w:rFonts w:ascii="Tahoma" w:hAnsi="Tahoma" w:cs="Tahoma"/>
      <w:sz w:val="16"/>
      <w:szCs w:val="16"/>
    </w:rPr>
  </w:style>
  <w:style w:type="character" w:customStyle="1" w:styleId="BalloonTextChar">
    <w:name w:val="Balloon Text Char"/>
    <w:basedOn w:val="DefaultParagraphFont"/>
    <w:link w:val="BalloonText"/>
    <w:semiHidden/>
    <w:rsid w:val="009757EF"/>
    <w:rPr>
      <w:rFonts w:ascii="Tahoma" w:hAnsi="Tahoma" w:cs="Tahoma"/>
      <w:noProof/>
      <w:color w:val="3C3C3B" w:themeColor="background2"/>
      <w:sz w:val="16"/>
      <w:szCs w:val="16"/>
      <w14:ligatures w14:val="standard"/>
    </w:rPr>
  </w:style>
  <w:style w:type="table" w:styleId="TableGrid">
    <w:name w:val="Table Grid"/>
    <w:basedOn w:val="TableNormal"/>
    <w:uiPriority w:val="39"/>
    <w:locked/>
    <w:rsid w:val="00F31510"/>
    <w:tblPr/>
  </w:style>
  <w:style w:type="character" w:customStyle="1" w:styleId="Heading1Char">
    <w:name w:val="Heading 1 Char"/>
    <w:basedOn w:val="DefaultParagraphFont"/>
    <w:link w:val="Heading10"/>
    <w:uiPriority w:val="9"/>
    <w:rsid w:val="009757EF"/>
    <w:rPr>
      <w:rFonts w:asciiTheme="majorHAnsi" w:hAnsiTheme="majorHAnsi" w:cs="Arial"/>
      <w:noProof/>
      <w:color w:val="595959" w:themeColor="text1" w:themeTint="A6"/>
      <w:sz w:val="28"/>
      <w:szCs w:val="36"/>
      <w:lang w:val="it-IT"/>
      <w14:ligatures w14:val="standard"/>
    </w:rPr>
  </w:style>
  <w:style w:type="paragraph" w:customStyle="1" w:styleId="logoleft">
    <w:name w:val="logo_left"/>
    <w:basedOn w:val="Normal"/>
    <w:semiHidden/>
    <w:qFormat/>
    <w:locked/>
    <w:rsid w:val="00E7050D"/>
    <w:pPr>
      <w:framePr w:hSpace="180" w:wrap="around" w:vAnchor="page" w:hAnchor="margin" w:y="715"/>
      <w:spacing w:after="120"/>
    </w:pPr>
  </w:style>
  <w:style w:type="paragraph" w:customStyle="1" w:styleId="logocenter">
    <w:name w:val="logo_center"/>
    <w:basedOn w:val="Normal"/>
    <w:semiHidden/>
    <w:qFormat/>
    <w:locked/>
    <w:rsid w:val="00927F9D"/>
    <w:pPr>
      <w:framePr w:hSpace="180" w:wrap="around" w:vAnchor="page" w:hAnchor="margin" w:y="715"/>
      <w:jc w:val="center"/>
    </w:pPr>
  </w:style>
  <w:style w:type="paragraph" w:customStyle="1" w:styleId="logoright">
    <w:name w:val="logo_right"/>
    <w:basedOn w:val="Normal"/>
    <w:semiHidden/>
    <w:qFormat/>
    <w:locked/>
    <w:rsid w:val="00927F9D"/>
    <w:pPr>
      <w:framePr w:hSpace="180" w:wrap="around" w:vAnchor="page" w:hAnchor="margin" w:y="715"/>
      <w:jc w:val="right"/>
    </w:pPr>
  </w:style>
  <w:style w:type="paragraph" w:customStyle="1" w:styleId="42subheading">
    <w:name w:val="4.2 sub heading"/>
    <w:basedOn w:val="5day"/>
    <w:qFormat/>
    <w:rsid w:val="00BD3AA3"/>
    <w:pPr>
      <w:keepNext/>
      <w:keepLines/>
      <w:spacing w:after="240" w:line="216" w:lineRule="auto"/>
    </w:pPr>
    <w:rPr>
      <w:rFonts w:ascii="PT Sans Narrow" w:hAnsi="PT Sans Narrow"/>
      <w:b w:val="0"/>
      <w:color w:val="000000" w:themeColor="text1"/>
      <w:w w:val="100"/>
      <w:sz w:val="32"/>
      <w:szCs w:val="26"/>
      <w:lang w:val="fr-FR"/>
    </w:rPr>
  </w:style>
  <w:style w:type="paragraph" w:customStyle="1" w:styleId="41mainheading">
    <w:name w:val="4.1 main heading"/>
    <w:basedOn w:val="42subheading"/>
    <w:qFormat/>
    <w:rsid w:val="004D185E"/>
    <w:pPr>
      <w:spacing w:before="480"/>
    </w:pPr>
    <w:rPr>
      <w:b/>
      <w:caps/>
      <w:sz w:val="44"/>
    </w:rPr>
  </w:style>
  <w:style w:type="paragraph" w:customStyle="1" w:styleId="34publicationtype">
    <w:name w:val="3.4 publication type"/>
    <w:basedOn w:val="1title"/>
    <w:qFormat/>
    <w:rsid w:val="00D90F94"/>
    <w:pPr>
      <w:framePr w:wrap="around"/>
      <w:spacing w:after="0"/>
      <w:jc w:val="right"/>
    </w:pPr>
    <w:rPr>
      <w:rFonts w:cs="Segoe UI"/>
      <w:b w:val="0"/>
      <w:bCs/>
      <w:sz w:val="44"/>
      <w:szCs w:val="44"/>
    </w:rPr>
  </w:style>
  <w:style w:type="character" w:customStyle="1" w:styleId="Heading2Char">
    <w:name w:val="Heading 2 Char"/>
    <w:basedOn w:val="DefaultParagraphFont"/>
    <w:link w:val="Heading2"/>
    <w:uiPriority w:val="9"/>
    <w:rsid w:val="00B85401"/>
    <w:rPr>
      <w:rFonts w:asciiTheme="majorHAnsi" w:eastAsiaTheme="majorEastAsia" w:hAnsiTheme="majorHAnsi" w:cstheme="majorBidi"/>
      <w:b/>
      <w:bCs/>
      <w:noProof/>
      <w:color w:val="587690" w:themeColor="accent1"/>
      <w:sz w:val="26"/>
      <w:szCs w:val="26"/>
    </w:rPr>
  </w:style>
  <w:style w:type="character" w:customStyle="1" w:styleId="49highlight">
    <w:name w:val="4.9 highlight"/>
    <w:basedOn w:val="DefaultParagraphFont"/>
    <w:uiPriority w:val="1"/>
    <w:qFormat/>
    <w:rsid w:val="00CC6B14"/>
    <w:rPr>
      <w:rFonts w:ascii="Segoe UI" w:hAnsi="Segoe UI"/>
      <w:b w:val="0"/>
      <w:i w:val="0"/>
      <w:caps/>
      <w:color w:val="FFFFFF" w:themeColor="background1"/>
      <w:shd w:val="clear" w:color="auto" w:fill="309EBE"/>
    </w:rPr>
  </w:style>
  <w:style w:type="paragraph" w:customStyle="1" w:styleId="StyletitlesubdatelocationLeft">
    <w:name w:val="Style title_sub_date&amp;location + Left"/>
    <w:basedOn w:val="Normal"/>
    <w:semiHidden/>
    <w:locked/>
    <w:rsid w:val="009757EF"/>
    <w:pPr>
      <w:spacing w:before="480" w:after="360"/>
      <w:contextualSpacing/>
    </w:pPr>
    <w:rPr>
      <w:b/>
      <w:bCs/>
      <w:sz w:val="28"/>
      <w:szCs w:val="20"/>
    </w:rPr>
  </w:style>
  <w:style w:type="paragraph" w:customStyle="1" w:styleId="1title">
    <w:name w:val="1 title"/>
    <w:basedOn w:val="Normal"/>
    <w:qFormat/>
    <w:rsid w:val="00D90F94"/>
    <w:pPr>
      <w:framePr w:hSpace="187" w:wrap="around" w:vAnchor="page" w:hAnchor="page" w:x="5251" w:y="11491"/>
      <w:spacing w:after="120" w:line="216" w:lineRule="auto"/>
      <w:ind w:left="284" w:right="284"/>
      <w:contextualSpacing/>
    </w:pPr>
    <w:rPr>
      <w:rFonts w:ascii="PT Sans Narrow" w:eastAsiaTheme="majorEastAsia" w:hAnsi="PT Sans Narrow" w:cs="Segoe UI Semibold"/>
      <w:b/>
      <w:caps/>
      <w:color w:val="000000" w:themeColor="text1"/>
      <w:sz w:val="68"/>
      <w:szCs w:val="52"/>
    </w:rPr>
  </w:style>
  <w:style w:type="paragraph" w:customStyle="1" w:styleId="2subtitle">
    <w:name w:val="2 subtitle"/>
    <w:basedOn w:val="1title"/>
    <w:qFormat/>
    <w:rsid w:val="00D90F94"/>
    <w:pPr>
      <w:framePr w:wrap="around"/>
      <w:numPr>
        <w:ilvl w:val="1"/>
      </w:numPr>
      <w:spacing w:before="120" w:after="240"/>
      <w:ind w:left="284"/>
    </w:pPr>
    <w:rPr>
      <w:b w:val="0"/>
      <w:caps w:val="0"/>
      <w:color w:val="7F7F7F" w:themeColor="text1" w:themeTint="80"/>
      <w:sz w:val="44"/>
      <w:szCs w:val="44"/>
    </w:rPr>
  </w:style>
  <w:style w:type="paragraph" w:customStyle="1" w:styleId="62session">
    <w:name w:val="6.2 session"/>
    <w:basedOn w:val="Normal"/>
    <w:qFormat/>
    <w:locked/>
    <w:rsid w:val="00A03E70"/>
    <w:pPr>
      <w:spacing w:before="60" w:after="60"/>
    </w:pPr>
    <w:rPr>
      <w:rFonts w:ascii="Segoe UI Bold" w:eastAsiaTheme="majorEastAsia" w:hAnsi="Segoe UI Bold" w:cs="Segoe UI Semibold"/>
      <w:caps/>
      <w:color w:val="309EBE"/>
      <w:w w:val="80"/>
      <w:szCs w:val="26"/>
    </w:rPr>
  </w:style>
  <w:style w:type="paragraph" w:customStyle="1" w:styleId="5day">
    <w:name w:val="5 day"/>
    <w:next w:val="60time"/>
    <w:qFormat/>
    <w:rsid w:val="00E70A02"/>
    <w:pPr>
      <w:spacing w:before="240"/>
    </w:pPr>
    <w:rPr>
      <w:rFonts w:ascii="Segoe UI Bold" w:eastAsiaTheme="majorEastAsia" w:hAnsi="Segoe UI Bold" w:cs="Segoe UI Semibold"/>
      <w:b/>
      <w:color w:val="7F7F7F" w:themeColor="text1" w:themeTint="80"/>
      <w:w w:val="80"/>
      <w14:ligatures w14:val="standard"/>
    </w:rPr>
  </w:style>
  <w:style w:type="paragraph" w:customStyle="1" w:styleId="60time">
    <w:name w:val="6.0 time"/>
    <w:basedOn w:val="5day"/>
    <w:qFormat/>
    <w:locked/>
    <w:rsid w:val="00043837"/>
    <w:pPr>
      <w:keepNext/>
    </w:pPr>
    <w:rPr>
      <w:rFonts w:ascii="Segoe UI" w:hAnsi="Segoe UI"/>
      <w:b w:val="0"/>
      <w:noProof/>
      <w:w w:val="100"/>
      <w:sz w:val="16"/>
      <w:szCs w:val="26"/>
    </w:rPr>
  </w:style>
  <w:style w:type="paragraph" w:customStyle="1" w:styleId="7nameposition">
    <w:name w:val="7 name_position"/>
    <w:basedOn w:val="Normal"/>
    <w:qFormat/>
    <w:locked/>
    <w:rsid w:val="007879A4"/>
    <w:pPr>
      <w:spacing w:after="240" w:line="216" w:lineRule="auto"/>
    </w:pPr>
    <w:rPr>
      <w:rFonts w:ascii="Segoe UI" w:eastAsiaTheme="majorEastAsia" w:hAnsi="Segoe UI" w:cs="Segoe UI Semibold"/>
      <w:color w:val="000000" w:themeColor="text1"/>
      <w:w w:val="80"/>
      <w:sz w:val="16"/>
      <w:szCs w:val="26"/>
      <w:lang w:val="fr-FR"/>
    </w:rPr>
  </w:style>
  <w:style w:type="character" w:styleId="PlaceholderText">
    <w:name w:val="Placeholder Text"/>
    <w:basedOn w:val="DefaultParagraphFont"/>
    <w:uiPriority w:val="99"/>
    <w:semiHidden/>
    <w:locked/>
    <w:rsid w:val="004C1AD9"/>
    <w:rPr>
      <w:color w:val="808080"/>
    </w:rPr>
  </w:style>
  <w:style w:type="paragraph" w:styleId="Header">
    <w:name w:val="header"/>
    <w:basedOn w:val="Normal"/>
    <w:link w:val="HeaderChar"/>
    <w:uiPriority w:val="99"/>
    <w:unhideWhenUsed/>
    <w:rsid w:val="00DB3DDE"/>
    <w:pPr>
      <w:tabs>
        <w:tab w:val="center" w:pos="4513"/>
        <w:tab w:val="right" w:pos="9026"/>
      </w:tabs>
    </w:pPr>
  </w:style>
  <w:style w:type="character" w:customStyle="1" w:styleId="HeaderChar">
    <w:name w:val="Header Char"/>
    <w:basedOn w:val="DefaultParagraphFont"/>
    <w:link w:val="Header"/>
    <w:uiPriority w:val="99"/>
    <w:rsid w:val="00DB3DDE"/>
    <w:rPr>
      <w:rFonts w:asciiTheme="majorHAnsi" w:hAnsiTheme="majorHAnsi"/>
      <w:noProof/>
      <w:color w:val="3C3C3B" w:themeColor="background2"/>
      <w:szCs w:val="24"/>
      <w14:ligatures w14:val="standard"/>
    </w:rPr>
  </w:style>
  <w:style w:type="paragraph" w:styleId="Footer">
    <w:name w:val="footer"/>
    <w:basedOn w:val="Normal"/>
    <w:link w:val="FooterChar"/>
    <w:uiPriority w:val="99"/>
    <w:unhideWhenUsed/>
    <w:rsid w:val="00641A47"/>
    <w:pPr>
      <w:pBdr>
        <w:top w:val="single" w:sz="4" w:space="1" w:color="auto"/>
      </w:pBdr>
      <w:tabs>
        <w:tab w:val="right" w:pos="5216"/>
        <w:tab w:val="right" w:pos="9639"/>
      </w:tabs>
    </w:pPr>
    <w:rPr>
      <w:rFonts w:ascii="PT Sans Narrow" w:hAnsi="PT Sans Narrow"/>
      <w:sz w:val="16"/>
    </w:rPr>
  </w:style>
  <w:style w:type="character" w:customStyle="1" w:styleId="FooterChar">
    <w:name w:val="Footer Char"/>
    <w:basedOn w:val="DefaultParagraphFont"/>
    <w:link w:val="Footer"/>
    <w:uiPriority w:val="99"/>
    <w:rsid w:val="00641A47"/>
    <w:rPr>
      <w:rFonts w:ascii="PT Sans Narrow" w:hAnsi="PT Sans Narrow"/>
      <w:color w:val="3C3C3B" w:themeColor="background2"/>
      <w:sz w:val="16"/>
      <w:szCs w:val="24"/>
      <w14:ligatures w14:val="standard"/>
    </w:rPr>
  </w:style>
  <w:style w:type="paragraph" w:styleId="ListParagraph">
    <w:name w:val="List Paragraph"/>
    <w:aliases w:val="Fiche List Paragraph,Dot pt,F5 List Paragraph,List Paragraph1,No Spacing1,List Paragraph Char Char Char,Indicator Text,Numbered Para 1,Bullet Points,MAIN CONTENT,List Paragraph12,Bullet 1,OBC Bullet,Colorful List - Accent 11,List Paragrap"/>
    <w:basedOn w:val="Normal"/>
    <w:link w:val="ListParagraphChar"/>
    <w:uiPriority w:val="34"/>
    <w:qFormat/>
    <w:rsid w:val="00771734"/>
    <w:pPr>
      <w:numPr>
        <w:numId w:val="3"/>
      </w:numPr>
      <w:spacing w:after="120"/>
      <w:contextualSpacing/>
    </w:pPr>
    <w:rPr>
      <w:rFonts w:ascii="Segoe UI" w:hAnsi="Segoe UI"/>
      <w:color w:val="000000" w:themeColor="text1"/>
      <w:sz w:val="18"/>
    </w:rPr>
  </w:style>
  <w:style w:type="paragraph" w:customStyle="1" w:styleId="4body">
    <w:name w:val="4 body"/>
    <w:basedOn w:val="Normal"/>
    <w:qFormat/>
    <w:rsid w:val="00C91B13"/>
    <w:pPr>
      <w:spacing w:after="120" w:line="288" w:lineRule="auto"/>
      <w:jc w:val="both"/>
    </w:pPr>
    <w:rPr>
      <w:rFonts w:ascii="Merriweather" w:hAnsi="Merriweather"/>
      <w:color w:val="000000" w:themeColor="text1"/>
      <w:sz w:val="18"/>
    </w:rPr>
  </w:style>
  <w:style w:type="numbering" w:customStyle="1" w:styleId="StyleNumbered11ptText1Left063cmHanging063cm">
    <w:name w:val="Style Numbered 11 pt Text 1 Left:  0.63 cm Hanging:  0.63 cm"/>
    <w:basedOn w:val="NoList"/>
    <w:locked/>
    <w:rsid w:val="005D0A99"/>
    <w:pPr>
      <w:numPr>
        <w:numId w:val="1"/>
      </w:numPr>
    </w:pPr>
  </w:style>
  <w:style w:type="numbering" w:customStyle="1" w:styleId="StyleOutlinenumbered11ptText1Accent2Left063cmHa">
    <w:name w:val="Style Outline numbered 11 pt Text 1 Accent 2 Left:  0.63 cm Ha..."/>
    <w:basedOn w:val="NoList"/>
    <w:locked/>
    <w:rsid w:val="005D0A99"/>
    <w:pPr>
      <w:numPr>
        <w:numId w:val="2"/>
      </w:numPr>
    </w:pPr>
  </w:style>
  <w:style w:type="character" w:customStyle="1" w:styleId="49bold">
    <w:name w:val="4.9 bold"/>
    <w:uiPriority w:val="1"/>
    <w:qFormat/>
    <w:rsid w:val="00DA55A4"/>
    <w:rPr>
      <w:rFonts w:ascii="Segoe UI" w:hAnsi="Segoe UI"/>
      <w:b/>
      <w:i w:val="0"/>
    </w:rPr>
  </w:style>
  <w:style w:type="character" w:customStyle="1" w:styleId="49italic">
    <w:name w:val="4.9 italic"/>
    <w:uiPriority w:val="1"/>
    <w:qFormat/>
    <w:rsid w:val="00D441FC"/>
    <w:rPr>
      <w:rFonts w:asciiTheme="minorHAnsi" w:hAnsiTheme="minorHAnsi"/>
      <w:b w:val="0"/>
      <w:i/>
    </w:rPr>
  </w:style>
  <w:style w:type="character" w:customStyle="1" w:styleId="71bold">
    <w:name w:val="7.1 bold"/>
    <w:basedOn w:val="DefaultParagraphFont"/>
    <w:uiPriority w:val="1"/>
    <w:qFormat/>
    <w:rsid w:val="002A6E71"/>
    <w:rPr>
      <w:rFonts w:ascii="Segoe UI" w:hAnsi="Segoe UI"/>
      <w:b/>
      <w:i w:val="0"/>
      <w:sz w:val="16"/>
    </w:rPr>
  </w:style>
  <w:style w:type="paragraph" w:customStyle="1" w:styleId="34date">
    <w:name w:val="3.4 date"/>
    <w:qFormat/>
    <w:rsid w:val="00BC76C3"/>
    <w:pPr>
      <w:ind w:right="284"/>
      <w:jc w:val="right"/>
    </w:pPr>
    <w:rPr>
      <w:rFonts w:ascii="Segoe UI" w:eastAsiaTheme="majorEastAsia" w:hAnsi="Segoe UI" w:cs="Segoe UI"/>
      <w:bCs/>
      <w:iCs/>
      <w:color w:val="000000" w:themeColor="text1"/>
      <w:w w:val="80"/>
      <w14:ligatures w14:val="standard"/>
    </w:rPr>
  </w:style>
  <w:style w:type="paragraph" w:customStyle="1" w:styleId="coverpage">
    <w:name w:val="cover page"/>
    <w:basedOn w:val="Normal"/>
    <w:rsid w:val="00CD5219"/>
    <w:pPr>
      <w:ind w:left="284" w:right="284"/>
    </w:pPr>
    <w:rPr>
      <w:szCs w:val="20"/>
    </w:rPr>
  </w:style>
  <w:style w:type="paragraph" w:customStyle="1" w:styleId="32author">
    <w:name w:val="3.2 author"/>
    <w:basedOn w:val="Normal"/>
    <w:qFormat/>
    <w:rsid w:val="00DB2904"/>
    <w:pPr>
      <w:framePr w:hSpace="187" w:wrap="around" w:vAnchor="page" w:hAnchor="page" w:x="5251" w:y="11491"/>
      <w:ind w:left="284" w:right="284"/>
    </w:pPr>
    <w:rPr>
      <w:rFonts w:ascii="PT Sans Narrow" w:eastAsiaTheme="majorEastAsia" w:hAnsi="PT Sans Narrow" w:cs="Segoe UI Semibold"/>
      <w:b/>
      <w:color w:val="000000" w:themeColor="text1"/>
      <w:sz w:val="24"/>
      <w:szCs w:val="52"/>
    </w:rPr>
  </w:style>
  <w:style w:type="paragraph" w:customStyle="1" w:styleId="31by">
    <w:name w:val="3.1 by"/>
    <w:basedOn w:val="Normal"/>
    <w:qFormat/>
    <w:rsid w:val="00DB2904"/>
    <w:pPr>
      <w:framePr w:hSpace="187" w:wrap="around" w:vAnchor="page" w:hAnchor="page" w:x="5251" w:y="11491"/>
      <w:ind w:left="284" w:right="284"/>
    </w:pPr>
    <w:rPr>
      <w:rFonts w:ascii="Merriweather" w:eastAsiaTheme="minorEastAsia" w:hAnsi="Merriweather" w:cstheme="minorBidi"/>
      <w:color w:val="6D6E70"/>
      <w:sz w:val="18"/>
      <w:szCs w:val="18"/>
      <w:lang w:val="en-US" w:eastAsia="en-US"/>
      <w14:ligatures w14:val="none"/>
    </w:rPr>
  </w:style>
  <w:style w:type="character" w:styleId="Hyperlink">
    <w:name w:val="Hyperlink"/>
    <w:uiPriority w:val="99"/>
    <w:unhideWhenUsed/>
    <w:rsid w:val="00195F5A"/>
    <w:rPr>
      <w:color w:val="309EBE"/>
      <w:u w:val="single"/>
    </w:rPr>
  </w:style>
  <w:style w:type="paragraph" w:styleId="FootnoteText">
    <w:name w:val="footnote text"/>
    <w:link w:val="FootnoteTextChar"/>
    <w:uiPriority w:val="99"/>
    <w:unhideWhenUsed/>
    <w:locked/>
    <w:rsid w:val="00505BB0"/>
    <w:pPr>
      <w:ind w:left="142" w:hanging="142"/>
    </w:pPr>
    <w:rPr>
      <w:rFonts w:ascii="Segoe UI" w:hAnsi="Segoe UI" w:cs="Segoe UI"/>
      <w:color w:val="3C3C3B" w:themeColor="background2"/>
      <w:sz w:val="16"/>
      <w:szCs w:val="14"/>
      <w14:ligatures w14:val="standard"/>
    </w:rPr>
  </w:style>
  <w:style w:type="character" w:customStyle="1" w:styleId="FootnoteTextChar">
    <w:name w:val="Footnote Text Char"/>
    <w:basedOn w:val="DefaultParagraphFont"/>
    <w:link w:val="FootnoteText"/>
    <w:uiPriority w:val="99"/>
    <w:rsid w:val="00505BB0"/>
    <w:rPr>
      <w:rFonts w:ascii="Segoe UI" w:hAnsi="Segoe UI" w:cs="Segoe UI"/>
      <w:color w:val="3C3C3B" w:themeColor="background2"/>
      <w:sz w:val="16"/>
      <w:szCs w:val="14"/>
      <w14:ligatures w14:val="standard"/>
    </w:rPr>
  </w:style>
  <w:style w:type="character" w:customStyle="1" w:styleId="TOCHeading1">
    <w:name w:val="TOC Heading1"/>
    <w:basedOn w:val="DefaultParagraphFont"/>
    <w:locked/>
    <w:rsid w:val="00301120"/>
    <w:rPr>
      <w:rFonts w:ascii="Segoe UI" w:hAnsi="Segoe UI"/>
      <w:b/>
      <w:w w:val="80"/>
      <w:sz w:val="24"/>
    </w:rPr>
  </w:style>
  <w:style w:type="numbering" w:customStyle="1" w:styleId="61bulletlist">
    <w:name w:val="6.1 bullet list"/>
    <w:basedOn w:val="NoList"/>
    <w:uiPriority w:val="99"/>
    <w:rsid w:val="00AA5CF3"/>
    <w:pPr>
      <w:numPr>
        <w:numId w:val="4"/>
      </w:numPr>
    </w:pPr>
  </w:style>
  <w:style w:type="numbering" w:customStyle="1" w:styleId="62numberedlist">
    <w:name w:val="6.2 numbered list"/>
    <w:basedOn w:val="61bulletlist"/>
    <w:uiPriority w:val="99"/>
    <w:rsid w:val="004E52F6"/>
    <w:pPr>
      <w:numPr>
        <w:numId w:val="5"/>
      </w:numPr>
    </w:pPr>
  </w:style>
  <w:style w:type="paragraph" w:styleId="EndnoteText">
    <w:name w:val="endnote text"/>
    <w:link w:val="EndnoteTextChar"/>
    <w:uiPriority w:val="99"/>
    <w:unhideWhenUsed/>
    <w:rsid w:val="009729A9"/>
    <w:pPr>
      <w:keepLines/>
      <w:spacing w:before="60" w:line="216" w:lineRule="auto"/>
      <w:ind w:left="142" w:hanging="142"/>
    </w:pPr>
    <w:rPr>
      <w:rFonts w:ascii="Merriweather" w:hAnsi="Merriweather" w:cs="Merriweather"/>
      <w:color w:val="595959" w:themeColor="text1" w:themeTint="A6"/>
      <w:sz w:val="16"/>
      <w:szCs w:val="14"/>
      <w14:ligatures w14:val="standard"/>
    </w:rPr>
  </w:style>
  <w:style w:type="character" w:customStyle="1" w:styleId="EndnoteTextChar">
    <w:name w:val="Endnote Text Char"/>
    <w:basedOn w:val="DefaultParagraphFont"/>
    <w:link w:val="EndnoteText"/>
    <w:uiPriority w:val="99"/>
    <w:rsid w:val="009729A9"/>
    <w:rPr>
      <w:rFonts w:ascii="Merriweather" w:hAnsi="Merriweather" w:cs="Merriweather"/>
      <w:color w:val="595959" w:themeColor="text1" w:themeTint="A6"/>
      <w:sz w:val="16"/>
      <w:szCs w:val="14"/>
      <w14:ligatures w14:val="standard"/>
    </w:rPr>
  </w:style>
  <w:style w:type="paragraph" w:styleId="TOC1">
    <w:name w:val="toc 1"/>
    <w:basedOn w:val="Normal"/>
    <w:next w:val="Normal"/>
    <w:autoRedefine/>
    <w:uiPriority w:val="39"/>
    <w:unhideWhenUsed/>
    <w:rsid w:val="00FD0907"/>
    <w:pPr>
      <w:tabs>
        <w:tab w:val="right" w:pos="9639"/>
      </w:tabs>
      <w:spacing w:before="120"/>
    </w:pPr>
    <w:rPr>
      <w:rFonts w:ascii="PT Sans Narrow" w:hAnsi="PT Sans Narrow" w:cs="Segoe UI"/>
      <w:b/>
      <w:caps/>
    </w:rPr>
  </w:style>
  <w:style w:type="paragraph" w:styleId="TOC2">
    <w:name w:val="toc 2"/>
    <w:basedOn w:val="Normal"/>
    <w:next w:val="Normal"/>
    <w:autoRedefine/>
    <w:uiPriority w:val="39"/>
    <w:unhideWhenUsed/>
    <w:rsid w:val="00FD0907"/>
    <w:pPr>
      <w:tabs>
        <w:tab w:val="right" w:pos="9639"/>
      </w:tabs>
      <w:spacing w:before="60"/>
    </w:pPr>
    <w:rPr>
      <w:rFonts w:ascii="PT Sans Narrow" w:hAnsi="PT Sans Narrow"/>
      <w:bCs/>
      <w:szCs w:val="20"/>
    </w:rPr>
  </w:style>
  <w:style w:type="paragraph" w:styleId="TOC3">
    <w:name w:val="toc 3"/>
    <w:basedOn w:val="Normal"/>
    <w:next w:val="Normal"/>
    <w:autoRedefine/>
    <w:uiPriority w:val="39"/>
    <w:unhideWhenUsed/>
    <w:locked/>
    <w:rsid w:val="00AF35C0"/>
    <w:pPr>
      <w:ind w:left="200"/>
    </w:pPr>
    <w:rPr>
      <w:rFonts w:ascii="PT Sans Narrow" w:hAnsi="PT Sans Narrow"/>
      <w:sz w:val="18"/>
      <w:szCs w:val="20"/>
    </w:rPr>
  </w:style>
  <w:style w:type="paragraph" w:styleId="TOC4">
    <w:name w:val="toc 4"/>
    <w:basedOn w:val="Normal"/>
    <w:next w:val="Normal"/>
    <w:autoRedefine/>
    <w:unhideWhenUsed/>
    <w:locked/>
    <w:rsid w:val="007B5B14"/>
    <w:pPr>
      <w:ind w:left="400"/>
    </w:pPr>
    <w:rPr>
      <w:rFonts w:asciiTheme="minorHAnsi" w:hAnsiTheme="minorHAnsi"/>
      <w:szCs w:val="20"/>
    </w:rPr>
  </w:style>
  <w:style w:type="paragraph" w:styleId="TOC5">
    <w:name w:val="toc 5"/>
    <w:basedOn w:val="Normal"/>
    <w:next w:val="Normal"/>
    <w:autoRedefine/>
    <w:unhideWhenUsed/>
    <w:locked/>
    <w:rsid w:val="007B5B14"/>
    <w:pPr>
      <w:ind w:left="600"/>
    </w:pPr>
    <w:rPr>
      <w:rFonts w:asciiTheme="minorHAnsi" w:hAnsiTheme="minorHAnsi"/>
      <w:szCs w:val="20"/>
    </w:rPr>
  </w:style>
  <w:style w:type="paragraph" w:styleId="TOC6">
    <w:name w:val="toc 6"/>
    <w:basedOn w:val="Normal"/>
    <w:next w:val="Normal"/>
    <w:autoRedefine/>
    <w:unhideWhenUsed/>
    <w:locked/>
    <w:rsid w:val="007B5B14"/>
    <w:pPr>
      <w:ind w:left="800"/>
    </w:pPr>
    <w:rPr>
      <w:rFonts w:asciiTheme="minorHAnsi" w:hAnsiTheme="minorHAnsi"/>
      <w:szCs w:val="20"/>
    </w:rPr>
  </w:style>
  <w:style w:type="paragraph" w:styleId="TOC7">
    <w:name w:val="toc 7"/>
    <w:basedOn w:val="Normal"/>
    <w:next w:val="Normal"/>
    <w:autoRedefine/>
    <w:unhideWhenUsed/>
    <w:locked/>
    <w:rsid w:val="007B5B14"/>
    <w:pPr>
      <w:ind w:left="1000"/>
    </w:pPr>
    <w:rPr>
      <w:rFonts w:asciiTheme="minorHAnsi" w:hAnsiTheme="minorHAnsi"/>
      <w:szCs w:val="20"/>
    </w:rPr>
  </w:style>
  <w:style w:type="paragraph" w:styleId="TOC8">
    <w:name w:val="toc 8"/>
    <w:basedOn w:val="Normal"/>
    <w:next w:val="Normal"/>
    <w:autoRedefine/>
    <w:unhideWhenUsed/>
    <w:locked/>
    <w:rsid w:val="007B5B14"/>
    <w:pPr>
      <w:ind w:left="1200"/>
    </w:pPr>
    <w:rPr>
      <w:rFonts w:asciiTheme="minorHAnsi" w:hAnsiTheme="minorHAnsi"/>
      <w:szCs w:val="20"/>
    </w:rPr>
  </w:style>
  <w:style w:type="paragraph" w:styleId="TOC9">
    <w:name w:val="toc 9"/>
    <w:basedOn w:val="Normal"/>
    <w:next w:val="Normal"/>
    <w:autoRedefine/>
    <w:unhideWhenUsed/>
    <w:locked/>
    <w:rsid w:val="007B5B14"/>
    <w:pPr>
      <w:ind w:left="1400"/>
    </w:pPr>
    <w:rPr>
      <w:rFonts w:asciiTheme="minorHAnsi" w:hAnsiTheme="minorHAnsi"/>
      <w:szCs w:val="20"/>
    </w:rPr>
  </w:style>
  <w:style w:type="character" w:styleId="EndnoteReference">
    <w:name w:val="endnote reference"/>
    <w:uiPriority w:val="99"/>
    <w:rsid w:val="001459A6"/>
    <w:rPr>
      <w:rFonts w:ascii="PT Sans Pro Black" w:hAnsi="PT Sans Pro Black"/>
      <w:b w:val="0"/>
      <w:color w:val="000000" w:themeColor="text1"/>
      <w:sz w:val="18"/>
      <w:vertAlign w:val="superscript"/>
    </w:rPr>
  </w:style>
  <w:style w:type="character" w:styleId="UnresolvedMention">
    <w:name w:val="Unresolved Mention"/>
    <w:basedOn w:val="DefaultParagraphFont"/>
    <w:uiPriority w:val="99"/>
    <w:semiHidden/>
    <w:unhideWhenUsed/>
    <w:locked/>
    <w:rsid w:val="005022C6"/>
    <w:rPr>
      <w:color w:val="605E5C"/>
      <w:shd w:val="clear" w:color="auto" w:fill="E1DFDD"/>
    </w:rPr>
  </w:style>
  <w:style w:type="paragraph" w:customStyle="1" w:styleId="33identifiers">
    <w:name w:val="3.3 identifiers"/>
    <w:basedOn w:val="31by"/>
    <w:qFormat/>
    <w:rsid w:val="00D90F94"/>
    <w:pPr>
      <w:framePr w:wrap="around"/>
      <w:spacing w:line="192" w:lineRule="auto"/>
    </w:pPr>
    <w:rPr>
      <w:rFonts w:ascii="PT Sans Narrow" w:hAnsi="PT Sans Narrow"/>
      <w:sz w:val="12"/>
      <w:lang w:val="en-GB"/>
    </w:rPr>
  </w:style>
  <w:style w:type="paragraph" w:styleId="NoSpacing">
    <w:name w:val="No Spacing"/>
    <w:link w:val="NoSpacingChar"/>
    <w:uiPriority w:val="1"/>
    <w:qFormat/>
    <w:locked/>
    <w:rsid w:val="00B95DE1"/>
    <w:rPr>
      <w:rFonts w:asciiTheme="majorHAnsi" w:hAnsiTheme="majorHAnsi"/>
      <w:color w:val="3C3C3B" w:themeColor="background2"/>
      <w:szCs w:val="24"/>
      <w14:ligatures w14:val="standard"/>
    </w:rPr>
  </w:style>
  <w:style w:type="character" w:styleId="Emphasis">
    <w:name w:val="Emphasis"/>
    <w:uiPriority w:val="20"/>
    <w:qFormat/>
    <w:rsid w:val="00B95DE1"/>
    <w:rPr>
      <w:i/>
      <w:iCs/>
    </w:rPr>
  </w:style>
  <w:style w:type="paragraph" w:styleId="NormalWeb">
    <w:name w:val="Normal (Web)"/>
    <w:basedOn w:val="Normal"/>
    <w:uiPriority w:val="99"/>
    <w:unhideWhenUsed/>
    <w:locked/>
    <w:rsid w:val="00B95DE1"/>
    <w:rPr>
      <w:rFonts w:ascii="Times New Roman" w:hAnsi="Times New Roman"/>
      <w:sz w:val="24"/>
    </w:rPr>
  </w:style>
  <w:style w:type="character" w:styleId="IntenseEmphasis">
    <w:name w:val="Intense Emphasis"/>
    <w:basedOn w:val="DefaultParagraphFont"/>
    <w:uiPriority w:val="21"/>
    <w:qFormat/>
    <w:rsid w:val="00CD400B"/>
    <w:rPr>
      <w:i/>
      <w:iCs/>
      <w:color w:val="587690" w:themeColor="accent1"/>
    </w:rPr>
  </w:style>
  <w:style w:type="paragraph" w:styleId="E-mailSignature">
    <w:name w:val="E-mail Signature"/>
    <w:basedOn w:val="Normal"/>
    <w:link w:val="E-mailSignatureChar"/>
    <w:unhideWhenUsed/>
    <w:locked/>
    <w:rsid w:val="005A5478"/>
  </w:style>
  <w:style w:type="character" w:customStyle="1" w:styleId="E-mailSignatureChar">
    <w:name w:val="E-mail Signature Char"/>
    <w:basedOn w:val="DefaultParagraphFont"/>
    <w:link w:val="E-mailSignature"/>
    <w:rsid w:val="005A5478"/>
    <w:rPr>
      <w:rFonts w:asciiTheme="majorHAnsi" w:hAnsiTheme="majorHAnsi"/>
      <w:color w:val="3C3C3B" w:themeColor="background2"/>
      <w:szCs w:val="24"/>
      <w14:ligatures w14:val="standard"/>
    </w:rPr>
  </w:style>
  <w:style w:type="paragraph" w:styleId="TOCHeading">
    <w:name w:val="TOC Heading"/>
    <w:basedOn w:val="Heading10"/>
    <w:next w:val="Normal"/>
    <w:uiPriority w:val="39"/>
    <w:unhideWhenUsed/>
    <w:qFormat/>
    <w:rsid w:val="00685FCF"/>
    <w:pPr>
      <w:keepNext/>
      <w:keepLines/>
      <w:pBdr>
        <w:top w:val="single" w:sz="4" w:space="1" w:color="9D9D9C" w:themeColor="text2"/>
      </w:pBdr>
      <w:spacing w:before="240" w:line="259" w:lineRule="auto"/>
      <w:outlineLvl w:val="9"/>
    </w:pPr>
    <w:rPr>
      <w:rFonts w:ascii="PT Sans Narrow" w:eastAsiaTheme="majorEastAsia" w:hAnsi="PT Sans Narrow" w:cstheme="majorBidi"/>
      <w:b/>
      <w:caps/>
      <w:color w:val="auto"/>
      <w:sz w:val="24"/>
      <w:szCs w:val="32"/>
      <w:lang w:val="en-US" w:eastAsia="en-US"/>
      <w14:ligatures w14:val="none"/>
    </w:rPr>
  </w:style>
  <w:style w:type="character" w:customStyle="1" w:styleId="Heading3Char">
    <w:name w:val="Heading 3 Char"/>
    <w:basedOn w:val="DefaultParagraphFont"/>
    <w:link w:val="Heading3"/>
    <w:uiPriority w:val="9"/>
    <w:rsid w:val="00616969"/>
    <w:rPr>
      <w:rFonts w:asciiTheme="majorHAnsi" w:eastAsiaTheme="majorEastAsia" w:hAnsiTheme="majorHAnsi" w:cstheme="majorBidi"/>
      <w:color w:val="2B3A47" w:themeColor="accent1" w:themeShade="7F"/>
      <w:sz w:val="24"/>
      <w:szCs w:val="24"/>
      <w14:ligatures w14:val="standard"/>
    </w:rPr>
  </w:style>
  <w:style w:type="paragraph" w:customStyle="1" w:styleId="TOCafter">
    <w:name w:val="TOC after"/>
    <w:basedOn w:val="TOC1"/>
    <w:qFormat/>
    <w:rsid w:val="00685FCF"/>
    <w:pPr>
      <w:pBdr>
        <w:top w:val="single" w:sz="4" w:space="1" w:color="9D9D9C" w:themeColor="text2"/>
      </w:pBdr>
    </w:pPr>
    <w:rPr>
      <w:rFonts w:eastAsiaTheme="minorEastAsia"/>
    </w:rPr>
  </w:style>
  <w:style w:type="character" w:customStyle="1" w:styleId="49italicitalic">
    <w:name w:val="4.9 italic italic"/>
    <w:uiPriority w:val="1"/>
    <w:qFormat/>
    <w:rsid w:val="008A3EA1"/>
    <w:rPr>
      <w:i/>
    </w:rPr>
  </w:style>
  <w:style w:type="character" w:customStyle="1" w:styleId="Heading4Char">
    <w:name w:val="Heading 4 Char"/>
    <w:basedOn w:val="DefaultParagraphFont"/>
    <w:link w:val="Heading4"/>
    <w:uiPriority w:val="9"/>
    <w:rsid w:val="00C40D36"/>
    <w:rPr>
      <w:rFonts w:asciiTheme="minorHAnsi" w:eastAsiaTheme="majorEastAsia" w:hAnsiTheme="minorHAnsi" w:cstheme="majorBidi"/>
      <w:i/>
      <w:iCs/>
      <w:color w:val="42586B" w:themeColor="accent1" w:themeShade="BF"/>
      <w:kern w:val="2"/>
      <w:sz w:val="24"/>
      <w:szCs w:val="24"/>
      <w:lang w:eastAsia="en-US"/>
      <w14:ligatures w14:val="standardContextual"/>
    </w:rPr>
  </w:style>
  <w:style w:type="character" w:customStyle="1" w:styleId="Heading5Char">
    <w:name w:val="Heading 5 Char"/>
    <w:basedOn w:val="DefaultParagraphFont"/>
    <w:link w:val="Heading5"/>
    <w:uiPriority w:val="9"/>
    <w:semiHidden/>
    <w:rsid w:val="00C40D36"/>
    <w:rPr>
      <w:rFonts w:asciiTheme="minorHAnsi" w:eastAsiaTheme="majorEastAsia" w:hAnsiTheme="minorHAnsi" w:cstheme="majorBidi"/>
      <w:color w:val="42586B" w:themeColor="accent1" w:themeShade="BF"/>
      <w:kern w:val="2"/>
      <w:sz w:val="24"/>
      <w:szCs w:val="24"/>
      <w:lang w:eastAsia="en-US"/>
      <w14:ligatures w14:val="standardContextual"/>
    </w:rPr>
  </w:style>
  <w:style w:type="character" w:customStyle="1" w:styleId="Heading6Char">
    <w:name w:val="Heading 6 Char"/>
    <w:basedOn w:val="DefaultParagraphFont"/>
    <w:link w:val="Heading6"/>
    <w:uiPriority w:val="9"/>
    <w:semiHidden/>
    <w:rsid w:val="00C40D36"/>
    <w:rPr>
      <w:rFonts w:asciiTheme="minorHAnsi" w:eastAsiaTheme="majorEastAsia" w:hAnsiTheme="minorHAnsi" w:cstheme="majorBidi"/>
      <w:i/>
      <w:iCs/>
      <w:color w:val="595959" w:themeColor="text1" w:themeTint="A6"/>
      <w:kern w:val="2"/>
      <w:sz w:val="24"/>
      <w:szCs w:val="24"/>
      <w:lang w:eastAsia="en-US"/>
      <w14:ligatures w14:val="standardContextual"/>
    </w:rPr>
  </w:style>
  <w:style w:type="character" w:customStyle="1" w:styleId="Heading7Char">
    <w:name w:val="Heading 7 Char"/>
    <w:basedOn w:val="DefaultParagraphFont"/>
    <w:link w:val="Heading7"/>
    <w:uiPriority w:val="9"/>
    <w:semiHidden/>
    <w:rsid w:val="00C40D36"/>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Heading8Char">
    <w:name w:val="Heading 8 Char"/>
    <w:basedOn w:val="DefaultParagraphFont"/>
    <w:link w:val="Heading8"/>
    <w:uiPriority w:val="9"/>
    <w:semiHidden/>
    <w:rsid w:val="00C40D36"/>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Heading9Char">
    <w:name w:val="Heading 9 Char"/>
    <w:basedOn w:val="DefaultParagraphFont"/>
    <w:link w:val="Heading9"/>
    <w:uiPriority w:val="9"/>
    <w:semiHidden/>
    <w:rsid w:val="00C40D36"/>
    <w:rPr>
      <w:rFonts w:asciiTheme="minorHAnsi" w:eastAsiaTheme="majorEastAsia" w:hAnsiTheme="minorHAnsi" w:cstheme="majorBidi"/>
      <w:color w:val="272727" w:themeColor="text1" w:themeTint="D8"/>
      <w:kern w:val="2"/>
      <w:sz w:val="24"/>
      <w:szCs w:val="24"/>
      <w:lang w:eastAsia="en-US"/>
      <w14:ligatures w14:val="standardContextual"/>
    </w:rPr>
  </w:style>
  <w:style w:type="paragraph" w:styleId="Title">
    <w:name w:val="Title"/>
    <w:basedOn w:val="Normal"/>
    <w:next w:val="Normal"/>
    <w:link w:val="TitleChar"/>
    <w:uiPriority w:val="10"/>
    <w:qFormat/>
    <w:locked/>
    <w:rsid w:val="00C40D36"/>
    <w:pPr>
      <w:spacing w:after="80"/>
      <w:contextualSpacing/>
    </w:pPr>
    <w:rPr>
      <w:rFonts w:eastAsiaTheme="majorEastAsia" w:cstheme="majorBidi"/>
      <w:color w:val="auto"/>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C40D36"/>
    <w:rPr>
      <w:rFonts w:asciiTheme="majorHAnsi" w:eastAsiaTheme="majorEastAsia" w:hAnsiTheme="majorHAnsi" w:cstheme="majorBidi"/>
      <w:spacing w:val="-10"/>
      <w:kern w:val="28"/>
      <w:sz w:val="56"/>
      <w:szCs w:val="56"/>
      <w:lang w:eastAsia="en-US"/>
      <w14:ligatures w14:val="standardContextual"/>
    </w:rPr>
  </w:style>
  <w:style w:type="paragraph" w:styleId="Subtitle">
    <w:name w:val="Subtitle"/>
    <w:basedOn w:val="Normal"/>
    <w:next w:val="Normal"/>
    <w:link w:val="SubtitleChar"/>
    <w:uiPriority w:val="11"/>
    <w:qFormat/>
    <w:locked/>
    <w:rsid w:val="00C40D36"/>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C40D36"/>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locked/>
    <w:rsid w:val="00C40D36"/>
    <w:pPr>
      <w:spacing w:before="160" w:after="160"/>
      <w:jc w:val="center"/>
    </w:pPr>
    <w:rPr>
      <w:rFonts w:asciiTheme="minorHAnsi" w:eastAsiaTheme="minorHAnsi" w:hAnsiTheme="minorHAnsi" w:cstheme="minorBidi"/>
      <w:i/>
      <w:iCs/>
      <w:color w:val="404040" w:themeColor="text1" w:themeTint="BF"/>
      <w:kern w:val="2"/>
      <w:sz w:val="24"/>
      <w:lang w:eastAsia="en-US"/>
      <w14:ligatures w14:val="standardContextual"/>
    </w:rPr>
  </w:style>
  <w:style w:type="character" w:customStyle="1" w:styleId="QuoteChar">
    <w:name w:val="Quote Char"/>
    <w:basedOn w:val="DefaultParagraphFont"/>
    <w:link w:val="Quote"/>
    <w:uiPriority w:val="29"/>
    <w:rsid w:val="00C40D36"/>
    <w:rPr>
      <w:rFonts w:asciiTheme="minorHAnsi" w:eastAsiaTheme="minorHAnsi" w:hAnsiTheme="minorHAnsi" w:cstheme="minorBidi"/>
      <w:i/>
      <w:iCs/>
      <w:color w:val="404040" w:themeColor="text1" w:themeTint="BF"/>
      <w:kern w:val="2"/>
      <w:sz w:val="24"/>
      <w:szCs w:val="24"/>
      <w:lang w:eastAsia="en-US"/>
      <w14:ligatures w14:val="standardContextual"/>
    </w:rPr>
  </w:style>
  <w:style w:type="paragraph" w:styleId="IntenseQuote">
    <w:name w:val="Intense Quote"/>
    <w:basedOn w:val="Normal"/>
    <w:next w:val="Normal"/>
    <w:link w:val="IntenseQuoteChar"/>
    <w:uiPriority w:val="30"/>
    <w:qFormat/>
    <w:locked/>
    <w:rsid w:val="00C40D36"/>
    <w:pPr>
      <w:pBdr>
        <w:top w:val="single" w:sz="4" w:space="10" w:color="42586B" w:themeColor="accent1" w:themeShade="BF"/>
        <w:bottom w:val="single" w:sz="4" w:space="10" w:color="42586B" w:themeColor="accent1" w:themeShade="BF"/>
      </w:pBdr>
      <w:spacing w:before="360" w:after="360"/>
      <w:ind w:left="864" w:right="864"/>
      <w:jc w:val="center"/>
    </w:pPr>
    <w:rPr>
      <w:rFonts w:asciiTheme="minorHAnsi" w:eastAsiaTheme="minorHAnsi" w:hAnsiTheme="minorHAnsi" w:cstheme="minorBidi"/>
      <w:i/>
      <w:iCs/>
      <w:color w:val="42586B" w:themeColor="accent1" w:themeShade="BF"/>
      <w:kern w:val="2"/>
      <w:sz w:val="24"/>
      <w:lang w:eastAsia="en-US"/>
      <w14:ligatures w14:val="standardContextual"/>
    </w:rPr>
  </w:style>
  <w:style w:type="character" w:customStyle="1" w:styleId="IntenseQuoteChar">
    <w:name w:val="Intense Quote Char"/>
    <w:basedOn w:val="DefaultParagraphFont"/>
    <w:link w:val="IntenseQuote"/>
    <w:uiPriority w:val="30"/>
    <w:rsid w:val="00C40D36"/>
    <w:rPr>
      <w:rFonts w:asciiTheme="minorHAnsi" w:eastAsiaTheme="minorHAnsi" w:hAnsiTheme="minorHAnsi" w:cstheme="minorBidi"/>
      <w:i/>
      <w:iCs/>
      <w:color w:val="42586B" w:themeColor="accent1" w:themeShade="BF"/>
      <w:kern w:val="2"/>
      <w:sz w:val="24"/>
      <w:szCs w:val="24"/>
      <w:lang w:eastAsia="en-US"/>
      <w14:ligatures w14:val="standardContextual"/>
    </w:rPr>
  </w:style>
  <w:style w:type="character" w:styleId="IntenseReference">
    <w:name w:val="Intense Reference"/>
    <w:basedOn w:val="DefaultParagraphFont"/>
    <w:uiPriority w:val="32"/>
    <w:qFormat/>
    <w:locked/>
    <w:rsid w:val="00C40D36"/>
    <w:rPr>
      <w:b/>
      <w:bCs/>
      <w:smallCaps/>
      <w:color w:val="42586B" w:themeColor="accent1" w:themeShade="BF"/>
      <w:spacing w:val="5"/>
    </w:rPr>
  </w:style>
  <w:style w:type="paragraph" w:customStyle="1" w:styleId="xxmsolistparagraph">
    <w:name w:val="x_xmsolistparagraph"/>
    <w:basedOn w:val="Normal"/>
    <w:link w:val="xxmsolistparagraphChar"/>
    <w:rsid w:val="00C40D36"/>
    <w:pPr>
      <w:spacing w:before="100" w:beforeAutospacing="1" w:after="100" w:afterAutospacing="1"/>
    </w:pPr>
    <w:rPr>
      <w:rFonts w:ascii="Times New Roman" w:hAnsi="Times New Roman"/>
      <w:color w:val="auto"/>
      <w:sz w:val="24"/>
      <w14:ligatures w14:val="none"/>
    </w:rPr>
  </w:style>
  <w:style w:type="character" w:customStyle="1" w:styleId="apple-converted-space">
    <w:name w:val="apple-converted-space"/>
    <w:basedOn w:val="DefaultParagraphFont"/>
    <w:rsid w:val="00C40D36"/>
  </w:style>
  <w:style w:type="paragraph" w:customStyle="1" w:styleId="xxmsonormal">
    <w:name w:val="x_xmsonormal"/>
    <w:basedOn w:val="Normal"/>
    <w:rsid w:val="00C40D36"/>
    <w:pPr>
      <w:spacing w:before="100" w:beforeAutospacing="1" w:after="100" w:afterAutospacing="1"/>
    </w:pPr>
    <w:rPr>
      <w:rFonts w:ascii="Times New Roman" w:hAnsi="Times New Roman"/>
      <w:color w:val="auto"/>
      <w:sz w:val="24"/>
      <w14:ligatures w14:val="none"/>
    </w:rPr>
  </w:style>
  <w:style w:type="paragraph" w:styleId="Revision">
    <w:name w:val="Revision"/>
    <w:hidden/>
    <w:uiPriority w:val="99"/>
    <w:semiHidden/>
    <w:rsid w:val="00C40D36"/>
    <w:rPr>
      <w:rFonts w:asciiTheme="minorHAnsi" w:eastAsiaTheme="minorHAnsi" w:hAnsiTheme="minorHAnsi" w:cstheme="minorBidi"/>
      <w:kern w:val="2"/>
      <w:sz w:val="24"/>
      <w:szCs w:val="24"/>
      <w:lang w:eastAsia="en-US"/>
      <w14:ligatures w14:val="standardContextual"/>
    </w:rPr>
  </w:style>
  <w:style w:type="paragraph" w:customStyle="1" w:styleId="Default">
    <w:name w:val="Default"/>
    <w:rsid w:val="00C40D36"/>
    <w:pPr>
      <w:autoSpaceDE w:val="0"/>
      <w:autoSpaceDN w:val="0"/>
      <w:adjustRightInd w:val="0"/>
    </w:pPr>
    <w:rPr>
      <w:rFonts w:eastAsiaTheme="minorHAnsi"/>
      <w:color w:val="000000"/>
      <w:sz w:val="24"/>
      <w:szCs w:val="24"/>
      <w:lang w:eastAsia="en-US"/>
      <w14:ligatures w14:val="standardContextual"/>
    </w:rPr>
  </w:style>
  <w:style w:type="character" w:customStyle="1" w:styleId="normaltextrun">
    <w:name w:val="normaltextrun"/>
    <w:basedOn w:val="DefaultParagraphFont"/>
    <w:rsid w:val="00C40D36"/>
  </w:style>
  <w:style w:type="character" w:customStyle="1" w:styleId="webbibref">
    <w:name w:val="web_bibref"/>
    <w:basedOn w:val="DefaultParagraphFont"/>
    <w:rsid w:val="00C40D36"/>
  </w:style>
  <w:style w:type="paragraph" w:customStyle="1" w:styleId="Pa1">
    <w:name w:val="Pa1"/>
    <w:basedOn w:val="Default"/>
    <w:next w:val="Default"/>
    <w:uiPriority w:val="99"/>
    <w:rsid w:val="00C40D36"/>
    <w:pPr>
      <w:spacing w:line="241" w:lineRule="atLeast"/>
    </w:pPr>
    <w:rPr>
      <w:rFonts w:ascii="EC Square Sans Pro" w:hAnsi="EC Square Sans Pro" w:cstheme="minorBidi"/>
      <w:color w:val="auto"/>
    </w:rPr>
  </w:style>
  <w:style w:type="character" w:styleId="Strong">
    <w:name w:val="Strong"/>
    <w:basedOn w:val="DefaultParagraphFont"/>
    <w:uiPriority w:val="22"/>
    <w:qFormat/>
    <w:locked/>
    <w:rsid w:val="00C40D36"/>
    <w:rPr>
      <w:b/>
      <w:bCs/>
    </w:rPr>
  </w:style>
  <w:style w:type="character" w:styleId="SubtleReference">
    <w:name w:val="Subtle Reference"/>
    <w:basedOn w:val="DefaultParagraphFont"/>
    <w:uiPriority w:val="31"/>
    <w:qFormat/>
    <w:locked/>
    <w:rsid w:val="00C40D36"/>
    <w:rPr>
      <w:rFonts w:asciiTheme="minorHAnsi" w:eastAsiaTheme="minorEastAsia" w:hAnsiTheme="minorHAnsi" w:cstheme="minorBidi"/>
      <w:i/>
      <w:iCs/>
      <w:color w:val="081A2A" w:themeColor="accent2" w:themeShade="7F"/>
    </w:rPr>
  </w:style>
  <w:style w:type="character" w:customStyle="1" w:styleId="ListParagraphChar">
    <w:name w:val="List Paragraph Char"/>
    <w:aliases w:val="Fiche List Paragraph Char,Dot pt Char,F5 List Paragraph Char,List Paragraph1 Char,No Spacing1 Char,List Paragraph Char Char Char Char,Indicator Text Char,Numbered Para 1 Char,Bullet Points Char,MAIN CONTENT Char,List Paragraph12 Char"/>
    <w:link w:val="ListParagraph"/>
    <w:uiPriority w:val="34"/>
    <w:qFormat/>
    <w:locked/>
    <w:rsid w:val="00C40D36"/>
    <w:rPr>
      <w:rFonts w:ascii="Segoe UI" w:hAnsi="Segoe UI"/>
      <w:color w:val="000000" w:themeColor="text1"/>
      <w:sz w:val="18"/>
      <w:szCs w:val="24"/>
      <w14:ligatures w14:val="standard"/>
    </w:rPr>
  </w:style>
  <w:style w:type="character" w:styleId="CommentReference">
    <w:name w:val="annotation reference"/>
    <w:basedOn w:val="DefaultParagraphFont"/>
    <w:uiPriority w:val="99"/>
    <w:semiHidden/>
    <w:unhideWhenUsed/>
    <w:locked/>
    <w:rsid w:val="00C40D36"/>
    <w:rPr>
      <w:sz w:val="16"/>
      <w:szCs w:val="16"/>
    </w:rPr>
  </w:style>
  <w:style w:type="paragraph" w:styleId="CommentText">
    <w:name w:val="annotation text"/>
    <w:basedOn w:val="Normal"/>
    <w:link w:val="CommentTextChar"/>
    <w:uiPriority w:val="99"/>
    <w:unhideWhenUsed/>
    <w:locked/>
    <w:rsid w:val="00C40D36"/>
    <w:pPr>
      <w:spacing w:after="200"/>
    </w:pPr>
    <w:rPr>
      <w:rFonts w:eastAsiaTheme="majorEastAsia" w:cstheme="majorBidi"/>
      <w:color w:val="auto"/>
      <w:szCs w:val="20"/>
      <w:lang w:eastAsia="en-US"/>
      <w14:ligatures w14:val="none"/>
    </w:rPr>
  </w:style>
  <w:style w:type="character" w:customStyle="1" w:styleId="CommentTextChar">
    <w:name w:val="Comment Text Char"/>
    <w:basedOn w:val="DefaultParagraphFont"/>
    <w:link w:val="CommentText"/>
    <w:uiPriority w:val="99"/>
    <w:rsid w:val="00C40D36"/>
    <w:rPr>
      <w:rFonts w:asciiTheme="majorHAnsi" w:eastAsiaTheme="majorEastAsia" w:hAnsiTheme="majorHAnsi" w:cstheme="majorBidi"/>
      <w:lang w:eastAsia="en-US"/>
    </w:rPr>
  </w:style>
  <w:style w:type="character" w:customStyle="1" w:styleId="amount">
    <w:name w:val="amount"/>
    <w:basedOn w:val="DefaultParagraphFont"/>
    <w:rsid w:val="00C40D36"/>
  </w:style>
  <w:style w:type="paragraph" w:customStyle="1" w:styleId="gem-c-lead-paragraph">
    <w:name w:val="gem-c-lead-paragraph"/>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tweetable">
    <w:name w:val="tweetable"/>
    <w:basedOn w:val="DefaultParagraphFont"/>
    <w:rsid w:val="00C40D36"/>
  </w:style>
  <w:style w:type="paragraph" w:styleId="CommentSubject">
    <w:name w:val="annotation subject"/>
    <w:basedOn w:val="CommentText"/>
    <w:next w:val="CommentText"/>
    <w:link w:val="CommentSubjectChar"/>
    <w:uiPriority w:val="99"/>
    <w:semiHidden/>
    <w:unhideWhenUsed/>
    <w:locked/>
    <w:rsid w:val="00C40D36"/>
    <w:pPr>
      <w:spacing w:after="0"/>
    </w:pPr>
    <w:rPr>
      <w:rFonts w:asciiTheme="minorHAnsi" w:eastAsiaTheme="minorHAnsi" w:hAnsiTheme="minorHAnsi" w:cstheme="minorBidi"/>
      <w:b/>
      <w:bCs/>
      <w:kern w:val="2"/>
      <w14:ligatures w14:val="standardContextual"/>
    </w:rPr>
  </w:style>
  <w:style w:type="character" w:customStyle="1" w:styleId="CommentSubjectChar">
    <w:name w:val="Comment Subject Char"/>
    <w:basedOn w:val="CommentTextChar"/>
    <w:link w:val="CommentSubject"/>
    <w:uiPriority w:val="99"/>
    <w:semiHidden/>
    <w:rsid w:val="00C40D36"/>
    <w:rPr>
      <w:rFonts w:asciiTheme="minorHAnsi" w:eastAsiaTheme="minorHAnsi" w:hAnsiTheme="minorHAnsi" w:cstheme="minorBidi"/>
      <w:b/>
      <w:bCs/>
      <w:kern w:val="2"/>
      <w:lang w:eastAsia="en-US"/>
      <w14:ligatures w14:val="standardContextual"/>
    </w:rPr>
  </w:style>
  <w:style w:type="character" w:customStyle="1" w:styleId="cf01">
    <w:name w:val="cf01"/>
    <w:basedOn w:val="DefaultParagraphFont"/>
    <w:rsid w:val="00C40D36"/>
    <w:rPr>
      <w:rFonts w:ascii="Segoe UI" w:hAnsi="Segoe UI" w:cs="Segoe UI" w:hint="default"/>
      <w:sz w:val="18"/>
      <w:szCs w:val="18"/>
    </w:rPr>
  </w:style>
  <w:style w:type="paragraph" w:customStyle="1" w:styleId="quote-tweet-text">
    <w:name w:val="quote-tweet-text"/>
    <w:basedOn w:val="Normal"/>
    <w:rsid w:val="00C40D36"/>
    <w:pPr>
      <w:spacing w:before="100" w:beforeAutospacing="1" w:after="100" w:afterAutospacing="1"/>
    </w:pPr>
    <w:rPr>
      <w:rFonts w:ascii="Times New Roman" w:hAnsi="Times New Roman"/>
      <w:color w:val="auto"/>
      <w:sz w:val="24"/>
      <w14:ligatures w14:val="none"/>
    </w:rPr>
  </w:style>
  <w:style w:type="character" w:styleId="FollowedHyperlink">
    <w:name w:val="FollowedHyperlink"/>
    <w:basedOn w:val="DefaultParagraphFont"/>
    <w:uiPriority w:val="99"/>
    <w:semiHidden/>
    <w:unhideWhenUsed/>
    <w:locked/>
    <w:rsid w:val="00C40D36"/>
    <w:rPr>
      <w:color w:val="322F42" w:themeColor="followedHyperlink"/>
      <w:u w:val="single"/>
    </w:rPr>
  </w:style>
  <w:style w:type="paragraph" w:customStyle="1" w:styleId="Heading1">
    <w:name w:val="Heading1"/>
    <w:basedOn w:val="xxmsolistparagraph"/>
    <w:link w:val="Heading1Char0"/>
    <w:qFormat/>
    <w:rsid w:val="00C40D36"/>
    <w:pPr>
      <w:numPr>
        <w:numId w:val="6"/>
      </w:numPr>
      <w:spacing w:before="0" w:beforeAutospacing="0" w:after="240" w:afterAutospacing="0"/>
      <w:jc w:val="both"/>
    </w:pPr>
    <w:rPr>
      <w:b/>
      <w:bCs/>
      <w:color w:val="212121"/>
      <w:sz w:val="28"/>
      <w:szCs w:val="28"/>
    </w:rPr>
  </w:style>
  <w:style w:type="character" w:customStyle="1" w:styleId="xxmsolistparagraphChar">
    <w:name w:val="x_xmsolistparagraph Char"/>
    <w:basedOn w:val="DefaultParagraphFont"/>
    <w:link w:val="xxmsolistparagraph"/>
    <w:rsid w:val="00C40D36"/>
    <w:rPr>
      <w:sz w:val="24"/>
      <w:szCs w:val="24"/>
    </w:rPr>
  </w:style>
  <w:style w:type="character" w:customStyle="1" w:styleId="Heading1Char0">
    <w:name w:val="Heading1 Char"/>
    <w:basedOn w:val="xxmsolistparagraphChar"/>
    <w:link w:val="Heading1"/>
    <w:rsid w:val="00C40D36"/>
    <w:rPr>
      <w:b/>
      <w:bCs/>
      <w:color w:val="212121"/>
      <w:sz w:val="28"/>
      <w:szCs w:val="28"/>
    </w:rPr>
  </w:style>
  <w:style w:type="paragraph" w:customStyle="1" w:styleId="pf0">
    <w:name w:val="pf0"/>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cf11">
    <w:name w:val="cf11"/>
    <w:basedOn w:val="DefaultParagraphFont"/>
    <w:rsid w:val="00C40D36"/>
    <w:rPr>
      <w:rFonts w:ascii="Segoe UI" w:hAnsi="Segoe UI" w:cs="Segoe UI" w:hint="default"/>
      <w:sz w:val="18"/>
      <w:szCs w:val="18"/>
    </w:rPr>
  </w:style>
  <w:style w:type="character" w:customStyle="1" w:styleId="NoSpacingChar">
    <w:name w:val="No Spacing Char"/>
    <w:basedOn w:val="DefaultParagraphFont"/>
    <w:link w:val="NoSpacing"/>
    <w:uiPriority w:val="1"/>
    <w:rsid w:val="00C40D36"/>
    <w:rPr>
      <w:rFonts w:asciiTheme="majorHAnsi" w:hAnsiTheme="majorHAnsi"/>
      <w:color w:val="3C3C3B" w:themeColor="background2"/>
      <w:szCs w:val="24"/>
      <w14:ligatures w14:val="standard"/>
    </w:rPr>
  </w:style>
  <w:style w:type="paragraph" w:customStyle="1" w:styleId="paragraph">
    <w:name w:val="paragraph"/>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eop">
    <w:name w:val="eop"/>
    <w:basedOn w:val="DefaultParagraphFont"/>
    <w:rsid w:val="00C40D36"/>
  </w:style>
  <w:style w:type="character" w:customStyle="1" w:styleId="date-display-single">
    <w:name w:val="date-display-single"/>
    <w:basedOn w:val="DefaultParagraphFont"/>
    <w:rsid w:val="00C40D36"/>
  </w:style>
  <w:style w:type="paragraph" w:customStyle="1" w:styleId="leaf">
    <w:name w:val="leaf"/>
    <w:basedOn w:val="Normal"/>
    <w:rsid w:val="00C40D36"/>
    <w:pPr>
      <w:spacing w:before="100" w:beforeAutospacing="1" w:after="100" w:afterAutospacing="1"/>
    </w:pPr>
    <w:rPr>
      <w:rFonts w:ascii="Times New Roman" w:hAnsi="Times New Roman"/>
      <w:color w:val="auto"/>
      <w:sz w:val="24"/>
      <w14:ligatures w14:val="none"/>
    </w:rPr>
  </w:style>
  <w:style w:type="paragraph" w:customStyle="1" w:styleId="collapsed">
    <w:name w:val="collapsed"/>
    <w:basedOn w:val="Normal"/>
    <w:rsid w:val="00C40D36"/>
    <w:pPr>
      <w:spacing w:before="100" w:beforeAutospacing="1" w:after="100" w:afterAutospacing="1"/>
    </w:pPr>
    <w:rPr>
      <w:rFonts w:ascii="Times New Roman" w:hAnsi="Times New Roman"/>
      <w:color w:val="auto"/>
      <w:sz w:val="24"/>
      <w14:ligatures w14:val="none"/>
    </w:rPr>
  </w:style>
  <w:style w:type="paragraph" w:styleId="z-TopofForm">
    <w:name w:val="HTML Top of Form"/>
    <w:basedOn w:val="Normal"/>
    <w:next w:val="Normal"/>
    <w:link w:val="z-TopofFormChar"/>
    <w:hidden/>
    <w:uiPriority w:val="99"/>
    <w:semiHidden/>
    <w:unhideWhenUsed/>
    <w:rsid w:val="00C40D36"/>
    <w:pPr>
      <w:pBdr>
        <w:bottom w:val="single" w:sz="6" w:space="1" w:color="auto"/>
      </w:pBdr>
      <w:jc w:val="center"/>
    </w:pPr>
    <w:rPr>
      <w:rFonts w:ascii="Arial" w:hAnsi="Arial" w:cs="Arial"/>
      <w:vanish/>
      <w:color w:val="auto"/>
      <w:sz w:val="16"/>
      <w:szCs w:val="16"/>
      <w14:ligatures w14:val="none"/>
    </w:rPr>
  </w:style>
  <w:style w:type="character" w:customStyle="1" w:styleId="z-TopofFormChar">
    <w:name w:val="z-Top of Form Char"/>
    <w:basedOn w:val="DefaultParagraphFont"/>
    <w:link w:val="z-TopofForm"/>
    <w:uiPriority w:val="99"/>
    <w:semiHidden/>
    <w:rsid w:val="00C40D36"/>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C40D36"/>
    <w:pPr>
      <w:pBdr>
        <w:top w:val="single" w:sz="6" w:space="1" w:color="auto"/>
      </w:pBdr>
      <w:jc w:val="center"/>
    </w:pPr>
    <w:rPr>
      <w:rFonts w:ascii="Arial" w:hAnsi="Arial" w:cs="Arial"/>
      <w:vanish/>
      <w:color w:val="auto"/>
      <w:sz w:val="16"/>
      <w:szCs w:val="16"/>
      <w14:ligatures w14:val="none"/>
    </w:rPr>
  </w:style>
  <w:style w:type="character" w:customStyle="1" w:styleId="z-BottomofFormChar">
    <w:name w:val="z-Bottom of Form Char"/>
    <w:basedOn w:val="DefaultParagraphFont"/>
    <w:link w:val="z-BottomofForm"/>
    <w:uiPriority w:val="99"/>
    <w:semiHidden/>
    <w:rsid w:val="00C40D36"/>
    <w:rPr>
      <w:rFonts w:ascii="Arial" w:hAnsi="Arial" w:cs="Arial"/>
      <w:vanish/>
      <w:sz w:val="16"/>
      <w:szCs w:val="16"/>
    </w:rPr>
  </w:style>
  <w:style w:type="paragraph" w:customStyle="1" w:styleId="navitem">
    <w:name w:val="nav__item"/>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ms-rtethemeforecolor-5-3">
    <w:name w:val="ms-rtethemeforecolor-5-3"/>
    <w:basedOn w:val="DefaultParagraphFont"/>
    <w:rsid w:val="00C40D36"/>
  </w:style>
  <w:style w:type="character" w:customStyle="1" w:styleId="ms-rtethemeforecolor-2-0">
    <w:name w:val="ms-rtethemeforecolor-2-0"/>
    <w:basedOn w:val="DefaultParagraphFont"/>
    <w:rsid w:val="00C40D36"/>
  </w:style>
  <w:style w:type="character" w:customStyle="1" w:styleId="A6">
    <w:name w:val="A6"/>
    <w:uiPriority w:val="99"/>
    <w:rsid w:val="00C40D36"/>
    <w:rPr>
      <w:rFonts w:cs="EC Square Sans Pro"/>
      <w:b/>
      <w:bCs/>
      <w:color w:val="000000"/>
      <w:sz w:val="14"/>
      <w:szCs w:val="14"/>
    </w:rPr>
  </w:style>
  <w:style w:type="character" w:customStyle="1" w:styleId="A1">
    <w:name w:val="A1"/>
    <w:uiPriority w:val="99"/>
    <w:rsid w:val="00C40D36"/>
    <w:rPr>
      <w:rFonts w:cs="EC Square Sans Pro"/>
      <w:b/>
      <w:bCs/>
      <w:color w:val="000000"/>
      <w:sz w:val="16"/>
      <w:szCs w:val="16"/>
    </w:rPr>
  </w:style>
  <w:style w:type="paragraph" w:customStyle="1" w:styleId="arrow">
    <w:name w:val="arrow"/>
    <w:basedOn w:val="Normal"/>
    <w:rsid w:val="00C40D36"/>
    <w:pPr>
      <w:spacing w:before="100" w:beforeAutospacing="1" w:after="100" w:afterAutospacing="1"/>
    </w:pPr>
    <w:rPr>
      <w:rFonts w:ascii="Times New Roman" w:hAnsi="Times New Roman"/>
      <w:color w:val="auto"/>
      <w:sz w:val="24"/>
      <w14:ligatures w14:val="none"/>
    </w:rPr>
  </w:style>
  <w:style w:type="paragraph" w:customStyle="1" w:styleId="statutory-body-1em">
    <w:name w:val="statutory-body-1em"/>
    <w:basedOn w:val="Normal"/>
    <w:rsid w:val="00C40D36"/>
    <w:pPr>
      <w:spacing w:before="100" w:beforeAutospacing="1" w:after="100" w:afterAutospacing="1"/>
    </w:pPr>
    <w:rPr>
      <w:rFonts w:ascii="Times New Roman" w:hAnsi="Times New Roman"/>
      <w:color w:val="auto"/>
      <w:sz w:val="24"/>
      <w14:ligatures w14:val="none"/>
    </w:rPr>
  </w:style>
  <w:style w:type="character" w:customStyle="1" w:styleId="cf31">
    <w:name w:val="cf31"/>
    <w:basedOn w:val="DefaultParagraphFont"/>
    <w:rsid w:val="00C40D36"/>
    <w:rPr>
      <w:rFonts w:ascii="Segoe UI" w:hAnsi="Segoe UI" w:cs="Segoe UI" w:hint="default"/>
      <w:color w:val="243D68"/>
      <w:sz w:val="18"/>
      <w:szCs w:val="18"/>
      <w:shd w:val="clear" w:color="auto" w:fill="FFFFFF"/>
    </w:rPr>
  </w:style>
  <w:style w:type="character" w:customStyle="1" w:styleId="cf41">
    <w:name w:val="cf41"/>
    <w:basedOn w:val="DefaultParagraphFont"/>
    <w:rsid w:val="00C40D36"/>
    <w:rPr>
      <w:rFonts w:ascii="Segoe UI" w:hAnsi="Segoe UI" w:cs="Segoe UI" w:hint="default"/>
      <w:b/>
      <w:bCs/>
      <w:color w:val="243D68"/>
      <w:sz w:val="18"/>
      <w:szCs w:val="18"/>
      <w:shd w:val="clear" w:color="auto" w:fill="FFFFFF"/>
    </w:rPr>
  </w:style>
  <w:style w:type="paragraph" w:customStyle="1" w:styleId="43subsubheading">
    <w:name w:val="4.3 sub sub heading"/>
    <w:basedOn w:val="42subheading"/>
    <w:qFormat/>
    <w:rsid w:val="00C40D36"/>
    <w:rPr>
      <w:sz w:val="28"/>
      <w:szCs w:val="28"/>
    </w:rPr>
  </w:style>
  <w:style w:type="paragraph" w:customStyle="1" w:styleId="44subsubsubheading">
    <w:name w:val="4.4 sub sub sub heading"/>
    <w:basedOn w:val="4body"/>
    <w:qFormat/>
    <w:rsid w:val="00D65B21"/>
    <w:rPr>
      <w:rFonts w:ascii="PT Sans" w:hAnsi="PT Sans"/>
      <w:b/>
      <w:bCs/>
      <w:sz w:val="20"/>
    </w:rPr>
  </w:style>
  <w:style w:type="paragraph" w:customStyle="1" w:styleId="45subsubsubsubheading">
    <w:name w:val="4.5 sub sub sub sub heading"/>
    <w:basedOn w:val="4body"/>
    <w:qFormat/>
    <w:rsid w:val="00D65B21"/>
    <w:pPr>
      <w:ind w:left="360"/>
      <w:jc w:val="left"/>
    </w:pPr>
    <w:rPr>
      <w:rFonts w:ascii="PT Sans" w:hAnsi="PT Sans"/>
      <w:b/>
      <w:bCs/>
      <w:i/>
      <w:iCs/>
      <w:sz w:val="20"/>
    </w:rPr>
  </w:style>
  <w:style w:type="character" w:customStyle="1" w:styleId="FootnoteCharacters">
    <w:name w:val="Footnote Characters"/>
    <w:qFormat/>
    <w:rsid w:val="00D76419"/>
    <w:rPr>
      <w:vertAlign w:val="superscript"/>
    </w:rPr>
  </w:style>
  <w:style w:type="paragraph" w:customStyle="1" w:styleId="normal1">
    <w:name w:val="normal1"/>
    <w:qFormat/>
    <w:rsid w:val="00D76419"/>
    <w:pPr>
      <w:suppressAutoHyphens/>
      <w:spacing w:line="276" w:lineRule="auto"/>
    </w:pPr>
    <w:rPr>
      <w:rFonts w:ascii="Arial" w:eastAsia="Arial" w:hAnsi="Arial" w:cs="Arial"/>
      <w:sz w:val="22"/>
      <w:szCs w:val="22"/>
      <w:lang w:eastAsia="zh-CN" w:bidi="hi-IN"/>
    </w:rPr>
  </w:style>
  <w:style w:type="paragraph" w:customStyle="1" w:styleId="listsummary">
    <w:name w:val="list_summary"/>
    <w:basedOn w:val="4body"/>
    <w:qFormat/>
    <w:rsid w:val="00B60E84"/>
    <w:pPr>
      <w:numPr>
        <w:numId w:val="34"/>
      </w:numPr>
      <w:ind w:left="284" w:hanging="284"/>
      <w:jc w:val="left"/>
    </w:pPr>
  </w:style>
  <w:style w:type="paragraph" w:styleId="Caption">
    <w:name w:val="caption"/>
    <w:basedOn w:val="Normal"/>
    <w:next w:val="Normal"/>
    <w:unhideWhenUsed/>
    <w:qFormat/>
    <w:locked/>
    <w:rsid w:val="00516A88"/>
    <w:pPr>
      <w:spacing w:after="200"/>
      <w:jc w:val="center"/>
    </w:pPr>
    <w:rPr>
      <w:rFonts w:ascii="Merriweather" w:hAnsi="Merriweather"/>
      <w:iCs/>
      <w:color w:val="595959" w:themeColor="text1" w:themeTint="A6"/>
      <w:sz w:val="14"/>
      <w:szCs w:val="18"/>
    </w:rPr>
  </w:style>
  <w:style w:type="paragraph" w:customStyle="1" w:styleId="figuresource">
    <w:name w:val="figure source"/>
    <w:basedOn w:val="Normal"/>
    <w:qFormat/>
    <w:rsid w:val="00037E81"/>
    <w:pPr>
      <w:jc w:val="center"/>
    </w:pPr>
    <w:rPr>
      <w:rFonts w:ascii="Merriweather" w:hAnsi="Merriweather" w:cs="Merriweather"/>
      <w:sz w:val="1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800609">
      <w:bodyDiv w:val="1"/>
      <w:marLeft w:val="0"/>
      <w:marRight w:val="0"/>
      <w:marTop w:val="0"/>
      <w:marBottom w:val="0"/>
      <w:divBdr>
        <w:top w:val="none" w:sz="0" w:space="0" w:color="auto"/>
        <w:left w:val="none" w:sz="0" w:space="0" w:color="auto"/>
        <w:bottom w:val="none" w:sz="0" w:space="0" w:color="auto"/>
        <w:right w:val="none" w:sz="0" w:space="0" w:color="auto"/>
      </w:divBdr>
    </w:div>
    <w:div w:id="228737169">
      <w:bodyDiv w:val="1"/>
      <w:marLeft w:val="0"/>
      <w:marRight w:val="0"/>
      <w:marTop w:val="0"/>
      <w:marBottom w:val="0"/>
      <w:divBdr>
        <w:top w:val="none" w:sz="0" w:space="0" w:color="auto"/>
        <w:left w:val="none" w:sz="0" w:space="0" w:color="auto"/>
        <w:bottom w:val="none" w:sz="0" w:space="0" w:color="auto"/>
        <w:right w:val="none" w:sz="0" w:space="0" w:color="auto"/>
      </w:divBdr>
    </w:div>
    <w:div w:id="313219957">
      <w:bodyDiv w:val="1"/>
      <w:marLeft w:val="0"/>
      <w:marRight w:val="0"/>
      <w:marTop w:val="0"/>
      <w:marBottom w:val="0"/>
      <w:divBdr>
        <w:top w:val="none" w:sz="0" w:space="0" w:color="auto"/>
        <w:left w:val="none" w:sz="0" w:space="0" w:color="auto"/>
        <w:bottom w:val="none" w:sz="0" w:space="0" w:color="auto"/>
        <w:right w:val="none" w:sz="0" w:space="0" w:color="auto"/>
      </w:divBdr>
    </w:div>
    <w:div w:id="344409383">
      <w:bodyDiv w:val="1"/>
      <w:marLeft w:val="0"/>
      <w:marRight w:val="0"/>
      <w:marTop w:val="0"/>
      <w:marBottom w:val="0"/>
      <w:divBdr>
        <w:top w:val="none" w:sz="0" w:space="0" w:color="auto"/>
        <w:left w:val="none" w:sz="0" w:space="0" w:color="auto"/>
        <w:bottom w:val="none" w:sz="0" w:space="0" w:color="auto"/>
        <w:right w:val="none" w:sz="0" w:space="0" w:color="auto"/>
      </w:divBdr>
      <w:divsChild>
        <w:div w:id="1720083874">
          <w:marLeft w:val="0"/>
          <w:marRight w:val="0"/>
          <w:marTop w:val="0"/>
          <w:marBottom w:val="0"/>
          <w:divBdr>
            <w:top w:val="single" w:sz="4" w:space="0" w:color="CCCCCC"/>
            <w:left w:val="single" w:sz="4" w:space="0" w:color="CCCCCC"/>
            <w:bottom w:val="single" w:sz="4" w:space="0" w:color="CCCCCC"/>
            <w:right w:val="single" w:sz="4" w:space="0" w:color="CCCCCC"/>
          </w:divBdr>
          <w:divsChild>
            <w:div w:id="503056043">
              <w:marLeft w:val="0"/>
              <w:marRight w:val="0"/>
              <w:marTop w:val="0"/>
              <w:marBottom w:val="0"/>
              <w:divBdr>
                <w:top w:val="none" w:sz="0" w:space="0" w:color="auto"/>
                <w:left w:val="none" w:sz="0" w:space="0" w:color="auto"/>
                <w:bottom w:val="none" w:sz="0" w:space="0" w:color="auto"/>
                <w:right w:val="none" w:sz="0" w:space="0" w:color="auto"/>
              </w:divBdr>
              <w:divsChild>
                <w:div w:id="1167865931">
                  <w:marLeft w:val="0"/>
                  <w:marRight w:val="0"/>
                  <w:marTop w:val="0"/>
                  <w:marBottom w:val="0"/>
                  <w:divBdr>
                    <w:top w:val="none" w:sz="0" w:space="0" w:color="auto"/>
                    <w:left w:val="none" w:sz="0" w:space="0" w:color="auto"/>
                    <w:bottom w:val="none" w:sz="0" w:space="0" w:color="auto"/>
                    <w:right w:val="none" w:sz="0" w:space="0" w:color="auto"/>
                  </w:divBdr>
                  <w:divsChild>
                    <w:div w:id="741223309">
                      <w:marLeft w:val="0"/>
                      <w:marRight w:val="0"/>
                      <w:marTop w:val="0"/>
                      <w:marBottom w:val="0"/>
                      <w:divBdr>
                        <w:top w:val="none" w:sz="0" w:space="0" w:color="auto"/>
                        <w:left w:val="none" w:sz="0" w:space="0" w:color="auto"/>
                        <w:bottom w:val="none" w:sz="0" w:space="0" w:color="auto"/>
                        <w:right w:val="none" w:sz="0" w:space="0" w:color="auto"/>
                      </w:divBdr>
                      <w:divsChild>
                        <w:div w:id="556940023">
                          <w:marLeft w:val="0"/>
                          <w:marRight w:val="0"/>
                          <w:marTop w:val="0"/>
                          <w:marBottom w:val="0"/>
                          <w:divBdr>
                            <w:top w:val="none" w:sz="0" w:space="0" w:color="auto"/>
                            <w:left w:val="none" w:sz="0" w:space="0" w:color="auto"/>
                            <w:bottom w:val="none" w:sz="0" w:space="0" w:color="auto"/>
                            <w:right w:val="none" w:sz="0" w:space="0" w:color="auto"/>
                          </w:divBdr>
                          <w:divsChild>
                            <w:div w:id="378405569">
                              <w:marLeft w:val="0"/>
                              <w:marRight w:val="0"/>
                              <w:marTop w:val="0"/>
                              <w:marBottom w:val="0"/>
                              <w:divBdr>
                                <w:top w:val="none" w:sz="0" w:space="0" w:color="auto"/>
                                <w:left w:val="none" w:sz="0" w:space="0" w:color="auto"/>
                                <w:bottom w:val="none" w:sz="0" w:space="0" w:color="auto"/>
                                <w:right w:val="none" w:sz="0" w:space="0" w:color="auto"/>
                              </w:divBdr>
                              <w:divsChild>
                                <w:div w:id="75512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8657275">
      <w:bodyDiv w:val="1"/>
      <w:marLeft w:val="0"/>
      <w:marRight w:val="0"/>
      <w:marTop w:val="0"/>
      <w:marBottom w:val="0"/>
      <w:divBdr>
        <w:top w:val="none" w:sz="0" w:space="0" w:color="auto"/>
        <w:left w:val="none" w:sz="0" w:space="0" w:color="auto"/>
        <w:bottom w:val="none" w:sz="0" w:space="0" w:color="auto"/>
        <w:right w:val="none" w:sz="0" w:space="0" w:color="auto"/>
      </w:divBdr>
    </w:div>
    <w:div w:id="592709756">
      <w:bodyDiv w:val="1"/>
      <w:marLeft w:val="0"/>
      <w:marRight w:val="0"/>
      <w:marTop w:val="0"/>
      <w:marBottom w:val="0"/>
      <w:divBdr>
        <w:top w:val="none" w:sz="0" w:space="0" w:color="auto"/>
        <w:left w:val="none" w:sz="0" w:space="0" w:color="auto"/>
        <w:bottom w:val="none" w:sz="0" w:space="0" w:color="auto"/>
        <w:right w:val="none" w:sz="0" w:space="0" w:color="auto"/>
      </w:divBdr>
      <w:divsChild>
        <w:div w:id="1457677607">
          <w:marLeft w:val="0"/>
          <w:marRight w:val="0"/>
          <w:marTop w:val="0"/>
          <w:marBottom w:val="0"/>
          <w:divBdr>
            <w:top w:val="single" w:sz="4" w:space="0" w:color="CCCCCC"/>
            <w:left w:val="single" w:sz="4" w:space="0" w:color="CCCCCC"/>
            <w:bottom w:val="single" w:sz="4" w:space="0" w:color="CCCCCC"/>
            <w:right w:val="single" w:sz="4" w:space="0" w:color="CCCCCC"/>
          </w:divBdr>
          <w:divsChild>
            <w:div w:id="1587954578">
              <w:marLeft w:val="0"/>
              <w:marRight w:val="0"/>
              <w:marTop w:val="0"/>
              <w:marBottom w:val="0"/>
              <w:divBdr>
                <w:top w:val="none" w:sz="0" w:space="0" w:color="auto"/>
                <w:left w:val="none" w:sz="0" w:space="0" w:color="auto"/>
                <w:bottom w:val="none" w:sz="0" w:space="0" w:color="auto"/>
                <w:right w:val="none" w:sz="0" w:space="0" w:color="auto"/>
              </w:divBdr>
              <w:divsChild>
                <w:div w:id="920718633">
                  <w:marLeft w:val="0"/>
                  <w:marRight w:val="0"/>
                  <w:marTop w:val="0"/>
                  <w:marBottom w:val="0"/>
                  <w:divBdr>
                    <w:top w:val="none" w:sz="0" w:space="0" w:color="auto"/>
                    <w:left w:val="none" w:sz="0" w:space="0" w:color="auto"/>
                    <w:bottom w:val="none" w:sz="0" w:space="0" w:color="auto"/>
                    <w:right w:val="none" w:sz="0" w:space="0" w:color="auto"/>
                  </w:divBdr>
                  <w:divsChild>
                    <w:div w:id="298073287">
                      <w:marLeft w:val="0"/>
                      <w:marRight w:val="0"/>
                      <w:marTop w:val="0"/>
                      <w:marBottom w:val="0"/>
                      <w:divBdr>
                        <w:top w:val="none" w:sz="0" w:space="0" w:color="auto"/>
                        <w:left w:val="none" w:sz="0" w:space="0" w:color="auto"/>
                        <w:bottom w:val="none" w:sz="0" w:space="0" w:color="auto"/>
                        <w:right w:val="none" w:sz="0" w:space="0" w:color="auto"/>
                      </w:divBdr>
                      <w:divsChild>
                        <w:div w:id="92672529">
                          <w:marLeft w:val="0"/>
                          <w:marRight w:val="0"/>
                          <w:marTop w:val="0"/>
                          <w:marBottom w:val="0"/>
                          <w:divBdr>
                            <w:top w:val="none" w:sz="0" w:space="0" w:color="auto"/>
                            <w:left w:val="none" w:sz="0" w:space="0" w:color="auto"/>
                            <w:bottom w:val="none" w:sz="0" w:space="0" w:color="auto"/>
                            <w:right w:val="none" w:sz="0" w:space="0" w:color="auto"/>
                          </w:divBdr>
                          <w:divsChild>
                            <w:div w:id="197012243">
                              <w:marLeft w:val="0"/>
                              <w:marRight w:val="0"/>
                              <w:marTop w:val="0"/>
                              <w:marBottom w:val="0"/>
                              <w:divBdr>
                                <w:top w:val="none" w:sz="0" w:space="0" w:color="auto"/>
                                <w:left w:val="none" w:sz="0" w:space="0" w:color="auto"/>
                                <w:bottom w:val="none" w:sz="0" w:space="0" w:color="auto"/>
                                <w:right w:val="none" w:sz="0" w:space="0" w:color="auto"/>
                              </w:divBdr>
                              <w:divsChild>
                                <w:div w:id="62373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452306">
      <w:bodyDiv w:val="1"/>
      <w:marLeft w:val="0"/>
      <w:marRight w:val="0"/>
      <w:marTop w:val="0"/>
      <w:marBottom w:val="0"/>
      <w:divBdr>
        <w:top w:val="none" w:sz="0" w:space="0" w:color="auto"/>
        <w:left w:val="none" w:sz="0" w:space="0" w:color="auto"/>
        <w:bottom w:val="none" w:sz="0" w:space="0" w:color="auto"/>
        <w:right w:val="none" w:sz="0" w:space="0" w:color="auto"/>
      </w:divBdr>
      <w:divsChild>
        <w:div w:id="2055813864">
          <w:marLeft w:val="0"/>
          <w:marRight w:val="0"/>
          <w:marTop w:val="0"/>
          <w:marBottom w:val="0"/>
          <w:divBdr>
            <w:top w:val="none" w:sz="0" w:space="0" w:color="auto"/>
            <w:left w:val="none" w:sz="0" w:space="0" w:color="auto"/>
            <w:bottom w:val="none" w:sz="0" w:space="0" w:color="auto"/>
            <w:right w:val="none" w:sz="0" w:space="0" w:color="auto"/>
          </w:divBdr>
          <w:divsChild>
            <w:div w:id="25429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4593">
      <w:bodyDiv w:val="1"/>
      <w:marLeft w:val="0"/>
      <w:marRight w:val="0"/>
      <w:marTop w:val="0"/>
      <w:marBottom w:val="0"/>
      <w:divBdr>
        <w:top w:val="none" w:sz="0" w:space="0" w:color="auto"/>
        <w:left w:val="none" w:sz="0" w:space="0" w:color="auto"/>
        <w:bottom w:val="none" w:sz="0" w:space="0" w:color="auto"/>
        <w:right w:val="none" w:sz="0" w:space="0" w:color="auto"/>
      </w:divBdr>
    </w:div>
    <w:div w:id="979071265">
      <w:bodyDiv w:val="1"/>
      <w:marLeft w:val="0"/>
      <w:marRight w:val="0"/>
      <w:marTop w:val="0"/>
      <w:marBottom w:val="0"/>
      <w:divBdr>
        <w:top w:val="none" w:sz="0" w:space="0" w:color="auto"/>
        <w:left w:val="none" w:sz="0" w:space="0" w:color="auto"/>
        <w:bottom w:val="none" w:sz="0" w:space="0" w:color="auto"/>
        <w:right w:val="none" w:sz="0" w:space="0" w:color="auto"/>
      </w:divBdr>
    </w:div>
    <w:div w:id="1006832617">
      <w:bodyDiv w:val="1"/>
      <w:marLeft w:val="0"/>
      <w:marRight w:val="0"/>
      <w:marTop w:val="0"/>
      <w:marBottom w:val="0"/>
      <w:divBdr>
        <w:top w:val="none" w:sz="0" w:space="0" w:color="auto"/>
        <w:left w:val="none" w:sz="0" w:space="0" w:color="auto"/>
        <w:bottom w:val="none" w:sz="0" w:space="0" w:color="auto"/>
        <w:right w:val="none" w:sz="0" w:space="0" w:color="auto"/>
      </w:divBdr>
      <w:divsChild>
        <w:div w:id="1013608768">
          <w:marLeft w:val="0"/>
          <w:marRight w:val="0"/>
          <w:marTop w:val="0"/>
          <w:marBottom w:val="0"/>
          <w:divBdr>
            <w:top w:val="single" w:sz="4" w:space="0" w:color="CCCCCC"/>
            <w:left w:val="single" w:sz="4" w:space="0" w:color="CCCCCC"/>
            <w:bottom w:val="single" w:sz="4" w:space="0" w:color="CCCCCC"/>
            <w:right w:val="single" w:sz="4" w:space="0" w:color="CCCCCC"/>
          </w:divBdr>
          <w:divsChild>
            <w:div w:id="1780367783">
              <w:marLeft w:val="0"/>
              <w:marRight w:val="0"/>
              <w:marTop w:val="0"/>
              <w:marBottom w:val="0"/>
              <w:divBdr>
                <w:top w:val="none" w:sz="0" w:space="0" w:color="auto"/>
                <w:left w:val="none" w:sz="0" w:space="0" w:color="auto"/>
                <w:bottom w:val="none" w:sz="0" w:space="0" w:color="auto"/>
                <w:right w:val="none" w:sz="0" w:space="0" w:color="auto"/>
              </w:divBdr>
              <w:divsChild>
                <w:div w:id="1795902015">
                  <w:marLeft w:val="0"/>
                  <w:marRight w:val="0"/>
                  <w:marTop w:val="0"/>
                  <w:marBottom w:val="0"/>
                  <w:divBdr>
                    <w:top w:val="none" w:sz="0" w:space="0" w:color="auto"/>
                    <w:left w:val="none" w:sz="0" w:space="0" w:color="auto"/>
                    <w:bottom w:val="none" w:sz="0" w:space="0" w:color="auto"/>
                    <w:right w:val="none" w:sz="0" w:space="0" w:color="auto"/>
                  </w:divBdr>
                  <w:divsChild>
                    <w:div w:id="2005621966">
                      <w:marLeft w:val="0"/>
                      <w:marRight w:val="0"/>
                      <w:marTop w:val="0"/>
                      <w:marBottom w:val="0"/>
                      <w:divBdr>
                        <w:top w:val="none" w:sz="0" w:space="0" w:color="auto"/>
                        <w:left w:val="none" w:sz="0" w:space="0" w:color="auto"/>
                        <w:bottom w:val="none" w:sz="0" w:space="0" w:color="auto"/>
                        <w:right w:val="none" w:sz="0" w:space="0" w:color="auto"/>
                      </w:divBdr>
                      <w:divsChild>
                        <w:div w:id="1538473378">
                          <w:marLeft w:val="0"/>
                          <w:marRight w:val="0"/>
                          <w:marTop w:val="0"/>
                          <w:marBottom w:val="0"/>
                          <w:divBdr>
                            <w:top w:val="none" w:sz="0" w:space="0" w:color="auto"/>
                            <w:left w:val="none" w:sz="0" w:space="0" w:color="auto"/>
                            <w:bottom w:val="none" w:sz="0" w:space="0" w:color="auto"/>
                            <w:right w:val="none" w:sz="0" w:space="0" w:color="auto"/>
                          </w:divBdr>
                          <w:divsChild>
                            <w:div w:id="1906914090">
                              <w:marLeft w:val="0"/>
                              <w:marRight w:val="0"/>
                              <w:marTop w:val="0"/>
                              <w:marBottom w:val="0"/>
                              <w:divBdr>
                                <w:top w:val="none" w:sz="0" w:space="0" w:color="auto"/>
                                <w:left w:val="none" w:sz="0" w:space="0" w:color="auto"/>
                                <w:bottom w:val="none" w:sz="0" w:space="0" w:color="auto"/>
                                <w:right w:val="none" w:sz="0" w:space="0" w:color="auto"/>
                              </w:divBdr>
                              <w:divsChild>
                                <w:div w:id="167472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7970048">
      <w:bodyDiv w:val="1"/>
      <w:marLeft w:val="0"/>
      <w:marRight w:val="0"/>
      <w:marTop w:val="0"/>
      <w:marBottom w:val="0"/>
      <w:divBdr>
        <w:top w:val="none" w:sz="0" w:space="0" w:color="auto"/>
        <w:left w:val="none" w:sz="0" w:space="0" w:color="auto"/>
        <w:bottom w:val="none" w:sz="0" w:space="0" w:color="auto"/>
        <w:right w:val="none" w:sz="0" w:space="0" w:color="auto"/>
      </w:divBdr>
    </w:div>
    <w:div w:id="1184368857">
      <w:bodyDiv w:val="1"/>
      <w:marLeft w:val="0"/>
      <w:marRight w:val="0"/>
      <w:marTop w:val="0"/>
      <w:marBottom w:val="0"/>
      <w:divBdr>
        <w:top w:val="none" w:sz="0" w:space="0" w:color="auto"/>
        <w:left w:val="none" w:sz="0" w:space="0" w:color="auto"/>
        <w:bottom w:val="none" w:sz="0" w:space="0" w:color="auto"/>
        <w:right w:val="none" w:sz="0" w:space="0" w:color="auto"/>
      </w:divBdr>
    </w:div>
    <w:div w:id="1336542485">
      <w:bodyDiv w:val="1"/>
      <w:marLeft w:val="0"/>
      <w:marRight w:val="0"/>
      <w:marTop w:val="0"/>
      <w:marBottom w:val="0"/>
      <w:divBdr>
        <w:top w:val="none" w:sz="0" w:space="0" w:color="auto"/>
        <w:left w:val="none" w:sz="0" w:space="0" w:color="auto"/>
        <w:bottom w:val="none" w:sz="0" w:space="0" w:color="auto"/>
        <w:right w:val="none" w:sz="0" w:space="0" w:color="auto"/>
      </w:divBdr>
    </w:div>
    <w:div w:id="1386834523">
      <w:bodyDiv w:val="1"/>
      <w:marLeft w:val="0"/>
      <w:marRight w:val="0"/>
      <w:marTop w:val="0"/>
      <w:marBottom w:val="0"/>
      <w:divBdr>
        <w:top w:val="none" w:sz="0" w:space="0" w:color="auto"/>
        <w:left w:val="none" w:sz="0" w:space="0" w:color="auto"/>
        <w:bottom w:val="none" w:sz="0" w:space="0" w:color="auto"/>
        <w:right w:val="none" w:sz="0" w:space="0" w:color="auto"/>
      </w:divBdr>
      <w:divsChild>
        <w:div w:id="575364498">
          <w:marLeft w:val="0"/>
          <w:marRight w:val="0"/>
          <w:marTop w:val="0"/>
          <w:marBottom w:val="0"/>
          <w:divBdr>
            <w:top w:val="single" w:sz="4" w:space="0" w:color="CCCCCC"/>
            <w:left w:val="single" w:sz="4" w:space="0" w:color="CCCCCC"/>
            <w:bottom w:val="single" w:sz="4" w:space="0" w:color="CCCCCC"/>
            <w:right w:val="single" w:sz="4" w:space="0" w:color="CCCCCC"/>
          </w:divBdr>
          <w:divsChild>
            <w:div w:id="514274358">
              <w:marLeft w:val="0"/>
              <w:marRight w:val="0"/>
              <w:marTop w:val="0"/>
              <w:marBottom w:val="0"/>
              <w:divBdr>
                <w:top w:val="none" w:sz="0" w:space="0" w:color="auto"/>
                <w:left w:val="none" w:sz="0" w:space="0" w:color="auto"/>
                <w:bottom w:val="none" w:sz="0" w:space="0" w:color="auto"/>
                <w:right w:val="none" w:sz="0" w:space="0" w:color="auto"/>
              </w:divBdr>
              <w:divsChild>
                <w:div w:id="165831688">
                  <w:marLeft w:val="0"/>
                  <w:marRight w:val="0"/>
                  <w:marTop w:val="0"/>
                  <w:marBottom w:val="0"/>
                  <w:divBdr>
                    <w:top w:val="none" w:sz="0" w:space="0" w:color="auto"/>
                    <w:left w:val="none" w:sz="0" w:space="0" w:color="auto"/>
                    <w:bottom w:val="none" w:sz="0" w:space="0" w:color="auto"/>
                    <w:right w:val="none" w:sz="0" w:space="0" w:color="auto"/>
                  </w:divBdr>
                  <w:divsChild>
                    <w:div w:id="1058941188">
                      <w:marLeft w:val="0"/>
                      <w:marRight w:val="0"/>
                      <w:marTop w:val="0"/>
                      <w:marBottom w:val="0"/>
                      <w:divBdr>
                        <w:top w:val="none" w:sz="0" w:space="0" w:color="auto"/>
                        <w:left w:val="none" w:sz="0" w:space="0" w:color="auto"/>
                        <w:bottom w:val="none" w:sz="0" w:space="0" w:color="auto"/>
                        <w:right w:val="none" w:sz="0" w:space="0" w:color="auto"/>
                      </w:divBdr>
                      <w:divsChild>
                        <w:div w:id="1357656719">
                          <w:marLeft w:val="0"/>
                          <w:marRight w:val="0"/>
                          <w:marTop w:val="0"/>
                          <w:marBottom w:val="0"/>
                          <w:divBdr>
                            <w:top w:val="none" w:sz="0" w:space="0" w:color="auto"/>
                            <w:left w:val="none" w:sz="0" w:space="0" w:color="auto"/>
                            <w:bottom w:val="none" w:sz="0" w:space="0" w:color="auto"/>
                            <w:right w:val="none" w:sz="0" w:space="0" w:color="auto"/>
                          </w:divBdr>
                          <w:divsChild>
                            <w:div w:id="760177633">
                              <w:marLeft w:val="0"/>
                              <w:marRight w:val="0"/>
                              <w:marTop w:val="0"/>
                              <w:marBottom w:val="0"/>
                              <w:divBdr>
                                <w:top w:val="none" w:sz="0" w:space="0" w:color="auto"/>
                                <w:left w:val="none" w:sz="0" w:space="0" w:color="auto"/>
                                <w:bottom w:val="none" w:sz="0" w:space="0" w:color="auto"/>
                                <w:right w:val="none" w:sz="0" w:space="0" w:color="auto"/>
                              </w:divBdr>
                              <w:divsChild>
                                <w:div w:id="8017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501266">
      <w:bodyDiv w:val="1"/>
      <w:marLeft w:val="0"/>
      <w:marRight w:val="0"/>
      <w:marTop w:val="0"/>
      <w:marBottom w:val="0"/>
      <w:divBdr>
        <w:top w:val="none" w:sz="0" w:space="0" w:color="auto"/>
        <w:left w:val="none" w:sz="0" w:space="0" w:color="auto"/>
        <w:bottom w:val="none" w:sz="0" w:space="0" w:color="auto"/>
        <w:right w:val="none" w:sz="0" w:space="0" w:color="auto"/>
      </w:divBdr>
    </w:div>
    <w:div w:id="1938100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nsilium.europa.eu/en/policies/ukraine-solidarity-energy-infrastructure/" TargetMode="External"/><Relationship Id="rId21" Type="http://schemas.openxmlformats.org/officeDocument/2006/relationships/hyperlink" Target="https://stoprussianrecruiters.org/" TargetMode="External"/><Relationship Id="rId42" Type="http://schemas.openxmlformats.org/officeDocument/2006/relationships/hyperlink" Target="https://www.france24.com/en/live-news/20260616-trump-says-russia-should-make-a-deal-with-ukraine" TargetMode="External"/><Relationship Id="rId47" Type="http://schemas.openxmlformats.org/officeDocument/2006/relationships/hyperlink" Target="https://nestcentre.org/muted-dissatisfaction/" TargetMode="External"/><Relationship Id="rId63" Type="http://schemas.openxmlformats.org/officeDocument/2006/relationships/hyperlink" Target="https://www.notus.org/congress/senate-bill-russia-sanctions-ukraine-aid-congress-trump-iran-war" TargetMode="External"/><Relationship Id="rId68" Type="http://schemas.openxmlformats.org/officeDocument/2006/relationships/hyperlink" Target="https://defence-industry-space.ec.europa.eu/eu-defence-industry/bravetech-eu_en" TargetMode="External"/><Relationship Id="rId84" Type="http://schemas.openxmlformats.org/officeDocument/2006/relationships/hyperlink" Target="https://policy.trade.ec.europa.eu/enforcement-and-protection/international-procurement-instrument_en" TargetMode="External"/><Relationship Id="rId89" Type="http://schemas.openxmlformats.org/officeDocument/2006/relationships/hyperlink" Target="https://eur-lex.europa.eu/legal-content/EN/TXT/HTML/?uri=CELEX:32022L2557" TargetMode="External"/><Relationship Id="rId16" Type="http://schemas.openxmlformats.org/officeDocument/2006/relationships/header" Target="header2.xml"/><Relationship Id="rId11" Type="http://schemas.openxmlformats.org/officeDocument/2006/relationships/footer" Target="footer1.xml"/><Relationship Id="rId32" Type="http://schemas.openxmlformats.org/officeDocument/2006/relationships/hyperlink" Target="https://renewables.dtek.com/en/tyligulska/" TargetMode="External"/><Relationship Id="rId37" Type="http://schemas.openxmlformats.org/officeDocument/2006/relationships/hyperlink" Target="https://www.nefco.int/news/nefco-continues-its-reconstruction-efforts-in-municipalities-across-ukraine-with-several-new-projects/" TargetMode="External"/><Relationship Id="rId53" Type="http://schemas.openxmlformats.org/officeDocument/2006/relationships/hyperlink" Target="https://media.defense.gov/2026/Jan/23/2003864773/-1/-1/0/2026-national-defense-strategy.pdf" TargetMode="External"/><Relationship Id="rId58" Type="http://schemas.openxmlformats.org/officeDocument/2006/relationships/hyperlink" Target="https://www.rmf24.pl/fakty/polska/news-pociski-do-patriotow-powstana-w-polsce-wiceszef-mon-ma-wiesc,nId,8087913" TargetMode="External"/><Relationship Id="rId74" Type="http://schemas.openxmlformats.org/officeDocument/2006/relationships/hyperlink" Target="https://www.oecd.org/content/dam/oecd/en/publications/reports/2026/03/supporting-ukraine-to-design-and-implement-more-efficient-investment-incentive-policies_bded429c/49f00bcb-en.pdf" TargetMode="External"/><Relationship Id="rId79" Type="http://schemas.openxmlformats.org/officeDocument/2006/relationships/hyperlink" Target="https://www.chinalawtranslate.com/en/national-intelligence-law-of-the-p-r-c-2017/" TargetMode="External"/><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3.png"/><Relationship Id="rId22" Type="http://schemas.openxmlformats.org/officeDocument/2006/relationships/hyperlink" Target="https://global.koordshtab.gov.ua/report/apr-2026" TargetMode="External"/><Relationship Id="rId27" Type="http://schemas.openxmlformats.org/officeDocument/2006/relationships/hyperlink" Target="https://www.economist.com/europe/2026/05/26/ukraines-latest-challenge-is-how-to-deal-with-hope" TargetMode="External"/><Relationship Id="rId30" Type="http://schemas.openxmlformats.org/officeDocument/2006/relationships/hyperlink" Target="https://www.netzeroinvestor.net/news-and-views/powering-through-war-how-wind-farms-became-a-symbol-of-ukrainian-resilience" TargetMode="External"/><Relationship Id="rId35" Type="http://schemas.openxmlformats.org/officeDocument/2006/relationships/hyperlink" Target="https://www.energy-community.org/Ukraine/Fund/overview.html" TargetMode="External"/><Relationship Id="rId43" Type="http://schemas.openxmlformats.org/officeDocument/2006/relationships/hyperlink" Target="https://ec.europa.eu/commission/presscorner/detail/en/statement_26_45" TargetMode="External"/><Relationship Id="rId48" Type="http://schemas.openxmlformats.org/officeDocument/2006/relationships/hyperlink" Target="https://www.kielinstitut.de/publications/news/endgame-russias-war-economy-hits-its-limits/" TargetMode="External"/><Relationship Id="rId56" Type="http://schemas.openxmlformats.org/officeDocument/2006/relationships/hyperlink" Target="https://brusselssignal.eu/2026/06/zelensky-says-us-willing-for-first-time-to-license-patriot-production-in-ukraine/" TargetMode="External"/><Relationship Id="rId64" Type="http://schemas.openxmlformats.org/officeDocument/2006/relationships/hyperlink" Target="https://www.pewresearch.org/global/2026/04/23/americans-have-become-less-confident-in-trumps-decision-making-on-ukraine/pg_2026-04-23_russia-ukraine_0_05/" TargetMode="External"/><Relationship Id="rId69" Type="http://schemas.openxmlformats.org/officeDocument/2006/relationships/hyperlink" Target="https://kse.ua/wp-content/uploads/2025/07/UA-Macro-Handbook_Jul2025.pdf" TargetMode="External"/><Relationship Id="rId77" Type="http://schemas.openxmlformats.org/officeDocument/2006/relationships/hyperlink" Target="https://www.scmp.com/news/china/diplomacy/article/3302742/china-seeks-role-ukraines-post-war-reconstruction" TargetMode="External"/><Relationship Id="rId8" Type="http://schemas.openxmlformats.org/officeDocument/2006/relationships/webSettings" Target="webSettings.xml"/><Relationship Id="rId51" Type="http://schemas.microsoft.com/office/2016/09/relationships/commentsIds" Target="commentsIds.xml"/><Relationship Id="rId72" Type="http://schemas.openxmlformats.org/officeDocument/2006/relationships/hyperlink" Target="https://journals.sagepub.com/doi/abs/10.1177/00108367221099086" TargetMode="External"/><Relationship Id="rId80" Type="http://schemas.openxmlformats.org/officeDocument/2006/relationships/hyperlink" Target="https://shop.freiheit.org/" TargetMode="External"/><Relationship Id="rId85" Type="http://schemas.openxmlformats.org/officeDocument/2006/relationships/hyperlink" Target="https://eur-lex.europa.eu/legal-content/EN/TXT/HTML/?uri=OJ:L_202401735"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consilium.europa.eu/en/policies/ukraine-solidarity-energy-infrastructure/" TargetMode="External"/><Relationship Id="rId33" Type="http://schemas.openxmlformats.org/officeDocument/2006/relationships/hyperlink" Target="https://www.auswaertiges-amt.de/en/newsroom/news/2772284-2772284" TargetMode="External"/><Relationship Id="rId38" Type="http://schemas.openxmlformats.org/officeDocument/2006/relationships/hyperlink" Target="https://www.ebrd.com/home/work-with-us/projects/psd/56596.html" TargetMode="External"/><Relationship Id="rId46" Type="http://schemas.openxmlformats.org/officeDocument/2006/relationships/hyperlink" Target="https://kyivindependent.com/they-attack-with-everything-at-once-how-russia-exploits-ukraines-vulnerability-to-ballistic-missiles/" TargetMode="External"/><Relationship Id="rId59" Type="http://schemas.openxmlformats.org/officeDocument/2006/relationships/hyperlink" Target="https://www.ft.com/content/0393e6aa-15e2-45af-ab3e-466b11b4cd78?syn-25a6b1a6=1" TargetMode="External"/><Relationship Id="rId67" Type="http://schemas.openxmlformats.org/officeDocument/2006/relationships/hyperlink" Target="https://www.economist.com/interactive/essay/2026/05/28/the-dangerous-delusion-of-modern-warfare" TargetMode="External"/><Relationship Id="rId20" Type="http://schemas.openxmlformats.org/officeDocument/2006/relationships/hyperlink" Target="https://www.undp.org/sites/g/files/zskgke326/files/2026-04/ukraine-fifth_rapid_damage_and_needs_assessment.pdf.pdf" TargetMode="External"/><Relationship Id="rId41" Type="http://schemas.openxmlformats.org/officeDocument/2006/relationships/hyperlink" Target="https://kyivindependent.com/us-admits-ukraine-peace-talks-at-a-standstill-ready-to-step-back-in-if-dynamics-change/" TargetMode="External"/><Relationship Id="rId54" Type="http://schemas.openxmlformats.org/officeDocument/2006/relationships/hyperlink" Target="https://www.rand.org/pubs/commentary/2026/01/ukraine-will-be-the-business-opportunity-of-the-decade.html" TargetMode="External"/><Relationship Id="rId62" Type="http://schemas.openxmlformats.org/officeDocument/2006/relationships/hyperlink" Target="https://www.bbc.com/news/articles/clypy34wd05o" TargetMode="External"/><Relationship Id="rId70" Type="http://schemas.openxmlformats.org/officeDocument/2006/relationships/hyperlink" Target="https://journals.sagepub.com/doi/abs/10.1177/00108367221099086" TargetMode="External"/><Relationship Id="rId75" Type="http://schemas.openxmlformats.org/officeDocument/2006/relationships/hyperlink" Target="https://www.worldbank.org/en/news/press-release/2026/02/23/updated-ukraine-recovery-and-reconstruction-needs-assessment-released" TargetMode="External"/><Relationship Id="rId83" Type="http://schemas.openxmlformats.org/officeDocument/2006/relationships/hyperlink" Target="https://competition-policy.ec.europa.eu/foreign-subsidies-regulation_en" TargetMode="External"/><Relationship Id="rId88" Type="http://schemas.openxmlformats.org/officeDocument/2006/relationships/hyperlink" Target="https://eur-lex.europa.eu/legal-content/EN/TXT/HTML/?uri=CELEX:32022L2555"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hochuzhit.com/en/" TargetMode="External"/><Relationship Id="rId28" Type="http://schemas.openxmlformats.org/officeDocument/2006/relationships/hyperlink" Target="https://www.energy-community.org/news/Energy-Community-News/2026/5/22.html" TargetMode="External"/><Relationship Id="rId36" Type="http://schemas.openxmlformats.org/officeDocument/2006/relationships/hyperlink" Target="https://www.eib.org/en/press/all/2026-226-eib-group-steps-up-support-for-ukraine-with-over-eur470-million-for-housing-connectivity-and-private-sector-growth" TargetMode="External"/><Relationship Id="rId49" Type="http://schemas.openxmlformats.org/officeDocument/2006/relationships/comments" Target="comments.xml"/><Relationship Id="rId57" Type="http://schemas.openxmlformats.org/officeDocument/2006/relationships/hyperlink" Target="https://www.bloomberg.com/news/articles/2026-06-17/trump-to-ask-us-companies-to-make-missiles-in-europe-and-ukraine" TargetMode="External"/><Relationship Id="rId10" Type="http://schemas.openxmlformats.org/officeDocument/2006/relationships/endnotes" Target="endnotes.xml"/><Relationship Id="rId31" Type="http://schemas.openxmlformats.org/officeDocument/2006/relationships/hyperlink" Target="https://www.netzeroinvestor.net/news-and-views/powering-through-war-how-wind-farms-became-a-symbol-of-ukrainian-resilience" TargetMode="External"/><Relationship Id="rId44" Type="http://schemas.openxmlformats.org/officeDocument/2006/relationships/hyperlink" Target="https://www.iss.europa.eu/publications/commentary/assessing-damage-what-iran-war-really-means-europes-defence" TargetMode="External"/><Relationship Id="rId52" Type="http://schemas.microsoft.com/office/2018/08/relationships/commentsExtensible" Target="commentsExtensible.xml"/><Relationship Id="rId60" Type="http://schemas.openxmlformats.org/officeDocument/2006/relationships/hyperlink" Target="https://united24media.com/latest-news/rheinmetall-and-lockheed-to-build-europes-first-atacms-and-patriot-missile-factory-8471" TargetMode="External"/><Relationship Id="rId65" Type="http://schemas.openxmlformats.org/officeDocument/2006/relationships/hyperlink" Target="https://x.com/LauraLoomer/status/2061911403695620254" TargetMode="External"/><Relationship Id="rId73" Type="http://schemas.openxmlformats.org/officeDocument/2006/relationships/hyperlink" Target="https://unctad.org/news/global-foreign-direct-investment-falls-second-consecutive-year-posing-acute-challenges" TargetMode="External"/><Relationship Id="rId78" Type="http://schemas.openxmlformats.org/officeDocument/2006/relationships/hyperlink" Target="https://merics.org/en/report/interests-first-chinas-playbook-post-conflict-reconstruction-and-implications-ukraine" TargetMode="External"/><Relationship Id="rId81" Type="http://schemas.openxmlformats.org/officeDocument/2006/relationships/hyperlink" Target="https://commission.europa.eu/document/eaeefcb3-9a04-4fb1-acff-19b69f5deba0_en" TargetMode="External"/><Relationship Id="rId86" Type="http://schemas.openxmlformats.org/officeDocument/2006/relationships/hyperlink" Target="https://digital-strategy.ec.europa.eu/en/library/cybersecurity-5g-networks-eu-toolbox-risk-mitigating-measure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www.europesays.com/europe/61345/" TargetMode="External"/><Relationship Id="rId39" Type="http://schemas.openxmlformats.org/officeDocument/2006/relationships/hyperlink" Target="https://en.uhe.gov.ua/news/ukrhydroenergo-and-world-bank-signed-loan-agreement-under-additional-financing-ukraine" TargetMode="External"/><Relationship Id="rId34" Type="http://schemas.openxmlformats.org/officeDocument/2006/relationships/hyperlink" Target="https://www.energy-community.org/Ukraine/Fund/overview.html" TargetMode="External"/><Relationship Id="rId50" Type="http://schemas.microsoft.com/office/2011/relationships/commentsExtended" Target="commentsExtended.xml"/><Relationship Id="rId55" Type="http://schemas.openxmlformats.org/officeDocument/2006/relationships/hyperlink" Target="https://samm.dsca.mil/program/JUMPSTART" TargetMode="External"/><Relationship Id="rId76" Type="http://schemas.openxmlformats.org/officeDocument/2006/relationships/hyperlink" Target="https://www.mfa.gov.cn/eng/zy/gb/202405/t20240531_11367485.html" TargetMode="External"/><Relationship Id="rId7" Type="http://schemas.openxmlformats.org/officeDocument/2006/relationships/settings" Target="settings.xml"/><Relationship Id="rId71" Type="http://schemas.openxmlformats.org/officeDocument/2006/relationships/hyperlink" Target="https://kse.ua/wp-content/uploads/2025/07/UA-Macro-Handbook_Jul2025.pdf" TargetMode="Externa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yperlink" Target="https://www.weforum.org/stories/2026/01/frontline-security-energy-lessons-ukraine/" TargetMode="External"/><Relationship Id="rId24" Type="http://schemas.openxmlformats.org/officeDocument/2006/relationships/hyperlink" Target="https://adf-magazine.com/2025/07/african-women-lured-to-produce-russian-war-drones/" TargetMode="External"/><Relationship Id="rId40" Type="http://schemas.openxmlformats.org/officeDocument/2006/relationships/hyperlink" Target="https://eur-lex.europa.eu/resource.html?uri=cellar:f66de793-d69e-11f0-8da2-01aa75ed71a1.0001.02/DOC_1&amp;format=PDF" TargetMode="External"/><Relationship Id="rId45" Type="http://schemas.openxmlformats.org/officeDocument/2006/relationships/hyperlink" Target="https://united24media.com/defense-tech/zelenskyy-urges-uk-france-and-germany-to-build-european-alternative-to-us-patriot-system-19639" TargetMode="External"/><Relationship Id="rId66" Type="http://schemas.openxmlformats.org/officeDocument/2006/relationships/hyperlink" Target="https://eur-lex.europa.eu/eli/reg/2026/467/oj" TargetMode="External"/><Relationship Id="rId87" Type="http://schemas.openxmlformats.org/officeDocument/2006/relationships/hyperlink" Target="https://digital-strategy.ec.europa.eu/en/library/proposal-regulation-eu-cybersecurity-act" TargetMode="External"/><Relationship Id="rId61" Type="http://schemas.openxmlformats.org/officeDocument/2006/relationships/hyperlink" Target="https://comlog-patriot.com/comlog/" TargetMode="External"/><Relationship Id="rId82" Type="http://schemas.openxmlformats.org/officeDocument/2006/relationships/hyperlink" Target="https://eur-lex.europa.eu/legal-content/EN/TXT/HTML/?uri=CELEX:52024PC0023" TargetMode="External"/><Relationship Id="rId19" Type="http://schemas.openxmlformats.org/officeDocument/2006/relationships/hyperlink" Target="https://op.europa.eu/en/publication-detail/-/publication/ceb7d659-d5d5-11f0-8da2-01aa75ed71a1/language-en?WT.mc_id=Searchresult&amp;WT.ria_c=55576&amp;WT.ria_f=9125&amp;WT.ria_ev=search&amp;WT.URL=https%3A%2F%2Fcommission.europa.eu%2F"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dietrich\EU%20Institute%20for%20Security%20Studies\COMMUNICATIONS%20TEAM%20-%20General\Visual%20identity%202022\EUISS_Visual%20Identity-V2\3-Publications%20template\D-Special%20Report\Special%20Report.dotx" TargetMode="External"/></Relationships>
</file>

<file path=word/theme/theme1.xml><?xml version="1.0" encoding="utf-8"?>
<a:theme xmlns:a="http://schemas.openxmlformats.org/drawingml/2006/main" name="EUISS">
  <a:themeElements>
    <a:clrScheme name="EUISS">
      <a:dk1>
        <a:srgbClr val="000000"/>
      </a:dk1>
      <a:lt1>
        <a:sysClr val="window" lastClr="FFFFFF"/>
      </a:lt1>
      <a:dk2>
        <a:srgbClr val="9D9D9C"/>
      </a:dk2>
      <a:lt2>
        <a:srgbClr val="3C3C3B"/>
      </a:lt2>
      <a:accent1>
        <a:srgbClr val="587690"/>
      </a:accent1>
      <a:accent2>
        <a:srgbClr val="113655"/>
      </a:accent2>
      <a:accent3>
        <a:srgbClr val="F28E00"/>
      </a:accent3>
      <a:accent4>
        <a:srgbClr val="A61A16"/>
      </a:accent4>
      <a:accent5>
        <a:srgbClr val="4FB748"/>
      </a:accent5>
      <a:accent6>
        <a:srgbClr val="4F6D5F"/>
      </a:accent6>
      <a:hlink>
        <a:srgbClr val="587690"/>
      </a:hlink>
      <a:folHlink>
        <a:srgbClr val="322F42"/>
      </a:folHlink>
    </a:clrScheme>
    <a:fontScheme name="Custom 1">
      <a:majorFont>
        <a:latin typeface="Corbel"/>
        <a:ea typeface=""/>
        <a:cs typeface=""/>
      </a:majorFont>
      <a:minorFont>
        <a:latin typeface="Constant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ff3e208-3f5f-40e8-bf99-89cd38c6e74b">
      <Terms xmlns="http://schemas.microsoft.com/office/infopath/2007/PartnerControls"/>
    </lcf76f155ced4ddcb4097134ff3c332f>
    <TaxCatchAll xmlns="893a535f-c272-4de5-af6a-c38c1ae2fe1d"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62062A063B982499056F0DEDE3A7269" ma:contentTypeVersion="18" ma:contentTypeDescription="Create a new document." ma:contentTypeScope="" ma:versionID="278dbb192f29594e9d018d4505145fae">
  <xsd:schema xmlns:xsd="http://www.w3.org/2001/XMLSchema" xmlns:xs="http://www.w3.org/2001/XMLSchema" xmlns:p="http://schemas.microsoft.com/office/2006/metadata/properties" xmlns:ns2="bff3e208-3f5f-40e8-bf99-89cd38c6e74b" xmlns:ns3="893a535f-c272-4de5-af6a-c38c1ae2fe1d" targetNamespace="http://schemas.microsoft.com/office/2006/metadata/properties" ma:root="true" ma:fieldsID="f9449c12c35f00d3d9b20d2db49594a2" ns2:_="" ns3:_="">
    <xsd:import namespace="bff3e208-3f5f-40e8-bf99-89cd38c6e74b"/>
    <xsd:import namespace="893a535f-c272-4de5-af6a-c38c1ae2fe1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f3e208-3f5f-40e8-bf99-89cd38c6e7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1591fae-920f-4b77-a307-3cee14e780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93a535f-c272-4de5-af6a-c38c1ae2fe1d"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a58ea8de-0d3d-4c05-85e4-165aa7ad0aa2}" ma:internalName="TaxCatchAll" ma:showField="CatchAllData" ma:web="893a535f-c272-4de5-af6a-c38c1ae2fe1d">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A45F4-95C1-4F00-A5B6-39F6822EB011}">
  <ds:schemaRefs>
    <ds:schemaRef ds:uri="http://schemas.microsoft.com/office/2006/metadata/properties"/>
    <ds:schemaRef ds:uri="http://schemas.microsoft.com/office/infopath/2007/PartnerControls"/>
    <ds:schemaRef ds:uri="bff3e208-3f5f-40e8-bf99-89cd38c6e74b"/>
    <ds:schemaRef ds:uri="893a535f-c272-4de5-af6a-c38c1ae2fe1d"/>
  </ds:schemaRefs>
</ds:datastoreItem>
</file>

<file path=customXml/itemProps2.xml><?xml version="1.0" encoding="utf-8"?>
<ds:datastoreItem xmlns:ds="http://schemas.openxmlformats.org/officeDocument/2006/customXml" ds:itemID="{B474A8C9-05E9-470E-8396-9CD91BC742B5}">
  <ds:schemaRefs>
    <ds:schemaRef ds:uri="http://schemas.openxmlformats.org/officeDocument/2006/bibliography"/>
  </ds:schemaRefs>
</ds:datastoreItem>
</file>

<file path=customXml/itemProps3.xml><?xml version="1.0" encoding="utf-8"?>
<ds:datastoreItem xmlns:ds="http://schemas.openxmlformats.org/officeDocument/2006/customXml" ds:itemID="{ED9BA4AF-458F-46FC-82B5-5D1AE80205CE}">
  <ds:schemaRefs>
    <ds:schemaRef ds:uri="http://schemas.microsoft.com/sharepoint/v3/contenttype/forms"/>
  </ds:schemaRefs>
</ds:datastoreItem>
</file>

<file path=customXml/itemProps4.xml><?xml version="1.0" encoding="utf-8"?>
<ds:datastoreItem xmlns:ds="http://schemas.openxmlformats.org/officeDocument/2006/customXml" ds:itemID="{8855245D-69AD-4C91-AC64-9846968721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f3e208-3f5f-40e8-bf99-89cd38c6e74b"/>
    <ds:schemaRef ds:uri="893a535f-c272-4de5-af6a-c38c1ae2fe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Special Report.dotx</Template>
  <TotalTime>73</TotalTime>
  <Pages>26</Pages>
  <Words>10319</Words>
  <Characters>58819</Characters>
  <Application>Microsoft Office Word</Application>
  <DocSecurity>0</DocSecurity>
  <Lines>490</Lines>
  <Paragraphs>137</Paragraphs>
  <ScaleCrop>false</ScaleCrop>
  <Company>European Union Institute for Security Studies</Company>
  <LinksUpToDate>false</LinksUpToDate>
  <CharactersWithSpaces>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Foreign Policy-First President?</dc:title>
  <dc:subject>Subtitle</dc:subject>
  <dc:creator>Christian Dietrich</dc:creator>
  <cp:keywords/>
  <cp:lastModifiedBy>Christian Dietrich</cp:lastModifiedBy>
  <cp:revision>62</cp:revision>
  <cp:lastPrinted>2026-03-18T09:48:00Z</cp:lastPrinted>
  <dcterms:created xsi:type="dcterms:W3CDTF">2026-07-16T10:07:00Z</dcterms:created>
  <dcterms:modified xsi:type="dcterms:W3CDTF">2026-07-16T12:44:00Z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0x010100762062A063B982499056F0DEDE3A7269</vt:lpwstr>
  </property>
  <property fmtid="{D5CDD505-2E9C-101B-9397-08002B2CF9AE}" pid="3" name="MediaServiceImageTags">
    <vt:lpwstr/>
  </property>
</Properties>
</file>