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87FD9" w14:textId="77777777" w:rsidR="00DD21DE" w:rsidRDefault="00DD21DE"/>
    <w:p w14:paraId="5BDFF68A" w14:textId="69CC1BD6" w:rsidR="00DD21DE" w:rsidRDefault="00DD21DE">
      <w:r>
        <w:rPr>
          <w:b/>
          <w:bCs/>
        </w:rPr>
        <w:t>CLIN-LONGSUM: ADDITIONAL INFORMATION FOR CLINICIANS</w:t>
      </w:r>
    </w:p>
    <w:p w14:paraId="0C97CB85" w14:textId="77777777" w:rsidR="00DD21DE" w:rsidRDefault="00DD21DE"/>
    <w:p w14:paraId="2BEFC7BF" w14:textId="733AD12A" w:rsidR="00DD4320" w:rsidRDefault="002E7DA1">
      <w:r>
        <w:t>In this document we discuss in more depth a few aspects of Clinical Longitudinal Summarization (</w:t>
      </w:r>
      <w:r w:rsidR="00BF787D">
        <w:t>CLIN-LONGSUM</w:t>
      </w:r>
      <w:r>
        <w:t>)</w:t>
      </w:r>
      <w:r w:rsidR="000C1047">
        <w:t xml:space="preserve"> pertinent for clinicians</w:t>
      </w:r>
      <w:r>
        <w:t>; specifically (</w:t>
      </w:r>
      <w:r w:rsidR="000C1047">
        <w:t>1</w:t>
      </w:r>
      <w:r>
        <w:t xml:space="preserve">) </w:t>
      </w:r>
      <w:r w:rsidR="00FF0EA3">
        <w:t xml:space="preserve">retention </w:t>
      </w:r>
      <w:r w:rsidR="00DD4320">
        <w:t>s</w:t>
      </w:r>
      <w:r>
        <w:t>alience</w:t>
      </w:r>
      <w:r w:rsidR="00FF0EA3">
        <w:t xml:space="preserve">, </w:t>
      </w:r>
      <w:r>
        <w:t>(</w:t>
      </w:r>
      <w:r w:rsidR="000C1047">
        <w:t>2</w:t>
      </w:r>
      <w:r>
        <w:t xml:space="preserve">) </w:t>
      </w:r>
      <w:r w:rsidR="00DD4320">
        <w:t>l</w:t>
      </w:r>
      <w:r>
        <w:t>imitations of our research prototype</w:t>
      </w:r>
      <w:r w:rsidR="00FF0EA3">
        <w:t xml:space="preserve">, and </w:t>
      </w:r>
      <w:r w:rsidR="00DD4320">
        <w:t>(</w:t>
      </w:r>
      <w:r w:rsidR="00F31DA9">
        <w:t>3</w:t>
      </w:r>
      <w:r w:rsidR="00DD4320">
        <w:t>) clinical governance.</w:t>
      </w:r>
    </w:p>
    <w:p w14:paraId="0140CC50" w14:textId="77777777" w:rsidR="00D31889" w:rsidRDefault="00D31889">
      <w:pPr>
        <w:rPr>
          <w:b/>
          <w:bCs/>
        </w:rPr>
      </w:pPr>
    </w:p>
    <w:p w14:paraId="5623BADD" w14:textId="616C1FEF" w:rsidR="002E7DA1" w:rsidRDefault="000D2DA2">
      <w:r>
        <w:rPr>
          <w:b/>
          <w:bCs/>
        </w:rPr>
        <w:t>Retention</w:t>
      </w:r>
      <w:r w:rsidR="002E7DA1">
        <w:rPr>
          <w:b/>
          <w:bCs/>
        </w:rPr>
        <w:t xml:space="preserve"> Salience</w:t>
      </w:r>
    </w:p>
    <w:p w14:paraId="5710C1CA" w14:textId="77777777" w:rsidR="00453F70" w:rsidRDefault="00453F70">
      <w:pPr>
        <w:rPr>
          <w:i/>
          <w:iCs/>
        </w:rPr>
      </w:pPr>
    </w:p>
    <w:p w14:paraId="2C6A6CC8" w14:textId="1A26A190" w:rsidR="002E7DA1" w:rsidRPr="002E7DA1" w:rsidRDefault="002E7DA1">
      <w:pPr>
        <w:rPr>
          <w:i/>
          <w:iCs/>
        </w:rPr>
      </w:pPr>
      <w:r>
        <w:rPr>
          <w:i/>
          <w:iCs/>
        </w:rPr>
        <w:t>Definition</w:t>
      </w:r>
    </w:p>
    <w:p w14:paraId="37DE45A8" w14:textId="77777777" w:rsidR="006C6FBA" w:rsidRDefault="002E7DA1" w:rsidP="001109A5">
      <w:r>
        <w:t xml:space="preserve">Clinical salience is specific to the clinical task </w:t>
      </w:r>
      <w:r>
        <w:fldChar w:fldCharType="begin"/>
      </w:r>
      <w:r>
        <w:instrText xml:space="preserve"> ADDIN ZOTERO_ITEM CSL_CITATION {"citationID":"IRUVvFws","properties":{"unsorted":false,"formattedCitation":"(1)","plainCitation":"(1)","noteIndex":0},"citationItems":[{"id":374,"uris":["http://zotero.org/users/5106621/items/734736Z6"],"itemData":{"id":374,"type":"article-journal","abstract":"Abstract\n            Objectives This review examines work on automated summarization of electronic health record (EHR) data and in particular, individual patient record summarization. We organize the published research and highlight methodological challenges in the area of EHR summarization implementation.\n            Target audience The target audience for this review includes researchers, designers, and informaticians who are concerned about the problem of information overload in the clinical setting as well as both users and developers of clinical summarization systems.\n            Scope Automated summarization has been a long-studied subject in the fields of natural language processing and human–computer interaction, but the translation of summarization and visualization methods to the complexity of the clinical workflow is slow moving. We assess work in aggregating and visualizing patient information with a particular focus on methods for detecting and removing redundancy, describing temporality, determining salience, accounting for missing data, and taking advantage of encoded clinical knowledge. We identify and discuss open challenges critical to the implementation and use of robust EHR summarization systems.","container-title":"Journal of the American Medical Informatics Association","DOI":"10.1093/jamia/ocv032","ISSN":"1527-974X, 1067-5027","issue":"5","language":"en","license":"http://creativecommons.org/licenses/by-nc/4.0/","page":"938-947","source":"DOI.org (Crossref)","title":"Automated methods for the summarization of electronic health records","volume":"22","author":[{"family":"Pivovarov","given":"Rimma"},{"family":"Elhadad","given":"Noémie"}],"issued":{"date-parts":[["2015",9,1]]}}}],"schema":"https://github.com/citation-style-language/schema/raw/master/csl-citation.json"} </w:instrText>
      </w:r>
      <w:r>
        <w:fldChar w:fldCharType="separate"/>
      </w:r>
      <w:r w:rsidRPr="002E7DA1">
        <w:rPr>
          <w:rFonts w:ascii="Aptos" w:hAnsi="Aptos"/>
        </w:rPr>
        <w:t>(1)</w:t>
      </w:r>
      <w:r>
        <w:fldChar w:fldCharType="end"/>
      </w:r>
      <w:r>
        <w:t>.</w:t>
      </w:r>
      <w:r w:rsidR="0038179D">
        <w:t xml:space="preserve"> For our purpose, </w:t>
      </w:r>
      <w:r w:rsidRPr="0038179D">
        <w:rPr>
          <w:b/>
          <w:bCs/>
        </w:rPr>
        <w:t>longitudinal</w:t>
      </w:r>
      <w:r>
        <w:t xml:space="preserve"> patient-record </w:t>
      </w:r>
      <w:r w:rsidRPr="00DC77BF">
        <w:rPr>
          <w:b/>
          <w:bCs/>
        </w:rPr>
        <w:t>summarization</w:t>
      </w:r>
      <w:r>
        <w:t xml:space="preserve">, </w:t>
      </w:r>
      <w:r w:rsidR="0038179D">
        <w:t xml:space="preserve">we define </w:t>
      </w:r>
      <w:r w:rsidR="00CF7471">
        <w:rPr>
          <w:b/>
          <w:bCs/>
        </w:rPr>
        <w:t>retention</w:t>
      </w:r>
      <w:r w:rsidRPr="0038179D">
        <w:rPr>
          <w:b/>
          <w:bCs/>
        </w:rPr>
        <w:t xml:space="preserve"> salience</w:t>
      </w:r>
      <w:r w:rsidRPr="002E7DA1">
        <w:t xml:space="preserve"> of a </w:t>
      </w:r>
      <w:r w:rsidR="00533790" w:rsidRPr="00533790">
        <w:rPr>
          <w:b/>
          <w:bCs/>
        </w:rPr>
        <w:t>clinical fact</w:t>
      </w:r>
      <w:r w:rsidRPr="002E7DA1">
        <w:t xml:space="preserve"> </w:t>
      </w:r>
      <w:r w:rsidR="00F76CC9">
        <w:t xml:space="preserve">as </w:t>
      </w:r>
      <w:r w:rsidRPr="0038179D">
        <w:rPr>
          <w:b/>
          <w:bCs/>
        </w:rPr>
        <w:t xml:space="preserve">the expected cost to a receiving clinician, at some future encounter, of that </w:t>
      </w:r>
      <w:r w:rsidR="00533790">
        <w:rPr>
          <w:b/>
          <w:bCs/>
        </w:rPr>
        <w:t>fact</w:t>
      </w:r>
      <w:r w:rsidRPr="0038179D">
        <w:rPr>
          <w:b/>
          <w:bCs/>
        </w:rPr>
        <w:t xml:space="preserve"> being absent from the summary </w:t>
      </w:r>
      <w:r w:rsidR="00FF0EA3">
        <w:rPr>
          <w:b/>
          <w:bCs/>
        </w:rPr>
        <w:t>-</w:t>
      </w:r>
      <w:r w:rsidRPr="0038179D">
        <w:rPr>
          <w:b/>
          <w:bCs/>
        </w:rPr>
        <w:t xml:space="preserve"> given everything else the summary already carries</w:t>
      </w:r>
      <w:r w:rsidRPr="002E7DA1">
        <w:t>.</w:t>
      </w:r>
      <w:r w:rsidR="0038179D">
        <w:t xml:space="preserve"> </w:t>
      </w:r>
    </w:p>
    <w:p w14:paraId="0AEDBF01" w14:textId="193AC0DD" w:rsidR="006C6FBA" w:rsidRDefault="006C6FBA" w:rsidP="001109A5">
      <w:r>
        <w:t>This definition differs from the usual meaning of salience in patient record summarization, which is generally “belongs in this summary of this episode”. Our definition means “survives to the next encounter”, thus we name it explicitly ‘retention salience’.</w:t>
      </w:r>
    </w:p>
    <w:p w14:paraId="49FCBAA9" w14:textId="77777777" w:rsidR="00346C30" w:rsidRDefault="00346C30" w:rsidP="006C6FBA">
      <w:pPr>
        <w:rPr>
          <w:i/>
          <w:iCs/>
        </w:rPr>
      </w:pPr>
    </w:p>
    <w:p w14:paraId="2B7E3A09" w14:textId="065D7276" w:rsidR="00346C30" w:rsidRPr="00346C30" w:rsidRDefault="00346C30" w:rsidP="006C6FBA">
      <w:pPr>
        <w:rPr>
          <w:i/>
          <w:iCs/>
        </w:rPr>
      </w:pPr>
      <w:r>
        <w:rPr>
          <w:i/>
          <w:iCs/>
        </w:rPr>
        <w:t>Prior Work</w:t>
      </w:r>
    </w:p>
    <w:p w14:paraId="11B66D41" w14:textId="26CC8F0C" w:rsidR="00CD03A6" w:rsidRDefault="006C6FBA" w:rsidP="00CD03A6">
      <w:r w:rsidRPr="006C6FBA">
        <w:t xml:space="preserve">Previously published formulations of salience in summarization define and model salience using a proxy: </w:t>
      </w:r>
      <w:r w:rsidR="00341B1A">
        <w:t xml:space="preserve">maximum </w:t>
      </w:r>
      <w:r w:rsidR="003A7980">
        <w:t>marginal relevance (Carbonell</w:t>
      </w:r>
      <w:r w:rsidR="00341B1A">
        <w:t>, non-clinical</w:t>
      </w:r>
      <w:r w:rsidR="00C60077">
        <w:t>, and the inspiration for ‘given everything else…’ in our definition</w:t>
      </w:r>
      <w:r w:rsidR="003A7980">
        <w:t xml:space="preserve">; </w:t>
      </w:r>
      <w:r w:rsidR="003A7980">
        <w:fldChar w:fldCharType="begin"/>
      </w:r>
      <w:r w:rsidR="003A7980">
        <w:instrText xml:space="preserve"> ADDIN ZOTERO_ITEM CSL_CITATION {"citationID":"n35doKqG","properties":{"unsorted":false,"formattedCitation":"(2)","plainCitation":"(2)","noteIndex":0},"citationItems":[{"id":405,"uris":["http://zotero.org/users/5106621/items/74L78UJ5"],"itemData":{"id":405,"type":"paper-conference","container-title":"Proceedings of a workshop on held at Baltimore, Maryland October 13-15, 1998 -","DOI":"10.3115/1119089.1119120","event-title":"a workshop","language":"en","page":"181","publisher":"Association for Computational Linguistics","publisher-place":"Baltimore, Maryland","source":"DOI.org (Crossref)","title":"Summarization: (1) using MMR for diversity - based reranking and (2) evaluating summaries","title-short":"Summarization","URL":"http://portal.acm.org/citation.cfm?doid=1119089.1119120","author":[{"family":"Goldstein","given":"Jade"},{"family":"Carbonell","given":"Jaime"}],"accessed":{"date-parts":[["2026",8,28]]},"issued":{"date-parts":[["1996"]]}}}],"schema":"https://github.com/citation-style-language/schema/raw/master/csl-citation.json"} </w:instrText>
      </w:r>
      <w:r w:rsidR="003A7980">
        <w:fldChar w:fldCharType="separate"/>
      </w:r>
      <w:r w:rsidR="003A7980" w:rsidRPr="003A7980">
        <w:rPr>
          <w:rFonts w:ascii="Aptos" w:hAnsi="Aptos"/>
        </w:rPr>
        <w:t>(2)</w:t>
      </w:r>
      <w:r w:rsidR="003A7980">
        <w:fldChar w:fldCharType="end"/>
      </w:r>
      <w:r w:rsidR="003A7980">
        <w:t xml:space="preserve">), </w:t>
      </w:r>
      <w:r w:rsidRPr="006C6FBA">
        <w:t>note frequency (HARVEST</w:t>
      </w:r>
      <w:r>
        <w:t xml:space="preserve">; </w:t>
      </w:r>
      <w:r>
        <w:fldChar w:fldCharType="begin"/>
      </w:r>
      <w:r w:rsidR="003A7980">
        <w:instrText xml:space="preserve"> ADDIN ZOTERO_ITEM CSL_CITATION {"citationID":"vLZfF0fM","properties":{"unsorted":false,"formattedCitation":"(3)","plainCitation":"(3)","noteIndex":0},"citationItems":[{"id":391,"uris":["http://zotero.org/users/5106621/items/JSVKGX7Y"],"itemData":{"id":391,"type":"article-journal","abstract":"Abstract\n            Objective To describe HARVEST, a novel point-of-care patient summarization and visualization tool, and to conduct a formative evaluation study to assess its effectiveness and gather feedback for iterative improvements.\n            Materials and methods HARVEST is a problem-based, interactive, temporal visualization of longitudinal patient records. Using scalable, distributed natural language processing and problem salience computation, the system extracts content from the patient notes and aggregates and presents information from multiple care settings. Clinical usability was assessed with physician participants using a timed, task-based chart review and questionnaire, with performance differences recorded between conditions (standard data review system and HARVEST).\n            Results HARVEST displays patient information longitudinally using a timeline, a problem cloud as extracted from notes, and focused access to clinical documentation. Despite lack of familiarity with HARVEST, when using a task-based evaluation, performance and time-to-task completion was maintained in patient review scenarios using HARVEST alone or the standard clinical information system at our institution. Subjects reported very high satisfaction with HARVEST and interest in using the system in their daily practice.\n            Discussion HARVEST is available for wide deployment at our institution. Evaluation provided informative feedback and directions for future improvements.\n            Conclusions HARVEST was designed to address the unmet need for clinicians at the point of care, facilitating review of essential patient information. The deployment of HARVEST in our institution allows us to study patient record summarization as an informatics intervention in a real-world setting. It also provides an opportunity to learn how clinicians use the summarizer, enabling informed interface and content iteration and optimization to improve patient care.","container-title":"Journal of the American Medical Informatics Association","DOI":"10.1136/amiajnl-2014-002945","ISSN":"1527-974X, 1067-5027","issue":"2","language":"en","license":"http://creativecommons.org/licenses/by-nc/4.0","page":"263-274","source":"DOI.org (Crossref)","title":"HARVEST, a longitudinal patient record summarizer","volume":"22","author":[{"family":"Hirsch","given":"Jamie S"},{"family":"Tanenbaum","given":"Jessica S"},{"family":"Lipsky Gorman","given":"Sharon"},{"family":"Liu","given":"Connie"},{"family":"Schmitz","given":"Eric"},{"family":"Hashorva","given":"Dritan"},{"family":"Ervits","given":"Artem"},{"family":"Vawdrey","given":"David"},{"family":"Sturm","given":"Marc"},{"family":"Elhadad","given":"Noémie"}],"issued":{"date-parts":[["2015",3,1]]}}}],"schema":"https://github.com/citation-style-language/schema/raw/master/csl-citation.json"} </w:instrText>
      </w:r>
      <w:r>
        <w:fldChar w:fldCharType="separate"/>
      </w:r>
      <w:r w:rsidR="003A7980" w:rsidRPr="003A7980">
        <w:rPr>
          <w:rFonts w:ascii="Aptos" w:hAnsi="Aptos"/>
        </w:rPr>
        <w:t>(3)</w:t>
      </w:r>
      <w:r>
        <w:fldChar w:fldCharType="end"/>
      </w:r>
      <w:r w:rsidRPr="006C6FBA">
        <w:t>), presence in a reference summary (CLIN</w:t>
      </w:r>
      <w:r w:rsidR="001725FB">
        <w:t>_</w:t>
      </w:r>
      <w:r w:rsidRPr="006C6FBA">
        <w:t>SUM</w:t>
      </w:r>
      <w:r>
        <w:t xml:space="preserve">; </w:t>
      </w:r>
      <w:r>
        <w:fldChar w:fldCharType="begin"/>
      </w:r>
      <w:r w:rsidR="003A7980">
        <w:instrText xml:space="preserve"> ADDIN ZOTERO_ITEM CSL_CITATION {"citationID":"BYyauvL2","properties":{"unsorted":false,"formattedCitation":"(4)","plainCitation":"(4)","noteIndex":0},"citationItems":[{"id":345,"uris":["http://zotero.org/users/5106621/items/3XHMIRJS"],"itemData":{"id":345,"type":"article","abstract":"Abstract\n          Electronic health records contain years of longitudinal clinical notes rich in evolving patient information, yet their volume, redundancy, and fragmentation limit clinical usability and scalable modeling. We present CLIN-SUMM (Clinical Longitudinal Insight from Notes using Summarization), a framework that restructures summarization as a longitudinal representation problem. Rather than collapsing histories into static summaries, CLIN-SUMM incrementally constructs structured, categorized, date-partitioned patient representations, summarizing only newly documented information at each encounter while preserving temporal fidelity without access to future data. This standardized representation can be computed once and reused across downstream tasks, thereby decoupling narrative processing from prediction. Across 12,356 Massachusetts General Hospital patients, CLIN-SUMM achieved 70% token reduction while maintaining high clinician-rated correctness and completeness. Using dementia as a case study, fine-tuning Clinical ModernBERT on CLIN-SUMM summaries yielded AUROC 0.86 for diagnosis and 0.81 for 3-year risk prediction, with longitudinal analyses demonstrating progressive risk separation years before a formal diagnosis. CLIN-SUMM summaries also enabled efficient extraction of longitudinal medication trajectories, improving medication capture compared to structured EHR data while maintaining high dosage agreement. CLIN-SUMM provides a scalable representation layer for clinical review and longitudinal machine learning, enhancing disease modeling, risk prediction, and other longitudinal reasoning tasks.","DOI":"10.64898/2025.11.28.25341233","language":"en","license":"https://www.medrxiv.org/about/FAQ#license","publisher":"Health Informatics","source":"DOI.org (Crossref)","title":"CLIN-SUMM: Incremental Longitudinal Summarization of Clinical Notes Enables Scalable Representation and Early Disease Prediction","title-short":"CLIN-SUMM","URL":"http://medrxiv.org/lookup/doi/10.64898/2025.11.28.25341233","author":[{"family":"D’Souza","given":"Valentina"},{"family":"Pace","given":"Danielle F."},{"family":"Azhir","given":"Alaleh"},{"family":"Nargesi","given":"Arash"},{"family":"Holbrook","given":"Erik B."},{"family":"He","given":"Wei"},{"family":"Naumann","given":"Tristan"},{"family":"Friedman","given":"Samuel"},{"family":"Atlas","given":"Steven J."},{"family":"Anderson","given":"Christopher D."},{"family":"Hung","given":"Judy"},{"family":"Maddah","given":"Mahnaz"}],"accessed":{"date-parts":[["2026",6,9]]},"issued":{"date-parts":[["2025",12,2]]}}}],"schema":"https://github.com/citation-style-language/schema/raw/master/csl-citation.json"} </w:instrText>
      </w:r>
      <w:r>
        <w:fldChar w:fldCharType="separate"/>
      </w:r>
      <w:r w:rsidR="003A7980" w:rsidRPr="003A7980">
        <w:rPr>
          <w:rFonts w:ascii="Aptos" w:hAnsi="Aptos"/>
        </w:rPr>
        <w:t>(4)</w:t>
      </w:r>
      <w:r>
        <w:fldChar w:fldCharType="end"/>
      </w:r>
      <w:r w:rsidRPr="006C6FBA">
        <w:t>), annotator consensus (Pyramid</w:t>
      </w:r>
      <w:r w:rsidR="00A94A01">
        <w:t>, non-clinical</w:t>
      </w:r>
      <w:r>
        <w:t xml:space="preserve">; </w:t>
      </w:r>
      <w:r>
        <w:fldChar w:fldCharType="begin"/>
      </w:r>
      <w:r w:rsidR="003A7980">
        <w:instrText xml:space="preserve"> ADDIN ZOTERO_ITEM CSL_CITATION {"citationID":"jPEG6IZF","properties":{"unsorted":false,"formattedCitation":"(5)","plainCitation":"(5)","noteIndex":0},"citationItems":[{"id":394,"uris":["http://zotero.org/users/5106621/items/PW4543GQ"],"itemData":{"id":394,"type":"article-journal","container-title":"ACL Anthology","title":"Evaluating Content Selection in Summarization: The Pyramid Method","URL":"https://aclanthology.org/N04-1019/","author":[{"family":"Nenkova","given":""}],"accessed":{"date-parts":[["2026",8,28]]},"issued":{"date-parts":[["2004"]]}}}],"schema":"https://github.com/citation-style-language/schema/raw/master/csl-citation.json"} </w:instrText>
      </w:r>
      <w:r>
        <w:fldChar w:fldCharType="separate"/>
      </w:r>
      <w:r w:rsidR="003A7980" w:rsidRPr="003A7980">
        <w:rPr>
          <w:rFonts w:ascii="Aptos" w:hAnsi="Aptos"/>
        </w:rPr>
        <w:t>(5)</w:t>
      </w:r>
      <w:r>
        <w:fldChar w:fldCharType="end"/>
      </w:r>
      <w:r w:rsidRPr="006C6FBA">
        <w:t>), harm severity (NOHARM</w:t>
      </w:r>
      <w:r w:rsidR="001725FB">
        <w:t xml:space="preserve">; </w:t>
      </w:r>
      <w:r w:rsidR="001725FB">
        <w:fldChar w:fldCharType="begin"/>
      </w:r>
      <w:r w:rsidR="003A7980">
        <w:instrText xml:space="preserve"> ADDIN ZOTERO_ITEM CSL_CITATION {"citationID":"1R56yrM9","properties":{"unsorted":false,"formattedCitation":"(6)","plainCitation":"(6)","noteIndex":0},"citationItems":[{"id":378,"uris":["http://zotero.org/users/5106621/items/8YGMPNC6"],"itemData":{"id":378,"type":"article","abstract":"Large language models (LLMs) and medical AI tools are routinely used by physicians and patients for medical advice, yet their clinical safety profiles remain poorly characterized. We present NOHARM (Numerous Options Harm Assessment for Risk in Medicine), a 1,100-task benchmark of primary care-to-specialist consultation cases to measure the frequency and severity of potentially harmful errors from LLM-generated medical consultation recommendations. NOHARM covers 10 specialties, with 12,747 expert annotations for 4,249 clinical management options. Across 20 notable LLMs and 4 widely used retrieval-augmented generation (RAG) clinical AI tools, direct application of recommendations carried potential for severe harm in up to 24.6% of cases, with errors of omission accounting for more than 80% of severe errors. Harm potential was not uniform across systems, with clinical AI tools outperforming generalist LLMs, and multi-agent AI teaming further improving performance in generalist models. In a randomized study of 101 U.S.-licensed generalist physicians, AI assistance improved physician performance compared to conventional resources. However, AI-assisted physicians frequently omitted valuable AI-generated recommendations and still scored lower than many AI systems alone. Had those recommendations been incorporated, combined human-AI responses would have outperformed both the human and AI system as used, suggesting complementary strengths and unrealized potential in human-AI teaming. Collectively, these results show that despite strong performance on medical knowledge benchmarks, widely used AI tools can produce medical consultation advice with the potential for severe harm, and highlight the need for explicit measurement of clinical safety. The benchmark and leaderboard are publicly available to support ongoing evaluation and improvement of AI systems used for clinical care.","DOI":"10.48550/arXiv.2512.01241","note":"arXiv:2512.01241 [cs.CY]","number":"arXiv:2512.01241","publisher":"arXiv","source":"arXiv.org","title":"First, do NOHARM: a medical safety benchmark and randomized study of physician and AI teaming on clinical consultations","title-short":"First, do NOHARM","URL":"http://arxiv.org/abs/2512.01241","author":[{"family":"Wu","given":"David"},{"family":"Haredasht","given":"Fateme Nateghi"},{"family":"Maharaj","given":"Saloni Kumar"},{"family":"Jain","given":"Priyank"},{"family":"Tran","given":"Jessica"},{"family":"Gwiazdon","given":"Matthew"},{"family":"Rustagi","given":"Arjun"},{"family":"Jindal","given":"Jenelle"},{"family":"Koshy","given":"Jacob M."},{"family":"Kadiyala","given":"Vinay"},{"family":"Agarwal","given":"Anup"},{"family":"Tappuni","given":"Bassman"},{"family":"French","given":"Brianna"},{"family":"Jesudasen","given":"Sirus"},{"family":"Cosgriff","given":"Christopher V."},{"family":"Chakraborty","given":"Rebanta"},{"family":"Caldwell","given":"Jillian"},{"family":"Ziolkowski","given":"Susan"},{"family":"Iberri","given":"David J."},{"family":"Diep","given":"Robert"},{"family":"Dalal","given":"Rahul S."},{"family":"Newman","given":"Kira L."},{"family":"Galetta","given":"Kristin"},{"family":"Pallais","given":"J. Carl"},{"family":"Wei","given":"Nancy"},{"family":"Buchheit","given":"Kathleen M."},{"family":"Hong","given":"David I."},{"family":"Pahalyants","given":"Vartan"},{"family":"Lee","given":"Ernest Y."},{"family":"Shih","given":"Allen"},{"family":"Kaplan","given":"Tamara B."},{"family":"Ravi","given":"Vishnu"},{"family":"Khemani","given":"Sarita"},{"family":"Buckley","given":"Thomas A."},{"family":"Liang","given":"April S."},{"family":"Shirvani","given":"Daniel"},{"family":"Patil","given":"Advait"},{"family":"Marshall","given":"Nicholas"},{"family":"Chopra","given":"Kanav"},{"family":"Koh","given":"Joel"},{"family":"Badhwar","given":"Adi"},{"family":"Perez","given":"Anastasia"},{"family":"Schoeffler","given":"Austin J."},{"family":"Tusty","given":"Mahbuba"},{"family":"Walton","given":"Chase M."},{"family":"McCoy","given":"Liam G."},{"family":"Wu","given":"David J. H."},{"family":"Weng","given":"Yingjie"},{"family":"Ranji","given":"Sumant"},{"family":"Schulman","given":"Kevin"},{"family":"Shah","given":"Nigam H."},{"family":"Hom","given":"Jason"},{"family":"Milstein","given":"Arnold"},{"family":"Manrai","given":"Arjun K."},{"family":"Rodman","given":"Adam"},{"family":"Chen","given":"Jonathan H."},{"family":"Goh","given":"Ethan"}],"accessed":{"date-parts":[["2026",8,16]]},"issued":{"date-parts":[["2026",7,13]]}}}],"schema":"https://github.com/citation-style-language/schema/raw/master/csl-citation.json"} </w:instrText>
      </w:r>
      <w:r w:rsidR="001725FB">
        <w:fldChar w:fldCharType="separate"/>
      </w:r>
      <w:r w:rsidR="003A7980" w:rsidRPr="003A7980">
        <w:rPr>
          <w:rFonts w:ascii="Aptos" w:hAnsi="Aptos"/>
        </w:rPr>
        <w:t>(6)</w:t>
      </w:r>
      <w:r w:rsidR="001725FB">
        <w:fldChar w:fldCharType="end"/>
      </w:r>
      <w:r w:rsidRPr="006C6FBA">
        <w:t>)</w:t>
      </w:r>
      <w:r w:rsidR="003A7980">
        <w:t>, or</w:t>
      </w:r>
      <w:r w:rsidRPr="006C6FBA">
        <w:t xml:space="preserve"> decoder attention (</w:t>
      </w:r>
      <w:proofErr w:type="spellStart"/>
      <w:r w:rsidRPr="006C6FBA">
        <w:t>AgenticSum</w:t>
      </w:r>
      <w:proofErr w:type="spellEnd"/>
      <w:r w:rsidR="001725FB">
        <w:t xml:space="preserve">; </w:t>
      </w:r>
      <w:r w:rsidR="001725FB">
        <w:fldChar w:fldCharType="begin"/>
      </w:r>
      <w:r w:rsidR="003A7980">
        <w:instrText xml:space="preserve"> ADDIN ZOTERO_ITEM CSL_CITATION {"citationID":"YcLHhdRX","properties":{"unsorted":false,"formattedCitation":"(7)","plainCitation":"(7)","noteIndex":0},"citationItems":[{"id":396,"uris":["http://zotero.org/users/5106621/items/TGU2QEWL"],"itemData":{"id":396,"type":"article","abstract":"Large language models (LLMs) offer substantial promise for automating clinical text summarization, yet maintaining factual consistency remains challenging due to the length, noise, and heterogeneity of clinical documentation. We present AgenticSum, an inference-time, agentic framework that separates context selection, generation, verification, and targeted correction to reduce hallucinated content. The framework decomposes summarization into coordinated stages that compress task-relevant context, generate an initial draft, identify weakly supported spans using internal attention grounding signals, and selectively revise flagged content under supervisory control. We evaluate AgenticSum on two public datasets, using reference-based metrics, LLM-as-a-judge assessment, and human evaluation. Across various measures, AgenticSum demonstrates consistent improvements compared to vanilla LLMs and other strong baselines. Our results indicate that structured, agentic design with targeted correction offers an effective inference time solution to improve clinical note summarization using LLMs.","DOI":"10.48550/arXiv.2602.20040","note":"arXiv:2602.20040 [cs.CL]","number":"arXiv:2602.20040","publisher":"arXiv","source":"arXiv.org","title":"AgenticSum: An Agentic Inference-Time Framework for Faithful Clinical Text Summarization","title-short":"AgenticSum","URL":"http://arxiv.org/abs/2602.20040","author":[{"family":"Piya","given":"Fahmida Liza"},{"family":"Beheshti","given":"Rahmatollah"}],"accessed":{"date-parts":[["2026",8,28]]},"issued":{"date-parts":[["2026",2,23]]}}}],"schema":"https://github.com/citation-style-language/schema/raw/master/csl-citation.json"} </w:instrText>
      </w:r>
      <w:r w:rsidR="001725FB">
        <w:fldChar w:fldCharType="separate"/>
      </w:r>
      <w:r w:rsidR="003A7980" w:rsidRPr="003A7980">
        <w:rPr>
          <w:rFonts w:ascii="Aptos" w:hAnsi="Aptos"/>
        </w:rPr>
        <w:t>(7)</w:t>
      </w:r>
      <w:r w:rsidR="001725FB">
        <w:fldChar w:fldCharType="end"/>
      </w:r>
      <w:r w:rsidRPr="006C6FBA">
        <w:t xml:space="preserve">). </w:t>
      </w:r>
      <w:r w:rsidR="00CD03A6">
        <w:t xml:space="preserve">HARVEST’s authors reported objections from clinicians that salience weights derived from note frequency carry no a priori clinical importance </w:t>
      </w:r>
      <w:r w:rsidR="00CD03A6">
        <w:fldChar w:fldCharType="begin"/>
      </w:r>
      <w:r w:rsidR="00CD03A6">
        <w:instrText xml:space="preserve"> ADDIN ZOTERO_ITEM CSL_CITATION {"citationID":"OsfJ8tDi","properties":{"unsorted":false,"formattedCitation":"(3)","plainCitation":"(3)","noteIndex":0},"citationItems":[{"id":391,"uris":["http://zotero.org/users/5106621/items/JSVKGX7Y"],"itemData":{"id":391,"type":"article-journal","abstract":"Abstract\n            Objective To describe HARVEST, a novel point-of-care patient summarization and visualization tool, and to conduct a formative evaluation study to assess its effectiveness and gather feedback for iterative improvements.\n            Materials and methods HARVEST is a problem-based, interactive, temporal visualization of longitudinal patient records. Using scalable, distributed natural language processing and problem salience computation, the system extracts content from the patient notes and aggregates and presents information from multiple care settings. Clinical usability was assessed with physician participants using a timed, task-based chart review and questionnaire, with performance differences recorded between conditions (standard data review system and HARVEST).\n            Results HARVEST displays patient information longitudinally using a timeline, a problem cloud as extracted from notes, and focused access to clinical documentation. Despite lack of familiarity with HARVEST, when using a task-based evaluation, performance and time-to-task completion was maintained in patient review scenarios using HARVEST alone or the standard clinical information system at our institution. Subjects reported very high satisfaction with HARVEST and interest in using the system in their daily practice.\n            Discussion HARVEST is available for wide deployment at our institution. Evaluation provided informative feedback and directions for future improvements.\n            Conclusions HARVEST was designed to address the unmet need for clinicians at the point of care, facilitating review of essential patient information. The deployment of HARVEST in our institution allows us to study patient record summarization as an informatics intervention in a real-world setting. It also provides an opportunity to learn how clinicians use the summarizer, enabling informed interface and content iteration and optimization to improve patient care.","container-title":"Journal of the American Medical Informatics Association","DOI":"10.1136/amiajnl-2014-002945","ISSN":"1527-974X, 1067-5027","issue":"2","language":"en","license":"http://creativecommons.org/licenses/by-nc/4.0","page":"263-274","source":"DOI.org (Crossref)","title":"HARVEST, a longitudinal patient record summarizer","volume":"22","author":[{"family":"Hirsch","given":"Jamie S"},{"family":"Tanenbaum","given":"Jessica S"},{"family":"Lipsky Gorman","given":"Sharon"},{"family":"Liu","given":"Connie"},{"family":"Schmitz","given":"Eric"},{"family":"Hashorva","given":"Dritan"},{"family":"Ervits","given":"Artem"},{"family":"Vawdrey","given":"David"},{"family":"Sturm","given":"Marc"},{"family":"Elhadad","given":"Noémie"}],"issued":{"date-parts":[["2015",3,1]]}}}],"schema":"https://github.com/citation-style-language/schema/raw/master/csl-citation.json"} </w:instrText>
      </w:r>
      <w:r w:rsidR="00CD03A6">
        <w:fldChar w:fldCharType="separate"/>
      </w:r>
      <w:r w:rsidR="00CD03A6" w:rsidRPr="00CD03A6">
        <w:rPr>
          <w:rFonts w:ascii="Aptos" w:hAnsi="Aptos"/>
        </w:rPr>
        <w:t>(3)</w:t>
      </w:r>
      <w:r w:rsidR="00CD03A6">
        <w:fldChar w:fldCharType="end"/>
      </w:r>
      <w:r w:rsidR="00CD03A6">
        <w:t xml:space="preserve">; Pivovarov </w:t>
      </w:r>
      <w:r w:rsidR="00CD03A6">
        <w:fldChar w:fldCharType="begin"/>
      </w:r>
      <w:r w:rsidR="00CD03A6">
        <w:instrText xml:space="preserve"> ADDIN ZOTERO_ITEM CSL_CITATION {"citationID":"2sG3dGEE","properties":{"unsorted":false,"formattedCitation":"(1)","plainCitation":"(1)","noteIndex":0},"citationItems":[{"id":374,"uris":["http://zotero.org/users/5106621/items/734736Z6"],"itemData":{"id":374,"type":"article-journal","abstract":"Abstract\n            Objectives This review examines work on automated summarization of electronic health record (EHR) data and in particular, individual patient record summarization. We organize the published research and highlight methodological challenges in the area of EHR summarization implementation.\n            Target audience The target audience for this review includes researchers, designers, and informaticians who are concerned about the problem of information overload in the clinical setting as well as both users and developers of clinical summarization systems.\n            Scope Automated summarization has been a long-studied subject in the fields of natural language processing and human–computer interaction, but the translation of summarization and visualization methods to the complexity of the clinical workflow is slow moving. We assess work in aggregating and visualizing patient information with a particular focus on methods for detecting and removing redundancy, describing temporality, determining salience, accounting for missing data, and taking advantage of encoded clinical knowledge. We identify and discuss open challenges critical to the implementation and use of robust EHR summarization systems.","container-title":"Journal of the American Medical Informatics Association","DOI":"10.1093/jamia/ocv032","ISSN":"1527-974X, 1067-5027","issue":"5","language":"en","license":"http://creativecommons.org/licenses/by-nc/4.0/","page":"938-947","source":"DOI.org (Crossref)","title":"Automated methods for the summarization of electronic health records","volume":"22","author":[{"family":"Pivovarov","given":"Rimma"},{"family":"Elhadad","given":"Noémie"}],"issued":{"date-parts":[["2015",9,1]]}}}],"schema":"https://github.com/citation-style-language/schema/raw/master/csl-citation.json"} </w:instrText>
      </w:r>
      <w:r w:rsidR="00CD03A6">
        <w:fldChar w:fldCharType="separate"/>
      </w:r>
      <w:r w:rsidR="00CD03A6" w:rsidRPr="00CD03A6">
        <w:rPr>
          <w:rFonts w:ascii="Aptos" w:hAnsi="Aptos"/>
        </w:rPr>
        <w:t>(1)</w:t>
      </w:r>
      <w:r w:rsidR="00CD03A6">
        <w:fldChar w:fldCharType="end"/>
      </w:r>
      <w:r w:rsidR="00CD03A6">
        <w:t xml:space="preserve"> in their 2015 review found that knowledge-based rules are underexploited, and that defining salience operatively for automated summarization remained open.</w:t>
      </w:r>
    </w:p>
    <w:p w14:paraId="5C5582D2" w14:textId="77777777" w:rsidR="00CD03A6" w:rsidRDefault="00346C30" w:rsidP="00D66CA6">
      <w:r>
        <w:t>Other p</w:t>
      </w:r>
      <w:r w:rsidR="00D66CA6" w:rsidRPr="00D66CA6">
        <w:t>rior work described class-based persistence (US A</w:t>
      </w:r>
      <w:r w:rsidR="00D66CA6">
        <w:t xml:space="preserve">gency for Healthcare Research and Quality (AHRQ)’s </w:t>
      </w:r>
      <w:r w:rsidR="00D66CA6" w:rsidRPr="00D66CA6">
        <w:t>C</w:t>
      </w:r>
      <w:r w:rsidR="00D66CA6">
        <w:t>hronic Condition Indicator Refined (C</w:t>
      </w:r>
      <w:r w:rsidR="00D66CA6" w:rsidRPr="00D66CA6">
        <w:t>CIR</w:t>
      </w:r>
      <w:r w:rsidR="00D66CA6">
        <w:t xml:space="preserve">) extension of ICD-10-CM </w:t>
      </w:r>
      <w:r w:rsidR="00D66CA6">
        <w:fldChar w:fldCharType="begin"/>
      </w:r>
      <w:r w:rsidR="003A7980">
        <w:instrText xml:space="preserve"> ADDIN ZOTERO_ITEM CSL_CITATION {"citationID":"FxXonRu7","properties":{"unsorted":false,"formattedCitation":"(8)","plainCitation":"(8)","noteIndex":0},"citationItems":[{"id":387,"uris":["http://zotero.org/users/5106621/items/8ZM62UHS"],"itemData":{"id":387,"type":"standard","title":"AHRQ CCIR","URL":"https://hcup-us.ahrq.gov/toolssoftware/chronic_icd10/chronic_icd10.jsp","accessed":{"date-parts":[["2026",8,25]]}}}],"schema":"https://github.com/citation-style-language/schema/raw/master/csl-citation.json"} </w:instrText>
      </w:r>
      <w:r w:rsidR="00D66CA6">
        <w:fldChar w:fldCharType="separate"/>
      </w:r>
      <w:r w:rsidR="003A7980" w:rsidRPr="003A7980">
        <w:rPr>
          <w:rFonts w:ascii="Aptos" w:hAnsi="Aptos"/>
        </w:rPr>
        <w:t>(8)</w:t>
      </w:r>
      <w:r w:rsidR="00D66CA6">
        <w:fldChar w:fldCharType="end"/>
      </w:r>
      <w:r w:rsidR="00D66CA6" w:rsidRPr="00D66CA6">
        <w:t>, Johns Hopkins</w:t>
      </w:r>
      <w:r w:rsidR="00D66CA6">
        <w:t>’</w:t>
      </w:r>
      <w:r w:rsidR="00D66CA6" w:rsidRPr="00D66CA6">
        <w:t xml:space="preserve"> </w:t>
      </w:r>
      <w:r w:rsidR="00D66CA6">
        <w:t xml:space="preserve">Adjusted Clinical Group (ACG)’s </w:t>
      </w:r>
      <w:r w:rsidR="00D66CA6" w:rsidRPr="00D66CA6">
        <w:t>E</w:t>
      </w:r>
      <w:r w:rsidR="00D66CA6">
        <w:t>xpanded Diagnosis Clusters (E</w:t>
      </w:r>
      <w:r w:rsidR="00D66CA6" w:rsidRPr="00D66CA6">
        <w:t>DCs</w:t>
      </w:r>
      <w:r w:rsidR="00D66CA6">
        <w:t xml:space="preserve">), </w:t>
      </w:r>
      <w:r w:rsidR="00D66CA6">
        <w:fldChar w:fldCharType="begin"/>
      </w:r>
      <w:r w:rsidR="003A7980">
        <w:instrText xml:space="preserve"> ADDIN ZOTERO_ITEM CSL_CITATION {"citationID":"lIUm4h5f","properties":{"unsorted":false,"formattedCitation":"(9)","plainCitation":"(9)","noteIndex":0},"citationItems":[{"id":389,"uris":["http://zotero.org/users/5106621/items/7DSK75U8"],"itemData":{"id":389,"type":"patent","number":"US 8,571,892 B2","title":"Method of Grouping and Analyzing Clinical Risks","URL":"https://image-ppubs.uspto.gov/dirsearch-public/print/downloadPdf/8571892","accessed":{"date-parts":[["2026",8,26]]},"submitted":{"date-parts":[["2013",10,29]]}}}],"schema":"https://github.com/citation-style-language/schema/raw/master/csl-citation.json"} </w:instrText>
      </w:r>
      <w:r w:rsidR="00D66CA6">
        <w:fldChar w:fldCharType="separate"/>
      </w:r>
      <w:r w:rsidR="003A7980" w:rsidRPr="003A7980">
        <w:rPr>
          <w:rFonts w:ascii="Aptos" w:hAnsi="Aptos"/>
        </w:rPr>
        <w:t>(9)</w:t>
      </w:r>
      <w:r w:rsidR="00D66CA6">
        <w:fldChar w:fldCharType="end"/>
      </w:r>
      <w:r w:rsidR="00D66CA6" w:rsidRPr="00D66CA6">
        <w:t>), lifecycle and certainty (F</w:t>
      </w:r>
      <w:r w:rsidR="00D66CA6">
        <w:t>ast Healthcare Interoperability Resources (F</w:t>
      </w:r>
      <w:r w:rsidR="00D66CA6" w:rsidRPr="00D66CA6">
        <w:t>HIR)</w:t>
      </w:r>
      <w:r w:rsidR="001405EF">
        <w:t xml:space="preserve"> </w:t>
      </w:r>
      <w:r w:rsidR="001405EF">
        <w:fldChar w:fldCharType="begin"/>
      </w:r>
      <w:r w:rsidR="003A7980">
        <w:instrText xml:space="preserve"> ADDIN ZOTERO_ITEM CSL_CITATION {"citationID":"uUEbteO7","properties":{"unsorted":false,"formattedCitation":"(10)","plainCitation":"(10)","noteIndex":0},"citationItems":[{"id":383,"uris":["http://zotero.org/users/5106621/items/W5ZHNFCX"],"itemData":{"id":383,"type":"standard","authority":"HL7","title":"FHIR Release 5","URL":"https://hl7.org/fhir/condition.html","accessed":{"date-parts":[["2026",8,25]]}}}],"schema":"https://github.com/citation-style-language/schema/raw/master/csl-citation.json"} </w:instrText>
      </w:r>
      <w:r w:rsidR="001405EF">
        <w:fldChar w:fldCharType="separate"/>
      </w:r>
      <w:r w:rsidR="003A7980" w:rsidRPr="003A7980">
        <w:rPr>
          <w:rFonts w:ascii="Aptos" w:hAnsi="Aptos"/>
        </w:rPr>
        <w:t>(10)</w:t>
      </w:r>
      <w:r w:rsidR="001405EF">
        <w:fldChar w:fldCharType="end"/>
      </w:r>
      <w:r w:rsidR="00D66CA6" w:rsidRPr="00D66CA6">
        <w:t>, content retention priority (ISO 27269</w:t>
      </w:r>
      <w:r w:rsidR="001405EF">
        <w:t xml:space="preserve">, </w:t>
      </w:r>
      <w:r w:rsidR="001405EF">
        <w:fldChar w:fldCharType="begin"/>
      </w:r>
      <w:r w:rsidR="003A7980">
        <w:instrText xml:space="preserve"> ADDIN ZOTERO_ITEM CSL_CITATION {"citationID":"H4CxEgfM","properties":{"unsorted":false,"formattedCitation":"(11)","plainCitation":"(11)","noteIndex":0},"citationItems":[{"id":402,"uris":["http://zotero.org/users/5106621/items/KTCL8KUU"],"itemData":{"id":402,"type":"standard","authority":"ISO","title":"ISO 27269 IPS","URL":"https://www.iso.org/standard/84639.html","accessed":{"date-parts":[["2026",8,28]]}}}],"schema":"https://github.com/citation-style-language/schema/raw/master/csl-citation.json"} </w:instrText>
      </w:r>
      <w:r w:rsidR="001405EF">
        <w:fldChar w:fldCharType="separate"/>
      </w:r>
      <w:r w:rsidR="003A7980" w:rsidRPr="003A7980">
        <w:rPr>
          <w:rFonts w:ascii="Aptos" w:hAnsi="Aptos"/>
        </w:rPr>
        <w:t>(11)</w:t>
      </w:r>
      <w:r w:rsidR="001405EF">
        <w:fldChar w:fldCharType="end"/>
      </w:r>
      <w:r w:rsidR="00D66CA6" w:rsidRPr="00D66CA6">
        <w:t xml:space="preserve">). </w:t>
      </w:r>
    </w:p>
    <w:p w14:paraId="23E10758" w14:textId="0E9575A1" w:rsidR="001109A5" w:rsidRDefault="00FF0EA3" w:rsidP="001109A5">
      <w:r>
        <w:t xml:space="preserve">Retention salience </w:t>
      </w:r>
      <w:r w:rsidR="001109A5">
        <w:t>is a</w:t>
      </w:r>
      <w:r w:rsidR="00DC77BF">
        <w:t xml:space="preserve"> per-concept</w:t>
      </w:r>
      <w:r w:rsidR="001109A5">
        <w:t xml:space="preserve"> property </w:t>
      </w:r>
      <w:r w:rsidR="00DC77BF">
        <w:t xml:space="preserve">that </w:t>
      </w:r>
      <w:r w:rsidR="00451E08">
        <w:t xml:space="preserve">is </w:t>
      </w:r>
      <w:r w:rsidR="001109A5">
        <w:t>retained across admissions</w:t>
      </w:r>
      <w:r w:rsidR="00451E08">
        <w:t xml:space="preserve">, </w:t>
      </w:r>
      <w:r w:rsidR="00CF7471">
        <w:t xml:space="preserve">and </w:t>
      </w:r>
      <w:r w:rsidR="00451E08">
        <w:t>which</w:t>
      </w:r>
      <w:r w:rsidR="001109A5">
        <w:t xml:space="preserve"> may or may not decrease over time. </w:t>
      </w:r>
      <w:r w:rsidR="00346C30">
        <w:t>Salience over time decreases through two mechanisms</w:t>
      </w:r>
      <w:r w:rsidR="00737100">
        <w:t xml:space="preserve">, which we describe as </w:t>
      </w:r>
      <w:r w:rsidR="00A94A01">
        <w:t>‘</w:t>
      </w:r>
      <w:r w:rsidR="00737100">
        <w:t>decay</w:t>
      </w:r>
      <w:r w:rsidR="00A94A01">
        <w:t>’</w:t>
      </w:r>
      <w:r w:rsidR="00737100">
        <w:t xml:space="preserve"> and </w:t>
      </w:r>
      <w:r w:rsidR="00A94A01">
        <w:t>‘</w:t>
      </w:r>
      <w:r w:rsidR="00737100">
        <w:t>absorption</w:t>
      </w:r>
      <w:r w:rsidR="00A94A01">
        <w:t>’</w:t>
      </w:r>
      <w:r w:rsidR="00737100">
        <w:t>. In decay, a concept loses value as it recedes temporally, such as childhood asthma that a patient has outgrown. In absorption, a concept loses marginal value because it is ‘absorbed’ into a retained parent, such as prior acute exacerbations of chronic lung disease.</w:t>
      </w:r>
    </w:p>
    <w:p w14:paraId="22215439" w14:textId="103D3C7A" w:rsidR="00451E08" w:rsidRDefault="00451E08" w:rsidP="001109A5">
      <w:r>
        <w:t>As illustrative examples</w:t>
      </w:r>
      <w:r w:rsidR="000C1047">
        <w:t xml:space="preserve"> of what facts retain salience over a patient’s longitudinal record</w:t>
      </w:r>
      <w:r>
        <w:t>,</w:t>
      </w:r>
      <w:r w:rsidR="00FF0EA3">
        <w:t xml:space="preserve"> (1)</w:t>
      </w:r>
      <w:r>
        <w:t xml:space="preserve"> a penicillin allergy is salient across a patient’s entire lifespan,</w:t>
      </w:r>
      <w:r w:rsidR="00FF0EA3">
        <w:t xml:space="preserve"> </w:t>
      </w:r>
      <w:r w:rsidR="000C1047">
        <w:t>even if the patient has undergone desensitization - it is never dropped</w:t>
      </w:r>
      <w:r w:rsidR="00737100">
        <w:t>;</w:t>
      </w:r>
      <w:r w:rsidR="000C1047">
        <w:t xml:space="preserve"> </w:t>
      </w:r>
      <w:r w:rsidR="00FF0EA3">
        <w:t>(2)</w:t>
      </w:r>
      <w:r>
        <w:t xml:space="preserve"> the total number of acute exacerbations of chronic obstructive pulmonary disease (COPD) is</w:t>
      </w:r>
      <w:r w:rsidR="004B78B2">
        <w:t xml:space="preserve"> a</w:t>
      </w:r>
      <w:r>
        <w:t xml:space="preserve"> more salient </w:t>
      </w:r>
      <w:r w:rsidR="004B78B2">
        <w:t xml:space="preserve">fact </w:t>
      </w:r>
      <w:r>
        <w:t xml:space="preserve">than each single exacerbation </w:t>
      </w:r>
      <w:r>
        <w:lastRenderedPageBreak/>
        <w:t>occurrence</w:t>
      </w:r>
      <w:r w:rsidR="00737100">
        <w:t xml:space="preserve"> over a period of years</w:t>
      </w:r>
      <w:r w:rsidR="00A94A01">
        <w:t xml:space="preserve"> (absorption)</w:t>
      </w:r>
      <w:r>
        <w:t xml:space="preserve">, and </w:t>
      </w:r>
      <w:r w:rsidR="00FF0EA3">
        <w:t xml:space="preserve">(3) </w:t>
      </w:r>
      <w:r>
        <w:t xml:space="preserve">a </w:t>
      </w:r>
      <w:r w:rsidR="00A94A01">
        <w:t>resolved cellulitis</w:t>
      </w:r>
      <w:r>
        <w:t xml:space="preserve"> decreases in salience as time passes</w:t>
      </w:r>
      <w:r w:rsidR="00A94A01">
        <w:t xml:space="preserve"> (decay)</w:t>
      </w:r>
      <w:r>
        <w:t>.</w:t>
      </w:r>
    </w:p>
    <w:p w14:paraId="6735A41B" w14:textId="77777777" w:rsidR="00E20A83" w:rsidRDefault="00E20A83" w:rsidP="001109A5"/>
    <w:p w14:paraId="101BEB82" w14:textId="200D4487" w:rsidR="00453F70" w:rsidRDefault="00E20A83">
      <w:r>
        <w:rPr>
          <w:i/>
          <w:iCs/>
        </w:rPr>
        <w:t xml:space="preserve">Properties of </w:t>
      </w:r>
      <w:r w:rsidR="00C60077">
        <w:rPr>
          <w:i/>
          <w:iCs/>
        </w:rPr>
        <w:t>R</w:t>
      </w:r>
      <w:r>
        <w:rPr>
          <w:i/>
          <w:iCs/>
        </w:rPr>
        <w:t xml:space="preserve">etention </w:t>
      </w:r>
      <w:r w:rsidR="00C60077">
        <w:rPr>
          <w:i/>
          <w:iCs/>
        </w:rPr>
        <w:t>S</w:t>
      </w:r>
      <w:r>
        <w:rPr>
          <w:i/>
          <w:iCs/>
        </w:rPr>
        <w:t>alience</w:t>
      </w:r>
    </w:p>
    <w:p w14:paraId="177670B9" w14:textId="1BC6E828" w:rsidR="00E20A83" w:rsidRDefault="00E20A83">
      <w:r>
        <w:t>Somewhat surprisingly, retention salience has no relationship to acuity. How sick a patient was during an admission may not have any bearing on what a future clinician needs to know about it. Documented negatives carry retention salience – a recorded ‘Penicillin allergy disproven on challenge’ carries as much forward value as a proven allergy. We also found that what is meant by ‘negative’ carries three different meanings (‘not present</w:t>
      </w:r>
      <w:proofErr w:type="gramStart"/>
      <w:r>
        <w:t>’,  ‘</w:t>
      </w:r>
      <w:proofErr w:type="gramEnd"/>
      <w:r>
        <w:t xml:space="preserve">resolved, but still relevant’, ‘a surveillance finding’), so we have </w:t>
      </w:r>
      <w:r w:rsidR="00C60077">
        <w:t>implemented</w:t>
      </w:r>
      <w:r>
        <w:t xml:space="preserve"> these meanings distinctly in CLIN-LONGSUM. </w:t>
      </w:r>
      <w:r w:rsidR="00E16860">
        <w:t>Since salience is task-specific, different physicians (</w:t>
      </w:r>
      <w:proofErr w:type="spellStart"/>
      <w:r w:rsidR="00E16860">
        <w:t>eg</w:t>
      </w:r>
      <w:proofErr w:type="spellEnd"/>
      <w:r w:rsidR="00E16860">
        <w:t xml:space="preserve"> a surgeon, an emergency physician, or a neurologist) might weigh the same fact differently. We believe CLIN-LONGSUM can serve a wide audience, although that remains to be discovered. </w:t>
      </w:r>
    </w:p>
    <w:p w14:paraId="5F1D3A60" w14:textId="77777777" w:rsidR="00E20A83" w:rsidRPr="00E20A83" w:rsidRDefault="00E20A83"/>
    <w:p w14:paraId="22DCE3F8" w14:textId="5DCE63BE" w:rsidR="00D60F91" w:rsidRPr="00D60F91" w:rsidRDefault="00D60F91">
      <w:pPr>
        <w:rPr>
          <w:i/>
          <w:iCs/>
        </w:rPr>
      </w:pPr>
      <w:r>
        <w:rPr>
          <w:i/>
          <w:iCs/>
        </w:rPr>
        <w:t>Operationalization</w:t>
      </w:r>
      <w:r w:rsidR="00C25CF4">
        <w:rPr>
          <w:i/>
          <w:iCs/>
        </w:rPr>
        <w:t>: A Retention Salience Taxonomy</w:t>
      </w:r>
    </w:p>
    <w:p w14:paraId="64724F16" w14:textId="77777777" w:rsidR="00CD03A6" w:rsidRPr="00CD03A6" w:rsidRDefault="00CD03A6" w:rsidP="00CD03A6">
      <w:r>
        <w:t xml:space="preserve">We found no published taxonomy that </w:t>
      </w:r>
      <w:r w:rsidRPr="00BF787D">
        <w:rPr>
          <w:b/>
          <w:bCs/>
        </w:rPr>
        <w:t>composes</w:t>
      </w:r>
      <w:r w:rsidRPr="00D66CA6">
        <w:rPr>
          <w:b/>
          <w:bCs/>
        </w:rPr>
        <w:t xml:space="preserve"> a persistence tier, a retention class, a lifecycle state and a certainty state into a single derived membership rule that decides what survives into a generated longitudinal summary</w:t>
      </w:r>
      <w:r>
        <w:rPr>
          <w:b/>
          <w:bCs/>
        </w:rPr>
        <w:t xml:space="preserve">. </w:t>
      </w:r>
      <w:r>
        <w:t xml:space="preserve">We believe this is our contribution to summarization. </w:t>
      </w:r>
    </w:p>
    <w:p w14:paraId="510ED9BA" w14:textId="7487ABBF" w:rsidR="004E36CA" w:rsidRDefault="00BF787D">
      <w:r>
        <w:t>In CLIN-LONGSUM w</w:t>
      </w:r>
      <w:r w:rsidR="001109A5">
        <w:t xml:space="preserve">e </w:t>
      </w:r>
      <w:r>
        <w:t xml:space="preserve">model retention salience as </w:t>
      </w:r>
      <w:r w:rsidR="001109A5">
        <w:t xml:space="preserve">a </w:t>
      </w:r>
      <w:r w:rsidR="000C1047">
        <w:t>retention</w:t>
      </w:r>
      <w:r>
        <w:t xml:space="preserve">-oriented </w:t>
      </w:r>
      <w:r w:rsidRPr="00BF787D">
        <w:rPr>
          <w:b/>
          <w:bCs/>
        </w:rPr>
        <w:t>class-based</w:t>
      </w:r>
      <w:r>
        <w:t xml:space="preserve"> </w:t>
      </w:r>
      <w:r w:rsidR="000C1047">
        <w:t xml:space="preserve">salience </w:t>
      </w:r>
      <w:r w:rsidR="001109A5">
        <w:t>taxonomy</w:t>
      </w:r>
      <w:r>
        <w:t xml:space="preserve">. </w:t>
      </w:r>
      <w:r w:rsidRPr="006C6FBA">
        <w:t xml:space="preserve">The taxonomy assigns the </w:t>
      </w:r>
      <w:r w:rsidRPr="006C6FBA">
        <w:rPr>
          <w:i/>
          <w:iCs/>
        </w:rPr>
        <w:t>semantic class</w:t>
      </w:r>
      <w:r w:rsidRPr="006C6FBA">
        <w:t xml:space="preserve"> and </w:t>
      </w:r>
      <w:r w:rsidRPr="006C6FBA">
        <w:rPr>
          <w:i/>
          <w:iCs/>
        </w:rPr>
        <w:t>lifecycle state</w:t>
      </w:r>
      <w:r w:rsidRPr="006C6FBA">
        <w:t xml:space="preserve"> of an extracted clinical concept. In a longitudinal patient record context, this approach mimics the clinical reasoning of an experienced physician: it structures patient history by separating permanent, high-consequence physiological truths from transient events. We structure the taxonomy into five primary semantic tiers (</w:t>
      </w:r>
      <w:r>
        <w:t xml:space="preserve">critical alert, permanent baseline, chronicity, recurrent episodes and transient </w:t>
      </w:r>
      <w:proofErr w:type="gramStart"/>
      <w:r>
        <w:t>events</w:t>
      </w:r>
      <w:r w:rsidRPr="006C6FBA">
        <w:t xml:space="preserve"> </w:t>
      </w:r>
      <w:r>
        <w:t>;</w:t>
      </w:r>
      <w:proofErr w:type="gramEnd"/>
      <w:r>
        <w:t xml:space="preserve"> </w:t>
      </w:r>
      <w:r w:rsidRPr="006C6FBA">
        <w:t>Axis 1), refined by twelve retention classes (</w:t>
      </w:r>
      <w:r>
        <w:t xml:space="preserve">allergies, sentinel events, implanted devices, anatomy-altering surgery, altered immune status etc…; </w:t>
      </w:r>
      <w:r w:rsidRPr="006C6FBA">
        <w:t>Axis 2) and modulated by four modifiers (</w:t>
      </w:r>
      <w:r>
        <w:t xml:space="preserve">certainty, lifecycle, occurrence and negatives; </w:t>
      </w:r>
      <w:r w:rsidRPr="006C6FBA">
        <w:t>Axis 3).</w:t>
      </w:r>
      <w:r>
        <w:t xml:space="preserve"> </w:t>
      </w:r>
      <w:r w:rsidR="00CF7471">
        <w:t xml:space="preserve">The taxonomy is detailed in the reference document `References\clinical_salience_taxonomy.md`.  </w:t>
      </w:r>
    </w:p>
    <w:p w14:paraId="528476FD" w14:textId="77777777" w:rsidR="00BF787D" w:rsidRDefault="00BF787D" w:rsidP="00BF787D">
      <w:r>
        <w:t xml:space="preserve">Based on the taxonomy, extracted facts from discharge summaries are curated for entry by CLIN-LONGSUM into a longitudinal salience ledger of clinical facts, sorted by tier, that is presented alongside prose summaries of discharges. The ledger’s structure and construction </w:t>
      </w:r>
      <w:proofErr w:type="gramStart"/>
      <w:r>
        <w:t>is</w:t>
      </w:r>
      <w:proofErr w:type="gramEnd"/>
      <w:r>
        <w:t xml:space="preserve"> detailed in `References\HOW_TO_READ_THE_LEDGER.md`. </w:t>
      </w:r>
    </w:p>
    <w:p w14:paraId="787F642E" w14:textId="77777777" w:rsidR="00C60077" w:rsidRPr="00E16860" w:rsidRDefault="00C60077" w:rsidP="00C60077">
      <w:r>
        <w:t xml:space="preserve">The ledger </w:t>
      </w:r>
      <w:r w:rsidRPr="00C60077">
        <w:rPr>
          <w:b/>
          <w:bCs/>
        </w:rPr>
        <w:t>pins events from each patient’s earlier admissions that should not be lost</w:t>
      </w:r>
      <w:r>
        <w:t xml:space="preserve">. It is not meant to be a curated problem list. It errs deliberately towards over-retention as a safety measure, so you are likely to encounter duplicative facts – this is intentional. Because Tier 1 and Tier 2 facts never decay, the ledger will grow over a long record. </w:t>
      </w:r>
    </w:p>
    <w:p w14:paraId="5CC67EE8" w14:textId="73773EF7" w:rsidR="004E36CA" w:rsidRDefault="004E36CA">
      <w:r w:rsidRPr="004E36CA">
        <w:t>Salience tiers gate which clinical facts enter the retention ledger, shape how ledger nodes are built and consolidated</w:t>
      </w:r>
      <w:r w:rsidR="00373844">
        <w:t>,</w:t>
      </w:r>
      <w:r>
        <w:t xml:space="preserve"> </w:t>
      </w:r>
      <w:r w:rsidRPr="004E36CA">
        <w:t>and set triage urgency on physician feedback. Prose compaction inherits this filtering and ordering</w:t>
      </w:r>
      <w:r>
        <w:t>.</w:t>
      </w:r>
      <w:r w:rsidR="00E16860">
        <w:t xml:space="preserve"> Tiers and classes are proposed by a language model at extraction. Deterministic rules the</w:t>
      </w:r>
      <w:r w:rsidR="00C60077">
        <w:t>n</w:t>
      </w:r>
      <w:r w:rsidR="00E16860">
        <w:t xml:space="preserve"> correct known failure classes (</w:t>
      </w:r>
      <w:proofErr w:type="spellStart"/>
      <w:r w:rsidR="00E16860">
        <w:t>eg</w:t>
      </w:r>
      <w:proofErr w:type="spellEnd"/>
      <w:r w:rsidR="00E16860">
        <w:t xml:space="preserve"> a malignancy recurrence (mis)tagged as a recurrent episode </w:t>
      </w:r>
      <w:r w:rsidR="00EF3841">
        <w:t>is promoted to a sentinel event</w:t>
      </w:r>
      <w:r w:rsidR="00C60077">
        <w:t>).</w:t>
      </w:r>
      <w:r w:rsidR="00EF3841">
        <w:t xml:space="preserve"> These safety nets run independently of the extractor and are auditable.  </w:t>
      </w:r>
    </w:p>
    <w:p w14:paraId="09173F4B" w14:textId="5FEEADDD" w:rsidR="00EA029A" w:rsidRDefault="00EA029A">
      <w:r>
        <w:t xml:space="preserve">Two of our status modifiers (certainty and lifecycle) share some similarity with FHIR’s </w:t>
      </w:r>
      <w:proofErr w:type="spellStart"/>
      <w:r>
        <w:t>clinicalStatus</w:t>
      </w:r>
      <w:proofErr w:type="spellEnd"/>
      <w:r>
        <w:t xml:space="preserve"> and </w:t>
      </w:r>
      <w:proofErr w:type="spellStart"/>
      <w:r>
        <w:t>verificationStatus</w:t>
      </w:r>
      <w:proofErr w:type="spellEnd"/>
      <w:r>
        <w:t xml:space="preserve"> </w:t>
      </w:r>
      <w:r>
        <w:fldChar w:fldCharType="begin"/>
      </w:r>
      <w:r w:rsidR="003A7980">
        <w:instrText xml:space="preserve"> ADDIN ZOTERO_ITEM CSL_CITATION {"citationID":"iYvHBu9Y","properties":{"unsorted":false,"formattedCitation":"(10)","plainCitation":"(10)","noteIndex":0},"citationItems":[{"id":383,"uris":["http://zotero.org/users/5106621/items/W5ZHNFCX"],"itemData":{"id":383,"type":"standard","authority":"HL7","title":"FHIR Release 5","URL":"https://hl7.org/fhir/condition.html","accessed":{"date-parts":[["2026",8,25]]}}}],"schema":"https://github.com/citation-style-language/schema/raw/master/csl-citation.json"} </w:instrText>
      </w:r>
      <w:r>
        <w:fldChar w:fldCharType="separate"/>
      </w:r>
      <w:r w:rsidR="003A7980" w:rsidRPr="003A7980">
        <w:rPr>
          <w:rFonts w:ascii="Aptos" w:hAnsi="Aptos"/>
        </w:rPr>
        <w:t>(10)</w:t>
      </w:r>
      <w:r>
        <w:fldChar w:fldCharType="end"/>
      </w:r>
      <w:r>
        <w:t xml:space="preserve">; we have thus included in our repository a mapping </w:t>
      </w:r>
      <w:r>
        <w:lastRenderedPageBreak/>
        <w:t>tool (</w:t>
      </w:r>
      <w:r w:rsidR="00B15677">
        <w:t>`</w:t>
      </w:r>
      <w:proofErr w:type="spellStart"/>
      <w:r w:rsidR="00B15677">
        <w:t>src</w:t>
      </w:r>
      <w:proofErr w:type="spellEnd"/>
      <w:r w:rsidR="00B15677">
        <w:t>\</w:t>
      </w:r>
      <w:r w:rsidRPr="00EA029A">
        <w:t>fhir_interop.py</w:t>
      </w:r>
      <w:r w:rsidR="00B15677">
        <w:t>`</w:t>
      </w:r>
      <w:r w:rsidR="004B78B2">
        <w:t xml:space="preserve">; work with your </w:t>
      </w:r>
      <w:r w:rsidR="00B15677">
        <w:t>software engineer</w:t>
      </w:r>
      <w:r>
        <w:t xml:space="preserve">) </w:t>
      </w:r>
      <w:r w:rsidR="004B78B2">
        <w:t xml:space="preserve">if you </w:t>
      </w:r>
      <w:r w:rsidR="00601932">
        <w:t>intend to</w:t>
      </w:r>
      <w:r w:rsidR="004B78B2">
        <w:t xml:space="preserve"> </w:t>
      </w:r>
      <w:r>
        <w:t>adapt the code for use with FHIR.</w:t>
      </w:r>
    </w:p>
    <w:p w14:paraId="0972CB5B" w14:textId="45CF2A33" w:rsidR="00CD03A6" w:rsidRDefault="00E874BF" w:rsidP="00E874BF">
      <w:r w:rsidRPr="00E874BF">
        <w:t xml:space="preserve">During </w:t>
      </w:r>
      <w:r w:rsidR="00373844">
        <w:t>testing</w:t>
      </w:r>
      <w:r w:rsidRPr="00E874BF">
        <w:t xml:space="preserve">, we found </w:t>
      </w:r>
      <w:r>
        <w:t xml:space="preserve">Tier 4 (recurrent episodes) </w:t>
      </w:r>
      <w:r w:rsidRPr="00E874BF">
        <w:t xml:space="preserve">to be thinly populated, and facts extracted into it </w:t>
      </w:r>
      <w:r w:rsidR="00A94A01" w:rsidRPr="00A94A01">
        <w:t>more prone to apparent loss in our instance-level retention metric. On inspection every such case</w:t>
      </w:r>
      <w:r w:rsidR="00F73969">
        <w:t xml:space="preserve"> (eight of about 1741 facts in our dataset)</w:t>
      </w:r>
      <w:r w:rsidR="00A94A01" w:rsidRPr="00A94A01">
        <w:t xml:space="preserve"> was retained elsewhere in the ledger under a chronic-state or sentinel-event node; the metric homes facts within their own retention class and so cannot see absorption across classes</w:t>
      </w:r>
      <w:r w:rsidRPr="00E874BF">
        <w:t xml:space="preserve">. This might </w:t>
      </w:r>
      <w:r w:rsidR="00BF787D">
        <w:t xml:space="preserve">be </w:t>
      </w:r>
      <w:r w:rsidRPr="00E874BF">
        <w:t xml:space="preserve">because </w:t>
      </w:r>
      <w:r w:rsidR="00373844">
        <w:t>Tier 4</w:t>
      </w:r>
      <w:r w:rsidRPr="00E874BF">
        <w:t xml:space="preserve"> encodes both salience decay and absorption, without distinguishing clearly between the two. </w:t>
      </w:r>
      <w:r>
        <w:t xml:space="preserve">Decay is also encoded by Tier 5, while absorption is encoded by Tier 3, this duplication may also be contributory to the small size of the tier. </w:t>
      </w:r>
      <w:r w:rsidR="00CD03A6">
        <w:t>Another possible mechanism for this phenomenon could be a natural result of the consolidation step during ledger construction.</w:t>
      </w:r>
    </w:p>
    <w:p w14:paraId="3B72438F" w14:textId="1050DE74" w:rsidR="00E874BF" w:rsidRPr="00E874BF" w:rsidRDefault="00E874BF" w:rsidP="00E874BF">
      <w:r w:rsidRPr="00E874BF">
        <w:t>We are not the only researchers grappling with this - AHRQ's CCIR attempted a four-way acute/chronic/both</w:t>
      </w:r>
      <w:r w:rsidR="00BF787D">
        <w:t>/not applicable</w:t>
      </w:r>
      <w:r w:rsidRPr="00E874BF">
        <w:t xml:space="preserve"> split in its 2021 version but reported difficulty distinguishing between these due to combination codes describing both, and reverted to a chronic/non-chronic/no-determination split in the 2023 version</w:t>
      </w:r>
      <w:r>
        <w:t xml:space="preserve"> </w:t>
      </w:r>
      <w:r>
        <w:fldChar w:fldCharType="begin"/>
      </w:r>
      <w:r w:rsidR="003A7980">
        <w:instrText xml:space="preserve"> ADDIN ZOTERO_ITEM CSL_CITATION {"citationID":"X95Cmh58","properties":{"unsorted":false,"formattedCitation":"(8)","plainCitation":"(8)","noteIndex":0},"citationItems":[{"id":387,"uris":["http://zotero.org/users/5106621/items/8ZM62UHS"],"itemData":{"id":387,"type":"standard","title":"AHRQ CCIR","URL":"https://hcup-us.ahrq.gov/toolssoftware/chronic_icd10/chronic_icd10.jsp","accessed":{"date-parts":[["2026",8,25]]}}}],"schema":"https://github.com/citation-style-language/schema/raw/master/csl-citation.json"} </w:instrText>
      </w:r>
      <w:r>
        <w:fldChar w:fldCharType="separate"/>
      </w:r>
      <w:r w:rsidR="003A7980" w:rsidRPr="003A7980">
        <w:rPr>
          <w:rFonts w:ascii="Aptos" w:hAnsi="Aptos"/>
        </w:rPr>
        <w:t>(8)</w:t>
      </w:r>
      <w:r>
        <w:fldChar w:fldCharType="end"/>
      </w:r>
      <w:r w:rsidRPr="00E874BF">
        <w:t>.</w:t>
      </w:r>
      <w:r>
        <w:t xml:space="preserve"> </w:t>
      </w:r>
      <w:r w:rsidRPr="00E874BF">
        <w:t xml:space="preserve">We may drop this tier in future taxonomy versions, following AHRQ's example, and absorb it following FHIR into a lifecycle state; or may split this tier into separate decay and absorption tiers if feasible. For now, we are retaining the tier to capture non-chronic recurrent events (bell-clapper testicular torsion, spontaneous </w:t>
      </w:r>
      <w:proofErr w:type="spellStart"/>
      <w:r w:rsidRPr="00E874BF">
        <w:t>pneumothoraces</w:t>
      </w:r>
      <w:proofErr w:type="spellEnd"/>
      <w:r w:rsidRPr="00E874BF">
        <w:t xml:space="preserve"> etc...) while awaiting more real-world data. </w:t>
      </w:r>
    </w:p>
    <w:p w14:paraId="57F0B928" w14:textId="77777777" w:rsidR="00B07582" w:rsidRDefault="00B07582"/>
    <w:p w14:paraId="72AA41C8" w14:textId="4754C4BE" w:rsidR="007A529F" w:rsidRDefault="00541B8D">
      <w:r>
        <w:rPr>
          <w:i/>
          <w:iCs/>
        </w:rPr>
        <w:t>S</w:t>
      </w:r>
      <w:r w:rsidR="007A529F">
        <w:rPr>
          <w:i/>
          <w:iCs/>
        </w:rPr>
        <w:t>alience Weighting</w:t>
      </w:r>
    </w:p>
    <w:p w14:paraId="361A1A8D" w14:textId="44867897" w:rsidR="007A529F" w:rsidRDefault="00453F70">
      <w:r>
        <w:t xml:space="preserve">Salience weighting is used ONLY for evaluating the pipeline, not in the actual pipeline itself. </w:t>
      </w:r>
      <w:r w:rsidR="00D31889">
        <w:t>We have applied an arbitrary ordinal weighting</w:t>
      </w:r>
      <w:r w:rsidR="000C1047">
        <w:t xml:space="preserve"> </w:t>
      </w:r>
      <w:proofErr w:type="gramStart"/>
      <w:r w:rsidR="000C1047">
        <w:t xml:space="preserve">scheme </w:t>
      </w:r>
      <w:r w:rsidR="00D31889">
        <w:t xml:space="preserve"> to</w:t>
      </w:r>
      <w:proofErr w:type="gramEnd"/>
      <w:r w:rsidR="00D31889">
        <w:t xml:space="preserve"> our salience tiers: Tier 1 (critical alerts) carries the maximum weightage of 5x while Tier 5 (transient events) is weighted 1x. One could argue for a geometric scaling (</w:t>
      </w:r>
      <w:proofErr w:type="spellStart"/>
      <w:r w:rsidR="00D31889">
        <w:t>eg</w:t>
      </w:r>
      <w:proofErr w:type="spellEnd"/>
      <w:r w:rsidR="00D31889">
        <w:t xml:space="preserve"> 16:8:4:2:1)</w:t>
      </w:r>
      <w:r w:rsidR="000C1047">
        <w:t>, for example</w:t>
      </w:r>
      <w:r w:rsidR="00D31889">
        <w:t xml:space="preserve"> NOHARM use</w:t>
      </w:r>
      <w:r w:rsidR="000C1047">
        <w:t>s</w:t>
      </w:r>
      <w:r w:rsidR="00D31889">
        <w:t xml:space="preserve"> a 1:8:24 weightage </w:t>
      </w:r>
      <w:r w:rsidR="000C1047">
        <w:t xml:space="preserve">based on </w:t>
      </w:r>
      <w:proofErr w:type="spellStart"/>
      <w:r w:rsidR="00D31889">
        <w:t>gridsearch</w:t>
      </w:r>
      <w:proofErr w:type="spellEnd"/>
      <w:r w:rsidR="00D31889">
        <w:t xml:space="preserve"> </w:t>
      </w:r>
      <w:r w:rsidR="000C1047">
        <w:t xml:space="preserve">results </w:t>
      </w:r>
      <w:r w:rsidR="00D31889">
        <w:t>for ranking stability</w:t>
      </w:r>
      <w:r w:rsidR="00D31889">
        <w:fldChar w:fldCharType="begin"/>
      </w:r>
      <w:r w:rsidR="003A7980">
        <w:instrText xml:space="preserve"> ADDIN ZOTERO_ITEM CSL_CITATION {"citationID":"ZWUkGcEH","properties":{"unsorted":false,"formattedCitation":"(6)","plainCitation":"(6)","noteIndex":0},"citationItems":[{"id":378,"uris":["http://zotero.org/users/5106621/items/8YGMPNC6"],"itemData":{"id":378,"type":"article","abstract":"Large language models (LLMs) and medical AI tools are routinely used by physicians and patients for medical advice, yet their clinical safety profiles remain poorly characterized. We present NOHARM (Numerous Options Harm Assessment for Risk in Medicine), a 1,100-task benchmark of primary care-to-specialist consultation cases to measure the frequency and severity of potentially harmful errors from LLM-generated medical consultation recommendations. NOHARM covers 10 specialties, with 12,747 expert annotations for 4,249 clinical management options. Across 20 notable LLMs and 4 widely used retrieval-augmented generation (RAG) clinical AI tools, direct application of recommendations carried potential for severe harm in up to 24.6% of cases, with errors of omission accounting for more than 80% of severe errors. Harm potential was not uniform across systems, with clinical AI tools outperforming generalist LLMs, and multi-agent AI teaming further improving performance in generalist models. In a randomized study of 101 U.S.-licensed generalist physicians, AI assistance improved physician performance compared to conventional resources. However, AI-assisted physicians frequently omitted valuable AI-generated recommendations and still scored lower than many AI systems alone. Had those recommendations been incorporated, combined human-AI responses would have outperformed both the human and AI system as used, suggesting complementary strengths and unrealized potential in human-AI teaming. Collectively, these results show that despite strong performance on medical knowledge benchmarks, widely used AI tools can produce medical consultation advice with the potential for severe harm, and highlight the need for explicit measurement of clinical safety. The benchmark and leaderboard are publicly available to support ongoing evaluation and improvement of AI systems used for clinical care.","DOI":"10.48550/arXiv.2512.01241","note":"arXiv:2512.01241 [cs.CY]","number":"arXiv:2512.01241","publisher":"arXiv","source":"arXiv.org","title":"First, do NOHARM: a medical safety benchmark and randomized study of physician and AI teaming on clinical consultations","title-short":"First, do NOHARM","URL":"http://arxiv.org/abs/2512.01241","author":[{"family":"Wu","given":"David"},{"family":"Haredasht","given":"Fateme Nateghi"},{"family":"Maharaj","given":"Saloni Kumar"},{"family":"Jain","given":"Priyank"},{"family":"Tran","given":"Jessica"},{"family":"Gwiazdon","given":"Matthew"},{"family":"Rustagi","given":"Arjun"},{"family":"Jindal","given":"Jenelle"},{"family":"Koshy","given":"Jacob M."},{"family":"Kadiyala","given":"Vinay"},{"family":"Agarwal","given":"Anup"},{"family":"Tappuni","given":"Bassman"},{"family":"French","given":"Brianna"},{"family":"Jesudasen","given":"Sirus"},{"family":"Cosgriff","given":"Christopher V."},{"family":"Chakraborty","given":"Rebanta"},{"family":"Caldwell","given":"Jillian"},{"family":"Ziolkowski","given":"Susan"},{"family":"Iberri","given":"David J."},{"family":"Diep","given":"Robert"},{"family":"Dalal","given":"Rahul S."},{"family":"Newman","given":"Kira L."},{"family":"Galetta","given":"Kristin"},{"family":"Pallais","given":"J. Carl"},{"family":"Wei","given":"Nancy"},{"family":"Buchheit","given":"Kathleen M."},{"family":"Hong","given":"David I."},{"family":"Pahalyants","given":"Vartan"},{"family":"Lee","given":"Ernest Y."},{"family":"Shih","given":"Allen"},{"family":"Kaplan","given":"Tamara B."},{"family":"Ravi","given":"Vishnu"},{"family":"Khemani","given":"Sarita"},{"family":"Buckley","given":"Thomas A."},{"family":"Liang","given":"April S."},{"family":"Shirvani","given":"Daniel"},{"family":"Patil","given":"Advait"},{"family":"Marshall","given":"Nicholas"},{"family":"Chopra","given":"Kanav"},{"family":"Koh","given":"Joel"},{"family":"Badhwar","given":"Adi"},{"family":"Perez","given":"Anastasia"},{"family":"Schoeffler","given":"Austin J."},{"family":"Tusty","given":"Mahbuba"},{"family":"Walton","given":"Chase M."},{"family":"McCoy","given":"Liam G."},{"family":"Wu","given":"David J. H."},{"family":"Weng","given":"Yingjie"},{"family":"Ranji","given":"Sumant"},{"family":"Schulman","given":"Kevin"},{"family":"Shah","given":"Nigam H."},{"family":"Hom","given":"Jason"},{"family":"Milstein","given":"Arnold"},{"family":"Manrai","given":"Arjun K."},{"family":"Rodman","given":"Adam"},{"family":"Chen","given":"Jonathan H."},{"family":"Goh","given":"Ethan"}],"accessed":{"date-parts":[["2026",8,16]]},"issued":{"date-parts":[["2026",7,13]]}}}],"schema":"https://github.com/citation-style-language/schema/raw/master/csl-citation.json"} </w:instrText>
      </w:r>
      <w:r w:rsidR="00D31889">
        <w:fldChar w:fldCharType="separate"/>
      </w:r>
      <w:r w:rsidR="003A7980" w:rsidRPr="003A7980">
        <w:rPr>
          <w:rFonts w:ascii="Aptos" w:hAnsi="Aptos"/>
        </w:rPr>
        <w:t>(6)</w:t>
      </w:r>
      <w:r w:rsidR="00D31889">
        <w:fldChar w:fldCharType="end"/>
      </w:r>
      <w:r w:rsidR="00D31889">
        <w:t xml:space="preserve">. In our internal experiments, we compared four weighting methods: (1) equal weightage, (2) linear, (3) </w:t>
      </w:r>
      <w:proofErr w:type="spellStart"/>
      <w:r w:rsidR="00D31889">
        <w:t>noharm</w:t>
      </w:r>
      <w:proofErr w:type="spellEnd"/>
      <w:r w:rsidR="00D31889">
        <w:t xml:space="preserve"> (modelled on NOHARM’s distribution, and (4) geometric)</w:t>
      </w:r>
      <w:r w:rsidR="00514DCA">
        <w:t>. Our results are presented in Table 1.</w:t>
      </w:r>
    </w:p>
    <w:p w14:paraId="71B80B02" w14:textId="2BE987EF" w:rsidR="00514DCA" w:rsidRDefault="00514DCA">
      <w:r>
        <w:t>Table 1: Comparison of Salience Weighting Schemes</w:t>
      </w:r>
    </w:p>
    <w:tbl>
      <w:tblPr>
        <w:tblStyle w:val="TableGrid"/>
        <w:tblW w:w="0" w:type="auto"/>
        <w:tblLook w:val="04A0" w:firstRow="1" w:lastRow="0" w:firstColumn="1" w:lastColumn="0" w:noHBand="0" w:noVBand="1"/>
      </w:tblPr>
      <w:tblGrid>
        <w:gridCol w:w="1413"/>
        <w:gridCol w:w="2126"/>
        <w:gridCol w:w="5477"/>
      </w:tblGrid>
      <w:tr w:rsidR="00514DCA" w14:paraId="7FB4C6CC" w14:textId="77777777" w:rsidTr="00514DCA">
        <w:tc>
          <w:tcPr>
            <w:tcW w:w="1413" w:type="dxa"/>
          </w:tcPr>
          <w:p w14:paraId="6E247336" w14:textId="7BB92868" w:rsidR="00514DCA" w:rsidRDefault="00514DCA">
            <w:r>
              <w:t>Scheme</w:t>
            </w:r>
          </w:p>
        </w:tc>
        <w:tc>
          <w:tcPr>
            <w:tcW w:w="2126" w:type="dxa"/>
          </w:tcPr>
          <w:p w14:paraId="0764C559" w14:textId="271D0C09" w:rsidR="00514DCA" w:rsidRDefault="00514DCA">
            <w:r>
              <w:t>Weights across tiers (</w:t>
            </w:r>
            <w:proofErr w:type="gramStart"/>
            <w:r>
              <w:t>T</w:t>
            </w:r>
            <w:r w:rsidR="00E632B8">
              <w:t>1</w:t>
            </w:r>
            <w:r>
              <w:t>:T</w:t>
            </w:r>
            <w:r w:rsidR="00E632B8">
              <w:t>2</w:t>
            </w:r>
            <w:r>
              <w:t>:T</w:t>
            </w:r>
            <w:r w:rsidR="00E632B8">
              <w:t>3</w:t>
            </w:r>
            <w:r>
              <w:t>:T</w:t>
            </w:r>
            <w:r w:rsidR="00E632B8">
              <w:t>4</w:t>
            </w:r>
            <w:proofErr w:type="gramEnd"/>
            <w:r>
              <w:t>:T</w:t>
            </w:r>
            <w:r w:rsidR="00E632B8">
              <w:t>5</w:t>
            </w:r>
            <w:r>
              <w:t>)</w:t>
            </w:r>
          </w:p>
        </w:tc>
        <w:tc>
          <w:tcPr>
            <w:tcW w:w="5477" w:type="dxa"/>
          </w:tcPr>
          <w:p w14:paraId="3FF39C02" w14:textId="20FF9D93" w:rsidR="00514DCA" w:rsidRDefault="00514DCA">
            <w:r>
              <w:t xml:space="preserve">Results: </w:t>
            </w:r>
            <w:r w:rsidR="00F73969">
              <w:t xml:space="preserve">Strict </w:t>
            </w:r>
            <w:r>
              <w:t>Salience Weighted Recall</w:t>
            </w:r>
            <w:r w:rsidR="00F73969">
              <w:t xml:space="preserve"> (SSWR)</w:t>
            </w:r>
          </w:p>
        </w:tc>
      </w:tr>
      <w:tr w:rsidR="00514DCA" w14:paraId="33EEE309" w14:textId="77777777" w:rsidTr="00514DCA">
        <w:tc>
          <w:tcPr>
            <w:tcW w:w="1413" w:type="dxa"/>
          </w:tcPr>
          <w:p w14:paraId="553B8AA7" w14:textId="486D37C6" w:rsidR="00514DCA" w:rsidRDefault="00514DCA">
            <w:r>
              <w:t>Equal</w:t>
            </w:r>
          </w:p>
        </w:tc>
        <w:tc>
          <w:tcPr>
            <w:tcW w:w="2126" w:type="dxa"/>
          </w:tcPr>
          <w:p w14:paraId="6842FCF6" w14:textId="786CBF19" w:rsidR="00514DCA" w:rsidRDefault="00514DCA">
            <w:proofErr w:type="gramStart"/>
            <w:r>
              <w:t>1:1:1:1:1</w:t>
            </w:r>
            <w:proofErr w:type="gramEnd"/>
          </w:p>
        </w:tc>
        <w:tc>
          <w:tcPr>
            <w:tcW w:w="5477" w:type="dxa"/>
          </w:tcPr>
          <w:p w14:paraId="6CEF5077" w14:textId="20AC6D96" w:rsidR="00514DCA" w:rsidRDefault="008B331A">
            <w:r>
              <w:t>0.9954</w:t>
            </w:r>
          </w:p>
        </w:tc>
      </w:tr>
      <w:tr w:rsidR="00514DCA" w14:paraId="21446B75" w14:textId="77777777" w:rsidTr="00514DCA">
        <w:tc>
          <w:tcPr>
            <w:tcW w:w="1413" w:type="dxa"/>
          </w:tcPr>
          <w:p w14:paraId="6E88A935" w14:textId="053D4842" w:rsidR="00514DCA" w:rsidRDefault="00514DCA">
            <w:r>
              <w:t>Linear</w:t>
            </w:r>
          </w:p>
        </w:tc>
        <w:tc>
          <w:tcPr>
            <w:tcW w:w="2126" w:type="dxa"/>
          </w:tcPr>
          <w:p w14:paraId="0BD04766" w14:textId="14D4E55A" w:rsidR="00514DCA" w:rsidRDefault="00514DCA">
            <w:proofErr w:type="gramStart"/>
            <w:r>
              <w:t>5:4:3:2:1</w:t>
            </w:r>
            <w:proofErr w:type="gramEnd"/>
          </w:p>
        </w:tc>
        <w:tc>
          <w:tcPr>
            <w:tcW w:w="5477" w:type="dxa"/>
          </w:tcPr>
          <w:p w14:paraId="504FD252" w14:textId="04BA9F20" w:rsidR="00514DCA" w:rsidRDefault="008B331A">
            <w:r>
              <w:t>0.9960</w:t>
            </w:r>
          </w:p>
        </w:tc>
      </w:tr>
      <w:tr w:rsidR="00514DCA" w14:paraId="2DB53084" w14:textId="77777777" w:rsidTr="00514DCA">
        <w:tc>
          <w:tcPr>
            <w:tcW w:w="1413" w:type="dxa"/>
          </w:tcPr>
          <w:p w14:paraId="58DB2EE9" w14:textId="6F5E98CA" w:rsidR="00514DCA" w:rsidRDefault="00514DCA">
            <w:proofErr w:type="spellStart"/>
            <w:r>
              <w:t>Noharm</w:t>
            </w:r>
            <w:proofErr w:type="spellEnd"/>
          </w:p>
        </w:tc>
        <w:tc>
          <w:tcPr>
            <w:tcW w:w="2126" w:type="dxa"/>
          </w:tcPr>
          <w:p w14:paraId="6BA37E74" w14:textId="43AF1B5B" w:rsidR="00514DCA" w:rsidRDefault="00E632B8">
            <w:proofErr w:type="gramStart"/>
            <w:r>
              <w:t>24:15:8:3:1</w:t>
            </w:r>
            <w:proofErr w:type="gramEnd"/>
          </w:p>
        </w:tc>
        <w:tc>
          <w:tcPr>
            <w:tcW w:w="5477" w:type="dxa"/>
          </w:tcPr>
          <w:p w14:paraId="7A3711DC" w14:textId="5332309A" w:rsidR="00514DCA" w:rsidRDefault="008B331A">
            <w:r>
              <w:t>0.9968</w:t>
            </w:r>
          </w:p>
        </w:tc>
      </w:tr>
      <w:tr w:rsidR="00514DCA" w14:paraId="79F3AE1C" w14:textId="77777777" w:rsidTr="00514DCA">
        <w:tc>
          <w:tcPr>
            <w:tcW w:w="1413" w:type="dxa"/>
          </w:tcPr>
          <w:p w14:paraId="1B12FAB8" w14:textId="30D3B7A5" w:rsidR="00514DCA" w:rsidRDefault="00E632B8">
            <w:r>
              <w:t>geometric</w:t>
            </w:r>
          </w:p>
        </w:tc>
        <w:tc>
          <w:tcPr>
            <w:tcW w:w="2126" w:type="dxa"/>
          </w:tcPr>
          <w:p w14:paraId="42291240" w14:textId="1F1B434C" w:rsidR="00514DCA" w:rsidRDefault="00E632B8">
            <w:proofErr w:type="gramStart"/>
            <w:r>
              <w:t>16:8:4:2:1</w:t>
            </w:r>
            <w:proofErr w:type="gramEnd"/>
          </w:p>
        </w:tc>
        <w:tc>
          <w:tcPr>
            <w:tcW w:w="5477" w:type="dxa"/>
          </w:tcPr>
          <w:p w14:paraId="3CADFDF0" w14:textId="11E00858" w:rsidR="00514DCA" w:rsidRDefault="008B331A">
            <w:r>
              <w:t>0.9971</w:t>
            </w:r>
          </w:p>
        </w:tc>
      </w:tr>
      <w:tr w:rsidR="008B331A" w14:paraId="31097C7F" w14:textId="77777777" w:rsidTr="00040B87">
        <w:tc>
          <w:tcPr>
            <w:tcW w:w="9016" w:type="dxa"/>
            <w:gridSpan w:val="3"/>
          </w:tcPr>
          <w:p w14:paraId="54A74B88" w14:textId="48872ECF" w:rsidR="008B331A" w:rsidRPr="008B331A" w:rsidRDefault="00F73969">
            <w:pPr>
              <w:rPr>
                <w:sz w:val="18"/>
                <w:szCs w:val="18"/>
              </w:rPr>
            </w:pPr>
            <w:r>
              <w:rPr>
                <w:sz w:val="18"/>
                <w:szCs w:val="18"/>
              </w:rPr>
              <w:t>SSWR</w:t>
            </w:r>
            <w:r w:rsidR="008B331A">
              <w:rPr>
                <w:sz w:val="18"/>
                <w:szCs w:val="18"/>
              </w:rPr>
              <w:t xml:space="preserve"> = </w:t>
            </w:r>
            <w:r w:rsidR="00A94A01" w:rsidRPr="00A94A01">
              <w:rPr>
                <w:sz w:val="18"/>
                <w:szCs w:val="18"/>
              </w:rPr>
              <w:t>the tier-weighted fraction of ledger-pinned facts from compacted admissions that remain represented after compaction.</w:t>
            </w:r>
          </w:p>
        </w:tc>
      </w:tr>
    </w:tbl>
    <w:p w14:paraId="504715BE" w14:textId="77777777" w:rsidR="00514DCA" w:rsidRDefault="00514DCA"/>
    <w:p w14:paraId="19F150A0" w14:textId="4CC0DF4B" w:rsidR="00426DAC" w:rsidRDefault="00426DAC" w:rsidP="00426DAC">
      <w:r>
        <w:t xml:space="preserve">Since weights are used only in evaluation, in effect they are lenses that refract evaluation results. </w:t>
      </w:r>
      <w:r w:rsidRPr="00426DAC">
        <w:t>Counterintuitively, salience-weighted recall rises as the tier ramp widens. This is a property of the metric: SWR is a normalised ratio, and inflating the weights of the four tiers at full retention inflates the denominator faster than eight low-tier losses inflate the numerator's deficit.</w:t>
      </w:r>
      <w:r>
        <w:t xml:space="preserve"> </w:t>
      </w:r>
      <w:r w:rsidRPr="00426DAC">
        <w:t>A geometric ramp therefore buys sensitivity to Tier 1 loss at the cost of sensitivity to everything below it — and Tier 1 loss is already caught by a count-based safety gate that ignores weights entirely.</w:t>
      </w:r>
      <w:r>
        <w:t xml:space="preserve"> </w:t>
      </w:r>
      <w:r w:rsidRPr="00426DAC">
        <w:t>Our own comparison cannot establish insensitivity: every</w:t>
      </w:r>
      <w:r>
        <w:t xml:space="preserve"> one of the eight</w:t>
      </w:r>
      <w:r w:rsidRPr="00426DAC">
        <w:t xml:space="preserve"> loss</w:t>
      </w:r>
      <w:r>
        <w:t>es</w:t>
      </w:r>
      <w:r w:rsidRPr="00426DAC">
        <w:t xml:space="preserve"> in the test cohort fell in Tier 4, so the narrow spread is arithmetic rather than evidence. The argument for a linear ramp is structural and does not rest on these figures.</w:t>
      </w:r>
      <w:r>
        <w:t xml:space="preserve"> We chose to </w:t>
      </w:r>
      <w:r>
        <w:lastRenderedPageBreak/>
        <w:t xml:space="preserve">implement a linear scheme rather than a flat scheme to recognize the differences in severity of a lost Tier 1 Stevens-Johnsons episode vs a lost Tier 5 screening colonoscopy even though equal weightage is the most sensitive scheme across tiers. </w:t>
      </w:r>
    </w:p>
    <w:p w14:paraId="086BAA9A" w14:textId="1E431F08" w:rsidR="004E36CA" w:rsidRDefault="004E36CA">
      <w:r>
        <w:t>You can set weights in your implementation based on your own experimentation results</w:t>
      </w:r>
      <w:r w:rsidR="0025171B">
        <w:t xml:space="preserve">. </w:t>
      </w:r>
      <w:r w:rsidR="00B15677">
        <w:t>We have provided a tool for experimentation, `</w:t>
      </w:r>
      <w:proofErr w:type="spellStart"/>
      <w:r w:rsidR="00B15677">
        <w:t>s</w:t>
      </w:r>
      <w:r w:rsidR="00B15677" w:rsidRPr="00B15677">
        <w:t>rc</w:t>
      </w:r>
      <w:proofErr w:type="spellEnd"/>
      <w:r w:rsidR="00B15677" w:rsidRPr="00B15677">
        <w:t>\studies\</w:t>
      </w:r>
      <w:proofErr w:type="spellStart"/>
      <w:r w:rsidR="00B15677" w:rsidRPr="00B15677">
        <w:t>weight_sensitivity</w:t>
      </w:r>
      <w:proofErr w:type="spellEnd"/>
      <w:r w:rsidR="00B15677" w:rsidRPr="00B15677">
        <w:t>\weight_sensitivity.py</w:t>
      </w:r>
      <w:r w:rsidR="00B15677">
        <w:t xml:space="preserve">`.  </w:t>
      </w:r>
    </w:p>
    <w:p w14:paraId="1C5C5F38" w14:textId="77777777" w:rsidR="00DC436F" w:rsidRDefault="00DC436F"/>
    <w:p w14:paraId="6CE8E4F0" w14:textId="7A8EB61E" w:rsidR="00DC436F" w:rsidRDefault="00DC436F">
      <w:r>
        <w:rPr>
          <w:b/>
          <w:bCs/>
        </w:rPr>
        <w:t>CLIN-LONGSUM Limitations</w:t>
      </w:r>
    </w:p>
    <w:p w14:paraId="6A127BCB" w14:textId="77777777" w:rsidR="00DC436F" w:rsidRDefault="00DC436F"/>
    <w:p w14:paraId="73F615C4" w14:textId="1E83E1CC" w:rsidR="00EB384D" w:rsidRDefault="00EB384D">
      <w:r>
        <w:rPr>
          <w:i/>
          <w:iCs/>
        </w:rPr>
        <w:t>Data Characteristics</w:t>
      </w:r>
    </w:p>
    <w:p w14:paraId="34DE3104" w14:textId="2EE67845" w:rsidR="00EB384D" w:rsidRPr="00EB384D" w:rsidRDefault="00EB384D">
      <w:r>
        <w:t xml:space="preserve">The source dataset for CLIN-LONGSUM is MIMIC-IV-Ext-BHC, which is derived from a tertiary academic medical </w:t>
      </w:r>
      <w:proofErr w:type="spellStart"/>
      <w:r>
        <w:t>center</w:t>
      </w:r>
      <w:proofErr w:type="spellEnd"/>
      <w:r>
        <w:t xml:space="preserve">. </w:t>
      </w:r>
      <w:proofErr w:type="spellStart"/>
      <w:r>
        <w:t>Pediatrics</w:t>
      </w:r>
      <w:proofErr w:type="spellEnd"/>
      <w:r>
        <w:t xml:space="preserve"> and OBGYN data are poorly represented in MIMIC-IV, and every patient in the dataset has had at least one ICU stay. From this dataset, CLIN-LONGSUM</w:t>
      </w:r>
      <w:r w:rsidR="008C5DA9">
        <w:t xml:space="preserve"> sampled, for development, 100 random patients with between 8 to 15 admissions. </w:t>
      </w:r>
      <w:r w:rsidR="00843930">
        <w:t>While the implementation pattern should transfer readily (after all, the pipeline requires only patient and admission IDs and a per-admission summary) the small development cohort and the patient characteristics might mean that your results may vary</w:t>
      </w:r>
      <w:r w:rsidR="001A0620">
        <w:t xml:space="preserve"> if your patient profiles differ.</w:t>
      </w:r>
    </w:p>
    <w:p w14:paraId="289A4439" w14:textId="77777777" w:rsidR="00EB384D" w:rsidRDefault="00EB384D"/>
    <w:p w14:paraId="7B43146B" w14:textId="0E9F9CF0" w:rsidR="00602DC0" w:rsidRDefault="00602DC0">
      <w:r>
        <w:rPr>
          <w:i/>
          <w:iCs/>
        </w:rPr>
        <w:t>Consumer-grade Hardware &amp; Quantized Models</w:t>
      </w:r>
      <w:r w:rsidR="000C6AAD">
        <w:rPr>
          <w:i/>
          <w:iCs/>
        </w:rPr>
        <w:t xml:space="preserve"> Used</w:t>
      </w:r>
    </w:p>
    <w:p w14:paraId="11259E1B" w14:textId="58BC6669" w:rsidR="000C6AAD" w:rsidRDefault="00602DC0">
      <w:r>
        <w:t xml:space="preserve">CLIN-LONGSUM was developed on a 32Gb consumer-grade graphics card, which can only fit shrunken (quantized) models below that size. </w:t>
      </w:r>
      <w:r w:rsidR="00227212">
        <w:t xml:space="preserve">In addition, there are two models in CLIN-LONGSUM serving dialectical functions (generator vs judge) which are best served by models from different lineages. In our case, we have used ornith:35b </w:t>
      </w:r>
      <w:r w:rsidR="000C6AAD">
        <w:t xml:space="preserve">as generator </w:t>
      </w:r>
      <w:r w:rsidR="00227212">
        <w:t>and deepseek-r1:32b</w:t>
      </w:r>
      <w:r w:rsidR="000C6AAD">
        <w:t xml:space="preserve"> as judge. These</w:t>
      </w:r>
      <w:r w:rsidR="00227212">
        <w:t xml:space="preserve"> share partial parentage (the Qwen family</w:t>
      </w:r>
      <w:r w:rsidR="000C6AAD">
        <w:t xml:space="preserve">; deepseek-r1 was distilled from Qwen 3.2 while </w:t>
      </w:r>
      <w:proofErr w:type="spellStart"/>
      <w:r w:rsidR="000C6AAD">
        <w:t>ornith</w:t>
      </w:r>
      <w:proofErr w:type="spellEnd"/>
      <w:r w:rsidR="000C6AAD">
        <w:t xml:space="preserve"> </w:t>
      </w:r>
      <w:r w:rsidR="0095110A">
        <w:t>wa</w:t>
      </w:r>
      <w:r w:rsidR="000C6AAD">
        <w:t>s finetuned on Qwen 3.5</w:t>
      </w:r>
      <w:r w:rsidR="00227212">
        <w:t xml:space="preserve">) </w:t>
      </w:r>
      <w:r w:rsidR="00335774">
        <w:t xml:space="preserve">as </w:t>
      </w:r>
      <w:proofErr w:type="spellStart"/>
      <w:r w:rsidR="00335774">
        <w:t>tradeoffs</w:t>
      </w:r>
      <w:proofErr w:type="spellEnd"/>
      <w:r w:rsidR="00335774">
        <w:t xml:space="preserve"> against </w:t>
      </w:r>
      <w:r w:rsidR="00227212">
        <w:t xml:space="preserve">hardware constraints. </w:t>
      </w:r>
      <w:r w:rsidR="000C6AAD">
        <w:t xml:space="preserve">In addition, the judge model also participates </w:t>
      </w:r>
      <w:r w:rsidR="0095110A">
        <w:t>i</w:t>
      </w:r>
      <w:r w:rsidR="000C6AAD">
        <w:t>n generation in a few cases of inaccurate fact statement correction, but this contribution is marginal, and was retained in the pipeline to avoid having to swap models during correction</w:t>
      </w:r>
      <w:r w:rsidR="0095110A">
        <w:t>, which increases latency</w:t>
      </w:r>
      <w:r w:rsidR="000C6AAD">
        <w:t>.</w:t>
      </w:r>
      <w:r w:rsidR="0095110A">
        <w:t xml:space="preserve"> While these are engineering issues, you should also be aware of them; your results are likely going to be better with larger hosted models of differing lineages.</w:t>
      </w:r>
    </w:p>
    <w:p w14:paraId="40965199" w14:textId="2C14CB1C" w:rsidR="00602DC0" w:rsidRDefault="0095110A">
      <w:r>
        <w:t xml:space="preserve">You may want to work with your AI engineer to experiment with different models. </w:t>
      </w:r>
      <w:r w:rsidR="00BE3E76">
        <w:t>We have included a guide</w:t>
      </w:r>
      <w:r>
        <w:t xml:space="preserve"> in the repository, with details addressing the above, </w:t>
      </w:r>
      <w:r w:rsidR="00BE3E76">
        <w:t>on model selection (`References\MODEL_SELECTION.md`) for your AI engineer.</w:t>
      </w:r>
    </w:p>
    <w:p w14:paraId="11CE68EB" w14:textId="77777777" w:rsidR="000C6AAD" w:rsidRDefault="000C6AAD"/>
    <w:p w14:paraId="3DE2FD33" w14:textId="3E4CBC47" w:rsidR="00DF28B0" w:rsidRDefault="00DF28B0">
      <w:r>
        <w:rPr>
          <w:i/>
          <w:iCs/>
        </w:rPr>
        <w:t>Evaluation</w:t>
      </w:r>
    </w:p>
    <w:p w14:paraId="36031D87" w14:textId="5C6A8D79" w:rsidR="00DF28B0" w:rsidRDefault="00DF28B0" w:rsidP="00DF6434">
      <w:r>
        <w:t>Evaluation is discussed in more depth in `References\EVALUATION.md` (for AI engineer) and `References\EVALUATION_CLINICAL.md` (for clinical lead)</w:t>
      </w:r>
      <w:r w:rsidR="001A0620">
        <w:t xml:space="preserve"> – look for the Limitations section</w:t>
      </w:r>
      <w:r>
        <w:t xml:space="preserve">.  </w:t>
      </w:r>
      <w:r w:rsidR="00DF6434">
        <w:t xml:space="preserve">The pivotal limitation </w:t>
      </w:r>
      <w:r w:rsidR="001A0620">
        <w:t xml:space="preserve">that I flag here </w:t>
      </w:r>
      <w:r w:rsidR="00DF6434">
        <w:t xml:space="preserve">is that </w:t>
      </w:r>
      <w:r w:rsidR="00DF6434" w:rsidRPr="001A0620">
        <w:rPr>
          <w:b/>
          <w:bCs/>
        </w:rPr>
        <w:t>no</w:t>
      </w:r>
      <w:r w:rsidRPr="001A0620">
        <w:rPr>
          <w:b/>
          <w:bCs/>
        </w:rPr>
        <w:t xml:space="preserve"> external benchmark exists for longitudinal patient record summarization</w:t>
      </w:r>
      <w:r>
        <w:t>, as far as we have checked in the literature. The evaluation scripts shipped</w:t>
      </w:r>
      <w:r w:rsidR="00D079B6">
        <w:t xml:space="preserve"> in our repository</w:t>
      </w:r>
      <w:r>
        <w:t xml:space="preserve"> therefore are largely intrinsic evaluation. An extrinsic evaluation suite (</w:t>
      </w:r>
      <w:proofErr w:type="spellStart"/>
      <w:r>
        <w:t>VeriFact</w:t>
      </w:r>
      <w:proofErr w:type="spellEnd"/>
      <w:r>
        <w:t>), benchmarked against human evaluators, is available for the judge model, but does not ship with this repository as it requires separate credentialling; we provide a short how-to on steps to benchmark your judge model against it</w:t>
      </w:r>
      <w:r w:rsidR="001B4B7E">
        <w:t xml:space="preserve"> in `MODEL_SELECTION.md`.</w:t>
      </w:r>
      <w:r w:rsidR="00DC4443">
        <w:t xml:space="preserve"> </w:t>
      </w:r>
      <w:r w:rsidR="00D62D48">
        <w:t xml:space="preserve"> In addition, all evaluations requiring clinical judgments by a human reviewer were done by a single clinician (an emergency physician by training, so</w:t>
      </w:r>
      <w:r w:rsidR="001A0620">
        <w:t xml:space="preserve"> generally broad-based knowledge, </w:t>
      </w:r>
      <w:r w:rsidR="001A0620">
        <w:lastRenderedPageBreak/>
        <w:t>rather than deep</w:t>
      </w:r>
      <w:r w:rsidR="00D62D48">
        <w:t>).</w:t>
      </w:r>
      <w:r w:rsidR="001A0620">
        <w:t xml:space="preserve"> </w:t>
      </w:r>
      <w:r w:rsidR="00C129EF">
        <w:t xml:space="preserve"> We also did not measure stability of summarization (</w:t>
      </w:r>
      <w:proofErr w:type="spellStart"/>
      <w:r w:rsidR="00C129EF">
        <w:t>ie</w:t>
      </w:r>
      <w:proofErr w:type="spellEnd"/>
      <w:r w:rsidR="00C129EF">
        <w:t xml:space="preserve"> of the same admission episode summarized twice).</w:t>
      </w:r>
    </w:p>
    <w:p w14:paraId="7AFA6D15" w14:textId="77777777" w:rsidR="00C129EF" w:rsidRDefault="00C129EF" w:rsidP="00DF6434"/>
    <w:p w14:paraId="1625AB38" w14:textId="77777777" w:rsidR="00C129EF" w:rsidRDefault="00C129EF" w:rsidP="00DF6434"/>
    <w:p w14:paraId="2046AA02" w14:textId="4034D446" w:rsidR="001E4469" w:rsidRPr="001E4469" w:rsidRDefault="001E4469" w:rsidP="00DF6434">
      <w:pPr>
        <w:rPr>
          <w:b/>
          <w:bCs/>
        </w:rPr>
      </w:pPr>
      <w:r w:rsidRPr="001E4469">
        <w:rPr>
          <w:b/>
          <w:bCs/>
        </w:rPr>
        <w:t>CLINICAL GOVERNANCE</w:t>
      </w:r>
    </w:p>
    <w:p w14:paraId="7ED09F5D" w14:textId="77777777" w:rsidR="001E4469" w:rsidRDefault="001E4469" w:rsidP="00DF6434"/>
    <w:p w14:paraId="107C041F" w14:textId="77777777" w:rsidR="00371921" w:rsidRDefault="00910076" w:rsidP="00DF6434">
      <w:r>
        <w:t xml:space="preserve">Alongside the technical and implementation aspects, you should also consider the clinical governance aspects </w:t>
      </w:r>
      <w:r w:rsidR="0042366F">
        <w:t xml:space="preserve">when contemplating multi-admission summarization. Your institution’s clinical governance framework will naturally inform your decisions. For example, a multi-hospital cluster overseen by a single clinical governance authority may handle responsibilities and accountability differently from that in a single-hospital clinical governance setup. Within a single hospital, each patient’s brief hospital course (BHC) summary is created, and usually owned by, the clinical team managing him at discharge.  </w:t>
      </w:r>
    </w:p>
    <w:p w14:paraId="31A9639F" w14:textId="0D661760" w:rsidR="0042366F" w:rsidRDefault="0042366F" w:rsidP="00DF6434">
      <w:r>
        <w:t xml:space="preserve">A longitudinal patient discharge summary pulling in multiple episodes from different clinical teams raises the question of who is accountable for the overall longitudinal summary.  </w:t>
      </w:r>
      <w:r w:rsidR="00371921">
        <w:t xml:space="preserve">This raises a tragedy-of-commons problem: hospital physicians who sign off on individual discharge summaries have no particular incentive to maintain his longitudinal </w:t>
      </w:r>
      <w:r w:rsidR="00D077F3">
        <w:t>assembled from</w:t>
      </w:r>
      <w:r w:rsidR="00371921">
        <w:t xml:space="preserve"> across multiple disciplines, and there is no mechanism that </w:t>
      </w:r>
      <w:r w:rsidR="00961D91">
        <w:t>punishes poor longitudinal documentation.</w:t>
      </w:r>
    </w:p>
    <w:p w14:paraId="6E58882F" w14:textId="1F23353C" w:rsidR="001E4469" w:rsidRDefault="0042366F" w:rsidP="00DF6434">
      <w:r>
        <w:t>The natural candidate</w:t>
      </w:r>
      <w:r w:rsidR="00371921">
        <w:t xml:space="preserve"> who handles a patient’s longitudinal care, his primary care physician</w:t>
      </w:r>
      <w:r w:rsidR="00E6351A">
        <w:t xml:space="preserve"> (PCP)</w:t>
      </w:r>
      <w:r w:rsidR="00371921">
        <w:t>, cannot be accountable for his longitudinal discharge summary</w:t>
      </w:r>
      <w:r>
        <w:t xml:space="preserve"> </w:t>
      </w:r>
      <w:r w:rsidR="00961D91">
        <w:t xml:space="preserve">if he was not on the teams caring for the patient during his admissions either. </w:t>
      </w:r>
    </w:p>
    <w:p w14:paraId="68AC5721" w14:textId="1434C7B0" w:rsidR="00961D91" w:rsidRDefault="00961D91" w:rsidP="00DF6434">
      <w:proofErr w:type="gramStart"/>
      <w:r>
        <w:t>So</w:t>
      </w:r>
      <w:proofErr w:type="gramEnd"/>
      <w:r>
        <w:t xml:space="preserve"> the question of who signs off on an aggregated record synthesized from multiple parties needs to be answered. No physician will accept liability for a record he did not generate. </w:t>
      </w:r>
      <w:r w:rsidR="00D077F3">
        <w:t>The usual “this is AI-generated, read at your own risk” disclaimer will not protect a physician who may have to appear in court to answer for clinical decisions made based on these summaries.</w:t>
      </w:r>
    </w:p>
    <w:p w14:paraId="5835EF3C" w14:textId="7BCEFD75" w:rsidR="00961D91" w:rsidRDefault="00961D91" w:rsidP="00DF6434">
      <w:r>
        <w:t xml:space="preserve">We suggest the following </w:t>
      </w:r>
      <w:r w:rsidR="00E6351A">
        <w:t>steps</w:t>
      </w:r>
      <w:r>
        <w:t xml:space="preserve"> in implementing governance: </w:t>
      </w:r>
    </w:p>
    <w:p w14:paraId="5F3AD68E" w14:textId="080EB7A6" w:rsidR="00E6351A" w:rsidRDefault="00961D91" w:rsidP="00961D91">
      <w:pPr>
        <w:pStyle w:val="ListParagraph"/>
        <w:numPr>
          <w:ilvl w:val="0"/>
          <w:numId w:val="5"/>
        </w:numPr>
      </w:pPr>
      <w:r>
        <w:t>Decouple attestation from liability transfer.  Instead of transferring the whole weight of accountability for accuracy of previous admission summaries onto the last physician creating the BHC, he attests to something narrower</w:t>
      </w:r>
      <w:r w:rsidR="00D077F3">
        <w:t>:</w:t>
      </w:r>
      <w:r>
        <w:t xml:space="preserve"> “I have reviewed this CLIN-LONGSUM generated summary and found no material errors I am aware of, based on my clinical relationship with this patient.”</w:t>
      </w:r>
    </w:p>
    <w:p w14:paraId="343844AF" w14:textId="7EF81CAA" w:rsidR="00961D91" w:rsidRDefault="00961D91" w:rsidP="00961D91">
      <w:pPr>
        <w:pStyle w:val="ListParagraph"/>
        <w:numPr>
          <w:ilvl w:val="0"/>
          <w:numId w:val="5"/>
        </w:numPr>
      </w:pPr>
      <w:r>
        <w:t xml:space="preserve"> </w:t>
      </w:r>
      <w:r w:rsidR="00E6351A">
        <w:t xml:space="preserve">The clinical governance board sets up a monitoring and evaluation mechanism for CLIN-LONGSUM and sets an acceptable level of performance for the </w:t>
      </w:r>
      <w:r w:rsidR="00D077F3">
        <w:t>institution, or cluster of institutions</w:t>
      </w:r>
      <w:r w:rsidR="00E6351A">
        <w:t>.</w:t>
      </w:r>
    </w:p>
    <w:p w14:paraId="72944BB9" w14:textId="16DC2BA4" w:rsidR="00E6351A" w:rsidRDefault="00E6351A" w:rsidP="00E6351A">
      <w:pPr>
        <w:pStyle w:val="ListParagraph"/>
        <w:numPr>
          <w:ilvl w:val="0"/>
          <w:numId w:val="5"/>
        </w:numPr>
      </w:pPr>
      <w:r>
        <w:t>The PCP at the visit after a patient’s admission, or at regular intervals, reviews the longitudinal record, and marks it reviewed, with comments as necessary. This mechanism is analogous to a pharmacist’s medication reconciliation – a check, not original authorship.</w:t>
      </w:r>
    </w:p>
    <w:p w14:paraId="14393354" w14:textId="7337534C" w:rsidR="00E6351A" w:rsidRDefault="00E6351A" w:rsidP="00E6351A">
      <w:pPr>
        <w:pStyle w:val="ListParagraph"/>
        <w:numPr>
          <w:ilvl w:val="0"/>
          <w:numId w:val="5"/>
        </w:numPr>
      </w:pPr>
      <w:r>
        <w:t>Separately, the national regulatory body should be engaged, along with professional bodies to d</w:t>
      </w:r>
      <w:r w:rsidR="00D077F3">
        <w:t>evelop</w:t>
      </w:r>
      <w:r>
        <w:t xml:space="preserve"> explicit guidance for </w:t>
      </w:r>
      <w:r w:rsidR="00D077F3">
        <w:t>entities in each of the 3 areas above. Malpractice insurers might need to be consulted at this point.</w:t>
      </w:r>
    </w:p>
    <w:p w14:paraId="61479F8F" w14:textId="77777777" w:rsidR="00DC10D2" w:rsidRDefault="00DC10D2" w:rsidP="00DC10D2"/>
    <w:p w14:paraId="58FACF21" w14:textId="77777777" w:rsidR="00DC10D2" w:rsidRDefault="00DC10D2" w:rsidP="00DC10D2"/>
    <w:p w14:paraId="2D857023" w14:textId="77777777" w:rsidR="001E4469" w:rsidRDefault="001E4469" w:rsidP="00DF6434"/>
    <w:p w14:paraId="42FEC2F8" w14:textId="77777777" w:rsidR="00BE3E76" w:rsidRPr="00602DC0" w:rsidRDefault="00BE3E76"/>
    <w:p w14:paraId="222BF37E" w14:textId="77777777" w:rsidR="00C60077" w:rsidRDefault="00C60077"/>
    <w:p w14:paraId="3C56953D" w14:textId="77777777" w:rsidR="00C60077" w:rsidRDefault="00C60077"/>
    <w:p w14:paraId="71522B01" w14:textId="77777777" w:rsidR="000C1047" w:rsidRDefault="000C1047"/>
    <w:p w14:paraId="3AAF1775" w14:textId="77777777" w:rsidR="00E20A83" w:rsidRPr="007A529F" w:rsidRDefault="00E20A83"/>
    <w:sectPr w:rsidR="00E20A83" w:rsidRPr="007A5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D62F2"/>
    <w:multiLevelType w:val="hybridMultilevel"/>
    <w:tmpl w:val="DA3E3C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92E779B"/>
    <w:multiLevelType w:val="hybridMultilevel"/>
    <w:tmpl w:val="D7A8C7A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0CF7E79"/>
    <w:multiLevelType w:val="hybridMultilevel"/>
    <w:tmpl w:val="5E8CBE6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729A481F"/>
    <w:multiLevelType w:val="hybridMultilevel"/>
    <w:tmpl w:val="CC78D71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74064D57"/>
    <w:multiLevelType w:val="hybridMultilevel"/>
    <w:tmpl w:val="92AC4E2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84061535">
    <w:abstractNumId w:val="0"/>
  </w:num>
  <w:num w:numId="2" w16cid:durableId="599532500">
    <w:abstractNumId w:val="2"/>
  </w:num>
  <w:num w:numId="3" w16cid:durableId="847795795">
    <w:abstractNumId w:val="1"/>
  </w:num>
  <w:num w:numId="4" w16cid:durableId="347220876">
    <w:abstractNumId w:val="4"/>
  </w:num>
  <w:num w:numId="5" w16cid:durableId="1735860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DE"/>
    <w:rsid w:val="00040B87"/>
    <w:rsid w:val="00052815"/>
    <w:rsid w:val="0005764C"/>
    <w:rsid w:val="000C1047"/>
    <w:rsid w:val="000C6AAD"/>
    <w:rsid w:val="000D2DA2"/>
    <w:rsid w:val="001109A5"/>
    <w:rsid w:val="001405EF"/>
    <w:rsid w:val="001725FB"/>
    <w:rsid w:val="001A0620"/>
    <w:rsid w:val="001B4B7E"/>
    <w:rsid w:val="001E4469"/>
    <w:rsid w:val="00227212"/>
    <w:rsid w:val="0025171B"/>
    <w:rsid w:val="002571AF"/>
    <w:rsid w:val="002E7DA1"/>
    <w:rsid w:val="00335774"/>
    <w:rsid w:val="00341B1A"/>
    <w:rsid w:val="00346C30"/>
    <w:rsid w:val="00371921"/>
    <w:rsid w:val="00373844"/>
    <w:rsid w:val="0038179D"/>
    <w:rsid w:val="003A7980"/>
    <w:rsid w:val="003E1BB0"/>
    <w:rsid w:val="0042366F"/>
    <w:rsid w:val="00426DAC"/>
    <w:rsid w:val="00451E08"/>
    <w:rsid w:val="00453F70"/>
    <w:rsid w:val="00483825"/>
    <w:rsid w:val="004B78B2"/>
    <w:rsid w:val="004E36CA"/>
    <w:rsid w:val="005125C7"/>
    <w:rsid w:val="00514DCA"/>
    <w:rsid w:val="00533790"/>
    <w:rsid w:val="0053490A"/>
    <w:rsid w:val="005357F8"/>
    <w:rsid w:val="00541B8D"/>
    <w:rsid w:val="005C561B"/>
    <w:rsid w:val="00601932"/>
    <w:rsid w:val="00602DC0"/>
    <w:rsid w:val="006922A9"/>
    <w:rsid w:val="006C6FBA"/>
    <w:rsid w:val="006F47B8"/>
    <w:rsid w:val="00737100"/>
    <w:rsid w:val="007A529F"/>
    <w:rsid w:val="00843930"/>
    <w:rsid w:val="008B331A"/>
    <w:rsid w:val="008B7C76"/>
    <w:rsid w:val="008C5DA9"/>
    <w:rsid w:val="009054A6"/>
    <w:rsid w:val="00910076"/>
    <w:rsid w:val="00921B69"/>
    <w:rsid w:val="00926351"/>
    <w:rsid w:val="0095110A"/>
    <w:rsid w:val="00961D91"/>
    <w:rsid w:val="00A1465B"/>
    <w:rsid w:val="00A15436"/>
    <w:rsid w:val="00A94A01"/>
    <w:rsid w:val="00AF51FC"/>
    <w:rsid w:val="00B067C8"/>
    <w:rsid w:val="00B07582"/>
    <w:rsid w:val="00B131B4"/>
    <w:rsid w:val="00B15677"/>
    <w:rsid w:val="00B42173"/>
    <w:rsid w:val="00B62F89"/>
    <w:rsid w:val="00B81830"/>
    <w:rsid w:val="00BB0DDF"/>
    <w:rsid w:val="00BE3E76"/>
    <w:rsid w:val="00BF787D"/>
    <w:rsid w:val="00C129EF"/>
    <w:rsid w:val="00C22B00"/>
    <w:rsid w:val="00C25CF4"/>
    <w:rsid w:val="00C45900"/>
    <w:rsid w:val="00C60077"/>
    <w:rsid w:val="00C80DFA"/>
    <w:rsid w:val="00CD03A6"/>
    <w:rsid w:val="00CE4306"/>
    <w:rsid w:val="00CF7471"/>
    <w:rsid w:val="00CF7A69"/>
    <w:rsid w:val="00D077F3"/>
    <w:rsid w:val="00D079B6"/>
    <w:rsid w:val="00D31889"/>
    <w:rsid w:val="00D60F91"/>
    <w:rsid w:val="00D62D48"/>
    <w:rsid w:val="00D66CA6"/>
    <w:rsid w:val="00D97707"/>
    <w:rsid w:val="00DC10D2"/>
    <w:rsid w:val="00DC436F"/>
    <w:rsid w:val="00DC4443"/>
    <w:rsid w:val="00DC77BF"/>
    <w:rsid w:val="00DD21DE"/>
    <w:rsid w:val="00DD4320"/>
    <w:rsid w:val="00DF28B0"/>
    <w:rsid w:val="00DF6434"/>
    <w:rsid w:val="00E16860"/>
    <w:rsid w:val="00E20A83"/>
    <w:rsid w:val="00E632B8"/>
    <w:rsid w:val="00E6351A"/>
    <w:rsid w:val="00E874BF"/>
    <w:rsid w:val="00EA029A"/>
    <w:rsid w:val="00EB384D"/>
    <w:rsid w:val="00EF3841"/>
    <w:rsid w:val="00F31DA9"/>
    <w:rsid w:val="00F73969"/>
    <w:rsid w:val="00F76CC9"/>
    <w:rsid w:val="00FA59D7"/>
    <w:rsid w:val="00FF0E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471C"/>
  <w15:chartTrackingRefBased/>
  <w15:docId w15:val="{85DB99C9-8EE8-4B72-BEF8-88D6A831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1DE"/>
    <w:rPr>
      <w:rFonts w:eastAsiaTheme="majorEastAsia" w:cstheme="majorBidi"/>
      <w:color w:val="272727" w:themeColor="text1" w:themeTint="D8"/>
    </w:rPr>
  </w:style>
  <w:style w:type="paragraph" w:styleId="Title">
    <w:name w:val="Title"/>
    <w:basedOn w:val="Normal"/>
    <w:next w:val="Normal"/>
    <w:link w:val="TitleChar"/>
    <w:uiPriority w:val="10"/>
    <w:qFormat/>
    <w:rsid w:val="00DD21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1DE"/>
    <w:pPr>
      <w:spacing w:before="160"/>
      <w:jc w:val="center"/>
    </w:pPr>
    <w:rPr>
      <w:i/>
      <w:iCs/>
      <w:color w:val="404040" w:themeColor="text1" w:themeTint="BF"/>
    </w:rPr>
  </w:style>
  <w:style w:type="character" w:customStyle="1" w:styleId="QuoteChar">
    <w:name w:val="Quote Char"/>
    <w:basedOn w:val="DefaultParagraphFont"/>
    <w:link w:val="Quote"/>
    <w:uiPriority w:val="29"/>
    <w:rsid w:val="00DD21DE"/>
    <w:rPr>
      <w:i/>
      <w:iCs/>
      <w:color w:val="404040" w:themeColor="text1" w:themeTint="BF"/>
    </w:rPr>
  </w:style>
  <w:style w:type="paragraph" w:styleId="ListParagraph">
    <w:name w:val="List Paragraph"/>
    <w:basedOn w:val="Normal"/>
    <w:uiPriority w:val="34"/>
    <w:qFormat/>
    <w:rsid w:val="00DD21DE"/>
    <w:pPr>
      <w:ind w:left="720"/>
      <w:contextualSpacing/>
    </w:pPr>
  </w:style>
  <w:style w:type="character" w:styleId="IntenseEmphasis">
    <w:name w:val="Intense Emphasis"/>
    <w:basedOn w:val="DefaultParagraphFont"/>
    <w:uiPriority w:val="21"/>
    <w:qFormat/>
    <w:rsid w:val="00DD21DE"/>
    <w:rPr>
      <w:i/>
      <w:iCs/>
      <w:color w:val="0F4761" w:themeColor="accent1" w:themeShade="BF"/>
    </w:rPr>
  </w:style>
  <w:style w:type="paragraph" w:styleId="IntenseQuote">
    <w:name w:val="Intense Quote"/>
    <w:basedOn w:val="Normal"/>
    <w:next w:val="Normal"/>
    <w:link w:val="IntenseQuoteChar"/>
    <w:uiPriority w:val="30"/>
    <w:qFormat/>
    <w:rsid w:val="00DD2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1DE"/>
    <w:rPr>
      <w:i/>
      <w:iCs/>
      <w:color w:val="0F4761" w:themeColor="accent1" w:themeShade="BF"/>
    </w:rPr>
  </w:style>
  <w:style w:type="character" w:styleId="IntenseReference">
    <w:name w:val="Intense Reference"/>
    <w:basedOn w:val="DefaultParagraphFont"/>
    <w:uiPriority w:val="32"/>
    <w:qFormat/>
    <w:rsid w:val="00DD21DE"/>
    <w:rPr>
      <w:b/>
      <w:bCs/>
      <w:smallCaps/>
      <w:color w:val="0F4761" w:themeColor="accent1" w:themeShade="BF"/>
      <w:spacing w:val="5"/>
    </w:rPr>
  </w:style>
  <w:style w:type="table" w:styleId="TableGrid">
    <w:name w:val="Table Grid"/>
    <w:basedOn w:val="TableNormal"/>
    <w:uiPriority w:val="39"/>
    <w:rsid w:val="00514D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C211E-8A69-46BD-ABBA-DB522BEE6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13918</TotalTime>
  <Pages>6</Pages>
  <Words>6939</Words>
  <Characters>39555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Seow Yian Tay</dc:creator>
  <cp:keywords/>
  <dc:description/>
  <cp:lastModifiedBy>Seow Yian Tay</cp:lastModifiedBy>
  <cp:revision>4</cp:revision>
  <dcterms:created xsi:type="dcterms:W3CDTF">2026-08-11T01:12:00Z</dcterms:created>
  <dcterms:modified xsi:type="dcterms:W3CDTF">2026-09-21T00:27:00Z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id="WIMh6Htl"/&gt;&lt;style id="http://www.zotero.org/styles/nlm-citation-sequence" locale="en-US" hasBibliography="1" bibliographyStyleHasBeenSet="0"/&gt;&lt;prefs&gt;&lt;pref name="fieldType" value="Field"/&gt;&lt;pref nam</vt:lpwstr>
  </property>
  <property fmtid="{D5CDD505-2E9C-101B-9397-08002B2CF9AE}" pid="3" name="ZOTERO_PREF_2">
    <vt:lpwstr>e="automaticJournalAbbreviations" value="true"/&gt;&lt;/prefs&gt;&lt;/data&gt;</vt:lpwstr>
  </property>
</Properties>
</file>