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EF-DOC-008</w:t>
        <w:br/>
        <w:t>EventFlow Application Services &amp; Domain Implementation Design</w:t>
      </w:r>
    </w:p>
    <w:p>
      <w:pPr>
        <w:jc w:val="center"/>
      </w:pPr>
      <w:r>
        <w:rPr>
          <w:b/>
        </w:rPr>
        <w:t>Version 1.0 - Approved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5083"/>
          </w:tcPr>
          <w:p>
            <w:r>
              <w:t>Sprint 6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Input baseline</w:t>
            </w:r>
          </w:p>
        </w:tc>
        <w:tc>
          <w:tcPr>
            <w:tcW w:type="dxa" w:w="5083"/>
          </w:tcPr>
          <w:p>
            <w:r>
              <w:t>v0.6.0-security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Service packages</w:t>
            </w:r>
          </w:p>
        </w:tc>
        <w:tc>
          <w:tcPr>
            <w:tcW w:type="dxa" w:w="5083"/>
          </w:tcPr>
          <w:p>
            <w:r>
              <w:t>SVC-001 through SVC-016 - 16/16 design PASS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Refinements</w:t>
            </w:r>
          </w:p>
        </w:tc>
        <w:tc>
          <w:tcPr>
            <w:tcW w:type="dxa" w:w="5083"/>
          </w:tcPr>
          <w:p>
            <w:r>
              <w:t>S6-R01 through S6-R75 - accepted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Integrated validation</w:t>
            </w:r>
          </w:p>
        </w:tc>
        <w:tc>
          <w:tcPr>
            <w:tcW w:type="dxa" w:w="5083"/>
          </w:tcPr>
          <w:p>
            <w:r>
              <w:t>IV-001 through IV-020 - 20/20 design PASS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Blocking contradictions</w:t>
            </w:r>
          </w:p>
        </w:tc>
        <w:tc>
          <w:tcPr>
            <w:tcW w:type="dxa" w:w="5083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Consolidation Verdict</w:t>
      </w:r>
    </w:p>
    <w:p>
      <w:r>
        <w:t>Sprint 6 is internally consistent and implementation-ready at the design level. The service architecture preserves the approved Sprint 3 database, Sprint 4 API/application-service, and Sprint 5 security baselines. Identified schema/API/catalogue changes are controlled forward extensions. No unresolved authoritative ownership, transaction, authorization, dependency-cycle, security, privacy, or event-day-operability contradiction was identified.</w:t>
      </w:r>
    </w:p>
    <w:p>
      <w:pPr>
        <w:pStyle w:val="Heading1"/>
      </w:pPr>
      <w:r>
        <w:t>2. Implementation Architecture Invariants</w:t>
      </w:r>
    </w:p>
    <w:p>
      <w:pPr>
        <w:pStyle w:val="ListBullet"/>
      </w:pPr>
      <w:r>
        <w:rPr>
          <w:b/>
        </w:rPr>
        <w:t xml:space="preserve">IMP-INV-01: </w:t>
      </w:r>
      <w:r>
        <w:t>Business mutations occur only through authoritative Application Services.</w:t>
      </w:r>
    </w:p>
    <w:p>
      <w:pPr>
        <w:pStyle w:val="ListBullet"/>
      </w:pPr>
      <w:r>
        <w:rPr>
          <w:b/>
        </w:rPr>
        <w:t xml:space="preserve">IMP-INV-02: </w:t>
      </w:r>
      <w:r>
        <w:t>Controllers, WordPress hooks and workers do not directly perform domain persistence.</w:t>
      </w:r>
    </w:p>
    <w:p>
      <w:pPr>
        <w:pStyle w:val="ListBullet"/>
      </w:pPr>
      <w:r>
        <w:rPr>
          <w:b/>
        </w:rPr>
        <w:t xml:space="preserve">IMP-INV-03: </w:t>
      </w:r>
      <w:r>
        <w:t>Repositories do not authorize callers or own external side effects.</w:t>
      </w:r>
    </w:p>
    <w:p>
      <w:pPr>
        <w:pStyle w:val="ListBullet"/>
      </w:pPr>
      <w:r>
        <w:rPr>
          <w:b/>
        </w:rPr>
        <w:t xml:space="preserve">IMP-INV-04: </w:t>
      </w:r>
      <w:r>
        <w:t>Every Event-scoped mutation derives Event scope server-side and validates resource ownership.</w:t>
      </w:r>
    </w:p>
    <w:p>
      <w:pPr>
        <w:pStyle w:val="ListBullet"/>
      </w:pPr>
      <w:r>
        <w:rPr>
          <w:b/>
        </w:rPr>
        <w:t xml:space="preserve">IMP-INV-05: </w:t>
      </w:r>
      <w:r>
        <w:t>Material business operations use explicit transaction boundaries.</w:t>
      </w:r>
    </w:p>
    <w:p>
      <w:pPr>
        <w:pStyle w:val="ListBullet"/>
      </w:pPr>
      <w:r>
        <w:rPr>
          <w:b/>
        </w:rPr>
        <w:t xml:space="preserve">IMP-INV-06: </w:t>
      </w:r>
      <w:r>
        <w:t>External network calls do not execute inside authoritative business DB transactions.</w:t>
      </w:r>
    </w:p>
    <w:p>
      <w:pPr>
        <w:pStyle w:val="ListBullet"/>
      </w:pPr>
      <w:r>
        <w:rPr>
          <w:b/>
        </w:rPr>
        <w:t xml:space="preserve">IMP-INV-07: </w:t>
      </w:r>
      <w:r>
        <w:t>Required Audit records commit atomically with the mutations they protect.</w:t>
      </w:r>
    </w:p>
    <w:p>
      <w:pPr>
        <w:pStyle w:val="ListBullet"/>
      </w:pPr>
      <w:r>
        <w:rPr>
          <w:b/>
        </w:rPr>
        <w:t xml:space="preserve">IMP-INV-08: </w:t>
      </w:r>
      <w:r>
        <w:t>Background jobs assume at-least-once execution and are idempotent/restart-safe.</w:t>
      </w:r>
    </w:p>
    <w:p>
      <w:pPr>
        <w:pStyle w:val="ListBullet"/>
      </w:pPr>
      <w:r>
        <w:rPr>
          <w:b/>
        </w:rPr>
        <w:t xml:space="preserve">IMP-INV-09: </w:t>
      </w:r>
      <w:r>
        <w:t>Raw reusable bearer credentials are never persisted as ordinary business data.</w:t>
      </w:r>
    </w:p>
    <w:p>
      <w:pPr>
        <w:pStyle w:val="ListBullet"/>
      </w:pPr>
      <w:r>
        <w:rPr>
          <w:b/>
        </w:rPr>
        <w:t xml:space="preserve">IMP-INV-10: </w:t>
      </w:r>
      <w:r>
        <w:t>Optimized projections/read models do not bypass authoritative mutation services.</w:t>
      </w:r>
    </w:p>
    <w:p>
      <w:pPr>
        <w:pStyle w:val="ListBullet"/>
      </w:pPr>
      <w:r>
        <w:rPr>
          <w:b/>
        </w:rPr>
        <w:t xml:space="preserve">IMP-INV-11: </w:t>
      </w:r>
      <w:r>
        <w:t>Unknown principal/provider/job/parser/report/policy identifiers fail closed.</w:t>
      </w:r>
    </w:p>
    <w:p>
      <w:pPr>
        <w:pStyle w:val="ListBullet"/>
      </w:pPr>
      <w:r>
        <w:rPr>
          <w:b/>
        </w:rPr>
        <w:t xml:space="preserve">IMP-INV-12: </w:t>
      </w:r>
      <w:r>
        <w:t>Earlier approved baselines change only through controlled refinements/migrations, never silent rewrites.</w:t>
      </w:r>
    </w:p>
    <w:p>
      <w:pPr>
        <w:pStyle w:val="Heading1"/>
      </w:pPr>
      <w:r>
        <w:t>3. Service Package Baseline</w:t>
      </w:r>
    </w:p>
    <w:p>
      <w:pPr>
        <w:pStyle w:val="Heading2"/>
      </w:pPr>
      <w:r>
        <w:t>SVC-001 - Application Bootstrap &amp; Dependency Composition</w:t>
      </w:r>
    </w:p>
    <w:p>
      <w:r>
        <w:t>Single composition root; deterministic boot; explicit dependency injection; schema/runtime compatibility gate; thin WordPress adapters.</w:t>
      </w:r>
    </w:p>
    <w:p>
      <w:pPr>
        <w:pStyle w:val="Heading2"/>
      </w:pPr>
      <w:r>
        <w:t>SVC-002 - Event Lifecycle Service</w:t>
      </w:r>
    </w:p>
    <w:p>
      <w:r>
        <w:t>Atomic Event creation with default configuration and primary owner; explicit lifecycle commands/readiness; venue snapshotting; archive/restore semantics.</w:t>
      </w:r>
    </w:p>
    <w:p>
      <w:pPr>
        <w:pStyle w:val="Heading2"/>
      </w:pPr>
      <w:r>
        <w:t>SVC-003 - Membership &amp; Authorization Integration</w:t>
      </w:r>
    </w:p>
    <w:p>
      <w:r>
        <w:t>Current server-side membership authority; capability/delegation policy; owner continuity; primary-owner transfer; request-authoritative authorization.</w:t>
      </w:r>
    </w:p>
    <w:p>
      <w:pPr>
        <w:pStyle w:val="Heading2"/>
      </w:pPr>
      <w:r>
        <w:t>SVC-004 - Invitation &amp; Guest-Access Service</w:t>
      </w:r>
    </w:p>
    <w:p>
      <w:r>
        <w:t>Invitation lifecycle; return-once high-entropy credentials; guest-link indirection; server guest sessions; token-version invalidation; CSRF integration.</w:t>
      </w:r>
    </w:p>
    <w:p>
      <w:pPr>
        <w:pStyle w:val="Heading2"/>
      </w:pPr>
      <w:r>
        <w:t>SVC-005 - Attendee &amp; RSVP Service</w:t>
      </w:r>
    </w:p>
    <w:p>
      <w:r>
        <w:t>Atomic complete-state RSVP reconciliation; response revision; capacity locking; attendee admin; primary-attendee continuity; seating-group synchronization.</w:t>
      </w:r>
    </w:p>
    <w:p>
      <w:pPr>
        <w:pStyle w:val="Heading2"/>
      </w:pPr>
      <w:r>
        <w:t>SVC-006 - Import Pipeline Service</w:t>
      </w:r>
    </w:p>
    <w:p>
      <w:r>
        <w:t>Secure staged CSV/XLSX pipeline; mapping/validation/dry-run; logical application units; domain-service application; restartable workers; retention.</w:t>
      </w:r>
    </w:p>
    <w:p>
      <w:pPr>
        <w:pStyle w:val="Heading2"/>
      </w:pPr>
      <w:r>
        <w:t>SVC-007 - Seating &amp; Recommendation Service</w:t>
      </w:r>
    </w:p>
    <w:p>
      <w:r>
        <w:t>Flexible tables/seats/groups; authoritative manual assignment; deterministic locking; constraint classes; advisory versioned recommendations; stale detection.</w:t>
      </w:r>
    </w:p>
    <w:p>
      <w:pPr>
        <w:pStyle w:val="Heading2"/>
      </w:pPr>
      <w:r>
        <w:t>SVC-008 - Reception &amp; Check-In Service</w:t>
      </w:r>
    </w:p>
    <w:p>
      <w:r>
        <w:t>Least-privilege reception projection; immutable attendee-level check-in/reversal actions; atomic bulk check-in; stations; mandatory idempotency.</w:t>
      </w:r>
    </w:p>
    <w:p>
      <w:pPr>
        <w:pStyle w:val="Heading2"/>
      </w:pPr>
      <w:r>
        <w:t>SVC-009 - Communications &amp; Campaign Service</w:t>
      </w:r>
    </w:p>
    <w:p>
      <w:r>
        <w:t>Immutable template versions; explicit campaign purpose/audience mode; execution-time audience freeze; immutable Message snapshots; async provider dispatch.</w:t>
      </w:r>
    </w:p>
    <w:p>
      <w:pPr>
        <w:pStyle w:val="Heading2"/>
      </w:pPr>
      <w:r>
        <w:t>SVC-010 - Provider &amp; Webhook Processing</w:t>
      </w:r>
    </w:p>
    <w:p>
      <w:r>
        <w:t>Provider-specific auth; durable-before-ack webhook capture; PDM-017A dedupe; normalization/correlation; out-of-order evidence; async reconciliation.</w:t>
      </w:r>
    </w:p>
    <w:p>
      <w:pPr>
        <w:pStyle w:val="Heading2"/>
      </w:pPr>
      <w:r>
        <w:t>SVC-011 - Audit, Idempotency &amp; Transaction Infrastructure</w:t>
      </w:r>
    </w:p>
    <w:p>
      <w:r>
        <w:t>Shared transaction/idempotency/audit model; typed audit; tamper-evident chains; retry policy; durable async intent; at-least-once correctness.</w:t>
      </w:r>
    </w:p>
    <w:p>
      <w:pPr>
        <w:pStyle w:val="Heading2"/>
      </w:pPr>
      <w:r>
        <w:t>SVC-012 - Background Jobs &amp; Scheduling</w:t>
      </w:r>
    </w:p>
    <w:p>
      <w:r>
        <w:t>Durable typed jobs; leases/heartbeats; priorities; bounded retries/dead-letter; logical dedupe; payload versioning; scheduler reconciliation.</w:t>
      </w:r>
    </w:p>
    <w:p>
      <w:pPr>
        <w:pStyle w:val="Heading2"/>
      </w:pPr>
      <w:r>
        <w:t>SVC-013 - Reporting &amp; Export Service</w:t>
      </w:r>
    </w:p>
    <w:p>
      <w:r>
        <w:t>Event-scoped report projections; separate PII export capability; protected expiring artifacts; streaming generation; download reauthorization; export audit.</w:t>
      </w:r>
    </w:p>
    <w:p>
      <w:pPr>
        <w:pStyle w:val="Heading2"/>
      </w:pPr>
      <w:r>
        <w:t>SVC-014 - Privacy &amp; Retention Operations</w:t>
      </w:r>
    </w:p>
    <w:p>
      <w:r>
        <w:t>Policy-driven retention; holds; restart-safe anonymization; privacy tombstones; post-restore reconciliation; forward-completion privacy recovery.</w:t>
      </w:r>
    </w:p>
    <w:p>
      <w:pPr>
        <w:pStyle w:val="Heading2"/>
      </w:pPr>
      <w:r>
        <w:t>SVC-015 - Error Handling &amp; Observability Integration</w:t>
      </w:r>
    </w:p>
    <w:p>
      <w:r>
        <w:t>Single error catalogue; typed public details; centralized redaction; structured logs/metrics; health vs readiness; sanitized diagnostics.</w:t>
      </w:r>
    </w:p>
    <w:p>
      <w:pPr>
        <w:pStyle w:val="Heading2"/>
      </w:pPr>
      <w:r>
        <w:t>SVC-016 - Service Integration &amp; Implementation Validation</w:t>
      </w:r>
    </w:p>
    <w:p>
      <w:r>
        <w:t>Cross-service reconciliation; dependency-cycle controls; transaction/authorization integration; 20 integrated workflows; baseline extension register.</w:t>
      </w:r>
    </w:p>
    <w:p>
      <w:pPr>
        <w:pStyle w:val="Heading1"/>
      </w:pPr>
      <w:r>
        <w:t>4. Cross-Cutting Integration Model</w:t>
      </w:r>
    </w:p>
    <w:p>
      <w:pPr>
        <w:pStyle w:val="Heading2"/>
      </w:pPr>
      <w:r>
        <w:t>Dependency direction</w:t>
      </w:r>
    </w:p>
    <w:p>
      <w:r>
        <w:t>WordPress/REST/CLI/workers -&gt; Application Services -&gt; shared application infrastructure/domain policies -&gt; repositories -&gt; database/provider/host adapters. Concrete cross-domain cycles are prohibited; narrow ports/orchestrators resolve collaboration.</w:t>
      </w:r>
    </w:p>
    <w:p>
      <w:pPr>
        <w:pStyle w:val="Heading2"/>
      </w:pPr>
      <w:r>
        <w:t>Transaction ownership</w:t>
      </w:r>
    </w:p>
    <w:p>
      <w:r>
        <w:t>Application Services own authoritative business transactions. Repositories participate without independent commit. External provider/network calls are outside DB transactions. Large workflows use bounded restart-safe units.</w:t>
      </w:r>
    </w:p>
    <w:p>
      <w:pPr>
        <w:pStyle w:val="Heading2"/>
      </w:pPr>
      <w:r>
        <w:t>Authorization</w:t>
      </w:r>
    </w:p>
    <w:p>
      <w:r>
        <w:t>PrincipalContext + current server-side Event membership/global capability + lifecycle overlay + resource/Event scope + operation-specific policy. UI state and client claims are never authoritative.</w:t>
      </w:r>
    </w:p>
    <w:p>
      <w:pPr>
        <w:pStyle w:val="Heading2"/>
      </w:pPr>
      <w:r>
        <w:t>Asynchronous work</w:t>
      </w:r>
    </w:p>
    <w:p>
      <w:r>
        <w:t>Durable typed Jobs are authoritative; schedulers only trigger. Workers assume at-least-once execution and use leases, logical dedupe, idempotency, bounded retry, dead-letter and reconciliation.</w:t>
      </w:r>
    </w:p>
    <w:p>
      <w:pPr>
        <w:pStyle w:val="Heading2"/>
      </w:pPr>
      <w:r>
        <w:t>Guest security</w:t>
      </w:r>
    </w:p>
    <w:p>
      <w:r>
        <w:t>Invitation and guest-link/session bearer credentials are high entropy and stored only as digests. Rotation/revocation invalidates prior token versions. Message history never stores the underlying long-lived Invitation token.</w:t>
      </w:r>
    </w:p>
    <w:p>
      <w:pPr>
        <w:pStyle w:val="Heading2"/>
      </w:pPr>
      <w:r>
        <w:t>Audit/observability</w:t>
      </w:r>
    </w:p>
    <w:p>
      <w:r>
        <w:t>Required business/security Audit commits with protected mutations. Audit payloads are typed/minimized and may be chained for tamper evidence. Logs/metrics/diagnostics are separate, redacted, structured and non-authoritative.</w:t>
      </w:r>
    </w:p>
    <w:p>
      <w:pPr>
        <w:pStyle w:val="Heading2"/>
      </w:pPr>
      <w:r>
        <w:t>Privacy/recovery</w:t>
      </w:r>
    </w:p>
    <w:p>
      <w:r>
        <w:t>Archive, uninstall, user deletion and privacy purge are distinct. Privacy workflows are restart-safe and forward-completing, leave durable non-PII state markers, and gate post-restore readiness until reconciliation completes.</w:t>
      </w:r>
    </w:p>
    <w:p>
      <w:pPr>
        <w:pStyle w:val="Heading1"/>
      </w:pPr>
      <w:r>
        <w:t>5. Sprint 6 Refinement Register</w:t>
      </w:r>
    </w:p>
    <w:p>
      <w:pPr>
        <w:pStyle w:val="ListBullet"/>
      </w:pPr>
      <w:r>
        <w:rPr>
          <w:b/>
        </w:rPr>
        <w:t xml:space="preserve">S6-R01: </w:t>
      </w:r>
      <w:r>
        <w:t>Runtime schema compatibility gate.</w:t>
      </w:r>
    </w:p>
    <w:p>
      <w:pPr>
        <w:pStyle w:val="ListBullet"/>
      </w:pPr>
      <w:r>
        <w:rPr>
          <w:b/>
        </w:rPr>
        <w:t xml:space="preserve">S6-R02: </w:t>
      </w:r>
      <w:r>
        <w:t>Idempotent Event creation.</w:t>
      </w:r>
    </w:p>
    <w:p>
      <w:pPr>
        <w:pStyle w:val="ListBullet"/>
      </w:pPr>
      <w:r>
        <w:rPr>
          <w:b/>
        </w:rPr>
        <w:t xml:space="preserve">S6-R03: </w:t>
      </w:r>
      <w:r>
        <w:t>Request-authoritative membership authorization.</w:t>
      </w:r>
    </w:p>
    <w:p>
      <w:pPr>
        <w:pStyle w:val="ListBullet"/>
      </w:pPr>
      <w:r>
        <w:rPr>
          <w:b/>
        </w:rPr>
        <w:t xml:space="preserve">S6-R04: </w:t>
      </w:r>
      <w:r>
        <w:t>Revoked Invitation reactivation requires a new credential.</w:t>
      </w:r>
    </w:p>
    <w:p>
      <w:pPr>
        <w:pStyle w:val="ListBullet"/>
      </w:pPr>
      <w:r>
        <w:rPr>
          <w:b/>
        </w:rPr>
        <w:t xml:space="preserve">S6-R05: </w:t>
      </w:r>
      <w:r>
        <w:t>Supporting schema for server guest sessions and per-message guest-link credentials.</w:t>
      </w:r>
    </w:p>
    <w:p>
      <w:pPr>
        <w:pStyle w:val="ListBullet"/>
      </w:pPr>
      <w:r>
        <w:rPr>
          <w:b/>
        </w:rPr>
        <w:t xml:space="preserve">S6-R06: </w:t>
      </w:r>
      <w:r>
        <w:t>Persisted RSVP response revision.</w:t>
      </w:r>
    </w:p>
    <w:p>
      <w:pPr>
        <w:pStyle w:val="ListBullet"/>
      </w:pPr>
      <w:r>
        <w:rPr>
          <w:b/>
        </w:rPr>
        <w:t xml:space="preserve">S6-R07: </w:t>
      </w:r>
      <w:r>
        <w:t>Primary attendee continuity.</w:t>
      </w:r>
    </w:p>
    <w:p>
      <w:pPr>
        <w:pStyle w:val="ListBullet"/>
      </w:pPr>
      <w:r>
        <w:rPr>
          <w:b/>
        </w:rPr>
        <w:t xml:space="preserve">S6-R08: </w:t>
      </w:r>
      <w:r>
        <w:t>Idempotent organizer attendee creation.</w:t>
      </w:r>
    </w:p>
    <w:p>
      <w:pPr>
        <w:pStyle w:val="ListBullet"/>
      </w:pPr>
      <w:r>
        <w:rPr>
          <w:b/>
        </w:rPr>
        <w:t xml:space="preserve">S6-R09: </w:t>
      </w:r>
      <w:r>
        <w:t>Import row/application-unit idempotency.</w:t>
      </w:r>
    </w:p>
    <w:p>
      <w:pPr>
        <w:pStyle w:val="ListBullet"/>
      </w:pPr>
      <w:r>
        <w:rPr>
          <w:b/>
        </w:rPr>
        <w:t xml:space="preserve">S6-R10: </w:t>
      </w:r>
      <w:r>
        <w:t>Logical import-unit atomicity.</w:t>
      </w:r>
    </w:p>
    <w:p>
      <w:pPr>
        <w:pStyle w:val="ListBullet"/>
      </w:pPr>
      <w:r>
        <w:rPr>
          <w:b/>
        </w:rPr>
        <w:t xml:space="preserve">S6-R11: </w:t>
      </w:r>
      <w:r>
        <w:t>Imported Invitation credential handling without raw-token persistence/export.</w:t>
      </w:r>
    </w:p>
    <w:p>
      <w:pPr>
        <w:pStyle w:val="ListBullet"/>
      </w:pPr>
      <w:r>
        <w:rPr>
          <w:b/>
        </w:rPr>
        <w:t xml:space="preserve">S6-R12: </w:t>
      </w:r>
      <w:r>
        <w:t>Import worker lease.</w:t>
      </w:r>
    </w:p>
    <w:p>
      <w:pPr>
        <w:pStyle w:val="ListBullet"/>
      </w:pPr>
      <w:r>
        <w:rPr>
          <w:b/>
        </w:rPr>
        <w:t xml:space="preserve">S6-R13: </w:t>
      </w:r>
      <w:r>
        <w:t>Deterministic seating lock order.</w:t>
      </w:r>
    </w:p>
    <w:p>
      <w:pPr>
        <w:pStyle w:val="ListBullet"/>
      </w:pPr>
      <w:r>
        <w:rPr>
          <w:b/>
        </w:rPr>
        <w:t xml:space="preserve">S6-R14: </w:t>
      </w:r>
      <w:r>
        <w:t>Constraint override classes.</w:t>
      </w:r>
    </w:p>
    <w:p>
      <w:pPr>
        <w:pStyle w:val="ListBullet"/>
      </w:pPr>
      <w:r>
        <w:rPr>
          <w:b/>
        </w:rPr>
        <w:t xml:space="preserve">S6-R15: </w:t>
      </w:r>
      <w:r>
        <w:t>Recommendation algorithm versioning.</w:t>
      </w:r>
    </w:p>
    <w:p>
      <w:pPr>
        <w:pStyle w:val="ListBullet"/>
      </w:pPr>
      <w:r>
        <w:rPr>
          <w:b/>
        </w:rPr>
        <w:t xml:space="preserve">S6-R16: </w:t>
      </w:r>
      <w:r>
        <w:t>One active recommendation job per Event.</w:t>
      </w:r>
    </w:p>
    <w:p>
      <w:pPr>
        <w:pStyle w:val="ListBullet"/>
      </w:pPr>
      <w:r>
        <w:rPr>
          <w:b/>
        </w:rPr>
        <w:t xml:space="preserve">S6-R17: </w:t>
      </w:r>
      <w:r>
        <w:t>Planning assignment lock.</w:t>
      </w:r>
    </w:p>
    <w:p>
      <w:pPr>
        <w:pStyle w:val="ListBullet"/>
      </w:pPr>
      <w:r>
        <w:rPr>
          <w:b/>
        </w:rPr>
        <w:t xml:space="preserve">S6-R18: </w:t>
      </w:r>
      <w:r>
        <w:t>Recommendation reproducibility seed.</w:t>
      </w:r>
    </w:p>
    <w:p>
      <w:pPr>
        <w:pStyle w:val="ListBullet"/>
      </w:pPr>
      <w:r>
        <w:rPr>
          <w:b/>
        </w:rPr>
        <w:t xml:space="preserve">S6-R19: </w:t>
      </w:r>
      <w:r>
        <w:t>Mandatory check-in and bulk-check-in idempotency.</w:t>
      </w:r>
    </w:p>
    <w:p>
      <w:pPr>
        <w:pStyle w:val="ListBullet"/>
      </w:pPr>
      <w:r>
        <w:rPr>
          <w:b/>
        </w:rPr>
        <w:t xml:space="preserve">S6-R20: </w:t>
      </w:r>
      <w:r>
        <w:t>Dedicated reception lookup identifiers for QR/barcodes.</w:t>
      </w:r>
    </w:p>
    <w:p>
      <w:pPr>
        <w:pStyle w:val="ListBullet"/>
      </w:pPr>
      <w:r>
        <w:rPr>
          <w:b/>
        </w:rPr>
        <w:t xml:space="preserve">S6-R21: </w:t>
      </w:r>
      <w:r>
        <w:t>Optional rebuildable check-in current-state projection.</w:t>
      </w:r>
    </w:p>
    <w:p>
      <w:pPr>
        <w:pStyle w:val="ListBullet"/>
      </w:pPr>
      <w:r>
        <w:rPr>
          <w:b/>
        </w:rPr>
        <w:t xml:space="preserve">S6-R22: </w:t>
      </w:r>
      <w:r>
        <w:t>Template preview uses non-functional credentials.</w:t>
      </w:r>
    </w:p>
    <w:p>
      <w:pPr>
        <w:pStyle w:val="ListBullet"/>
      </w:pPr>
      <w:r>
        <w:rPr>
          <w:b/>
        </w:rPr>
        <w:t xml:space="preserve">S6-R23: </w:t>
      </w:r>
      <w:r>
        <w:t>Explicit dynamic versus snapshot audience mode.</w:t>
      </w:r>
    </w:p>
    <w:p>
      <w:pPr>
        <w:pStyle w:val="ListBullet"/>
      </w:pPr>
      <w:r>
        <w:rPr>
          <w:b/>
        </w:rPr>
        <w:t xml:space="preserve">S6-R24: </w:t>
      </w:r>
      <w:r>
        <w:t>Campaign-recipient Message idempotency.</w:t>
      </w:r>
    </w:p>
    <w:p>
      <w:pPr>
        <w:pStyle w:val="ListBullet"/>
      </w:pPr>
      <w:r>
        <w:rPr>
          <w:b/>
        </w:rPr>
        <w:t xml:space="preserve">S6-R25: </w:t>
      </w:r>
      <w:r>
        <w:t>Ambiguous provider outcome state.</w:t>
      </w:r>
    </w:p>
    <w:p>
      <w:pPr>
        <w:pStyle w:val="ListBullet"/>
      </w:pPr>
      <w:r>
        <w:rPr>
          <w:b/>
        </w:rPr>
        <w:t xml:space="preserve">S6-R26: </w:t>
      </w:r>
      <w:r>
        <w:t>Destination correction creates a new Message.</w:t>
      </w:r>
    </w:p>
    <w:p>
      <w:pPr>
        <w:pStyle w:val="ListBullet"/>
      </w:pPr>
      <w:r>
        <w:rPr>
          <w:b/>
        </w:rPr>
        <w:t xml:space="preserve">S6-R27: </w:t>
      </w:r>
      <w:r>
        <w:t>Explicit Campaign purpose.</w:t>
      </w:r>
    </w:p>
    <w:p>
      <w:pPr>
        <w:pStyle w:val="ListBullet"/>
      </w:pPr>
      <w:r>
        <w:rPr>
          <w:b/>
        </w:rPr>
        <w:t xml:space="preserve">S6-R28: </w:t>
      </w:r>
      <w:r>
        <w:t>Campaign execution immutability.</w:t>
      </w:r>
    </w:p>
    <w:p>
      <w:pPr>
        <w:pStyle w:val="ListBullet"/>
      </w:pPr>
      <w:r>
        <w:rPr>
          <w:b/>
        </w:rPr>
        <w:t xml:space="preserve">S6-R29: </w:t>
      </w:r>
      <w:r>
        <w:t>Durable webhook acknowledgement.</w:t>
      </w:r>
    </w:p>
    <w:p>
      <w:pPr>
        <w:pStyle w:val="ListBullet"/>
      </w:pPr>
      <w:r>
        <w:rPr>
          <w:b/>
        </w:rPr>
        <w:t xml:space="preserve">S6-R30: </w:t>
      </w:r>
      <w:r>
        <w:t>Provider dedupe algorithm versioning.</w:t>
      </w:r>
    </w:p>
    <w:p>
      <w:pPr>
        <w:pStyle w:val="ListBullet"/>
      </w:pPr>
      <w:r>
        <w:rPr>
          <w:b/>
        </w:rPr>
        <w:t xml:space="preserve">S6-R31: </w:t>
      </w:r>
      <w:r>
        <w:t>Unmatched ProviderEvent reconciliation.</w:t>
      </w:r>
    </w:p>
    <w:p>
      <w:pPr>
        <w:pStyle w:val="ListBullet"/>
      </w:pPr>
      <w:r>
        <w:rPr>
          <w:b/>
        </w:rPr>
        <w:t xml:space="preserve">S6-R32: </w:t>
      </w:r>
      <w:r>
        <w:t>Conflicting provider evidence preservation.</w:t>
      </w:r>
    </w:p>
    <w:p>
      <w:pPr>
        <w:pStyle w:val="ListBullet"/>
      </w:pPr>
      <w:r>
        <w:rPr>
          <w:b/>
        </w:rPr>
        <w:t xml:space="preserve">S6-R33: </w:t>
      </w:r>
      <w:r>
        <w:t>Delivery-attempt correlation metadata.</w:t>
      </w:r>
    </w:p>
    <w:p>
      <w:pPr>
        <w:pStyle w:val="ListBullet"/>
      </w:pPr>
      <w:r>
        <w:rPr>
          <w:b/>
        </w:rPr>
        <w:t xml:space="preserve">S6-R34: </w:t>
      </w:r>
      <w:r>
        <w:t>Engagement tracking opt-in design.</w:t>
      </w:r>
    </w:p>
    <w:p>
      <w:pPr>
        <w:pStyle w:val="ListBullet"/>
      </w:pPr>
      <w:r>
        <w:rPr>
          <w:b/>
        </w:rPr>
        <w:t xml:space="preserve">S6-R35: </w:t>
      </w:r>
      <w:r>
        <w:t>Webhook ingestion/processing separation.</w:t>
      </w:r>
    </w:p>
    <w:p>
      <w:pPr>
        <w:pStyle w:val="ListBullet"/>
      </w:pPr>
      <w:r>
        <w:rPr>
          <w:b/>
        </w:rPr>
        <w:t xml:space="preserve">S6-R36: </w:t>
      </w:r>
      <w:r>
        <w:t>Provider-event processing idempotency.</w:t>
      </w:r>
    </w:p>
    <w:p>
      <w:pPr>
        <w:pStyle w:val="ListBullet"/>
      </w:pPr>
      <w:r>
        <w:rPr>
          <w:b/>
        </w:rPr>
        <w:t xml:space="preserve">S6-R37: </w:t>
      </w:r>
      <w:r>
        <w:t>Provider correlation namespace.</w:t>
      </w:r>
    </w:p>
    <w:p>
      <w:pPr>
        <w:pStyle w:val="ListBullet"/>
      </w:pPr>
      <w:r>
        <w:rPr>
          <w:b/>
        </w:rPr>
        <w:t xml:space="preserve">S6-R38: </w:t>
      </w:r>
      <w:r>
        <w:t>Explicit nested transaction policy.</w:t>
      </w:r>
    </w:p>
    <w:p>
      <w:pPr>
        <w:pStyle w:val="ListBullet"/>
      </w:pPr>
      <w:r>
        <w:rPr>
          <w:b/>
        </w:rPr>
        <w:t xml:space="preserve">S6-R39: </w:t>
      </w:r>
      <w:r>
        <w:t>Explicit transactional retry eligibility.</w:t>
      </w:r>
    </w:p>
    <w:p>
      <w:pPr>
        <w:pStyle w:val="ListBullet"/>
      </w:pPr>
      <w:r>
        <w:rPr>
          <w:b/>
        </w:rPr>
        <w:t xml:space="preserve">S6-R40: </w:t>
      </w:r>
      <w:r>
        <w:t>Sensitive return-once idempotency semantics.</w:t>
      </w:r>
    </w:p>
    <w:p>
      <w:pPr>
        <w:pStyle w:val="ListBullet"/>
      </w:pPr>
      <w:r>
        <w:rPr>
          <w:b/>
        </w:rPr>
        <w:t xml:space="preserve">S6-R41: </w:t>
      </w:r>
      <w:r>
        <w:t>Transactional idempotency completion.</w:t>
      </w:r>
    </w:p>
    <w:p>
      <w:pPr>
        <w:pStyle w:val="ListBullet"/>
      </w:pPr>
      <w:r>
        <w:rPr>
          <w:b/>
        </w:rPr>
        <w:t xml:space="preserve">S6-R42: </w:t>
      </w:r>
      <w:r>
        <w:t>Typed audit event catalogue.</w:t>
      </w:r>
    </w:p>
    <w:p>
      <w:pPr>
        <w:pStyle w:val="ListBullet"/>
      </w:pPr>
      <w:r>
        <w:rPr>
          <w:b/>
        </w:rPr>
        <w:t xml:space="preserve">S6-R43: </w:t>
      </w:r>
      <w:r>
        <w:t>Versioned audit canonicalization.</w:t>
      </w:r>
    </w:p>
    <w:p>
      <w:pPr>
        <w:pStyle w:val="ListBullet"/>
      </w:pPr>
      <w:r>
        <w:rPr>
          <w:b/>
        </w:rPr>
        <w:t xml:space="preserve">S6-R44: </w:t>
      </w:r>
      <w:r>
        <w:t>Durable asynchronous intent reconciliation.</w:t>
      </w:r>
    </w:p>
    <w:p>
      <w:pPr>
        <w:pStyle w:val="ListBullet"/>
      </w:pPr>
      <w:r>
        <w:rPr>
          <w:b/>
        </w:rPr>
        <w:t xml:space="preserve">S6-R45: </w:t>
      </w:r>
      <w:r>
        <w:t>No distributed exactly-once assumption.</w:t>
      </w:r>
    </w:p>
    <w:p>
      <w:pPr>
        <w:pStyle w:val="ListBullet"/>
      </w:pPr>
      <w:r>
        <w:rPr>
          <w:b/>
        </w:rPr>
        <w:t xml:space="preserve">S6-R46: </w:t>
      </w:r>
      <w:r>
        <w:t>Idempotency execution lease.</w:t>
      </w:r>
    </w:p>
    <w:p>
      <w:pPr>
        <w:pStyle w:val="ListBullet"/>
      </w:pPr>
      <w:r>
        <w:rPr>
          <w:b/>
        </w:rPr>
        <w:t xml:space="preserve">S6-R47: </w:t>
      </w:r>
      <w:r>
        <w:t>Shared background-job lease model.</w:t>
      </w:r>
    </w:p>
    <w:p>
      <w:pPr>
        <w:pStyle w:val="ListBullet"/>
      </w:pPr>
      <w:r>
        <w:rPr>
          <w:b/>
        </w:rPr>
        <w:t xml:space="preserve">S6-R48: </w:t>
      </w:r>
      <w:r>
        <w:t>Explicit dead-letter handling.</w:t>
      </w:r>
    </w:p>
    <w:p>
      <w:pPr>
        <w:pStyle w:val="ListBullet"/>
      </w:pPr>
      <w:r>
        <w:rPr>
          <w:b/>
        </w:rPr>
        <w:t xml:space="preserve">S6-R49: </w:t>
      </w:r>
      <w:r>
        <w:t>Durable logical job deduplication.</w:t>
      </w:r>
    </w:p>
    <w:p>
      <w:pPr>
        <w:pStyle w:val="ListBullet"/>
      </w:pPr>
      <w:r>
        <w:rPr>
          <w:b/>
        </w:rPr>
        <w:t xml:space="preserve">S6-R50: </w:t>
      </w:r>
      <w:r>
        <w:t>Worker schema compatibility gate.</w:t>
      </w:r>
    </w:p>
    <w:p>
      <w:pPr>
        <w:pStyle w:val="ListBullet"/>
      </w:pPr>
      <w:r>
        <w:rPr>
          <w:b/>
        </w:rPr>
        <w:t xml:space="preserve">S6-R51: </w:t>
      </w:r>
      <w:r>
        <w:t>Versioned job payload contracts.</w:t>
      </w:r>
    </w:p>
    <w:p>
      <w:pPr>
        <w:pStyle w:val="ListBullet"/>
      </w:pPr>
      <w:r>
        <w:rPr>
          <w:b/>
        </w:rPr>
        <w:t xml:space="preserve">S6-R52: </w:t>
      </w:r>
      <w:r>
        <w:t>No executable job serialization.</w:t>
      </w:r>
    </w:p>
    <w:p>
      <w:pPr>
        <w:pStyle w:val="ListBullet"/>
      </w:pPr>
      <w:r>
        <w:rPr>
          <w:b/>
        </w:rPr>
        <w:t xml:space="preserve">S6-R53: </w:t>
      </w:r>
      <w:r>
        <w:t>Explicit sensitive-export purpose.</w:t>
      </w:r>
    </w:p>
    <w:p>
      <w:pPr>
        <w:pStyle w:val="ListBullet"/>
      </w:pPr>
      <w:r>
        <w:rPr>
          <w:b/>
        </w:rPr>
        <w:t xml:space="preserve">S6-R54: </w:t>
      </w:r>
      <w:r>
        <w:t>Explicit export temporal semantics.</w:t>
      </w:r>
    </w:p>
    <w:p>
      <w:pPr>
        <w:pStyle w:val="ListBullet"/>
      </w:pPr>
      <w:r>
        <w:rPr>
          <w:b/>
        </w:rPr>
        <w:t xml:space="preserve">S6-R55: </w:t>
      </w:r>
      <w:r>
        <w:t>Reauthorize sensitive export download.</w:t>
      </w:r>
    </w:p>
    <w:p>
      <w:pPr>
        <w:pStyle w:val="ListBullet"/>
      </w:pPr>
      <w:r>
        <w:rPr>
          <w:b/>
        </w:rPr>
        <w:t xml:space="preserve">S6-R56: </w:t>
      </w:r>
      <w:r>
        <w:t>Bounded export concurrency.</w:t>
      </w:r>
    </w:p>
    <w:p>
      <w:pPr>
        <w:pStyle w:val="ListBullet"/>
      </w:pPr>
      <w:r>
        <w:rPr>
          <w:b/>
        </w:rPr>
        <w:t xml:space="preserve">S6-R57: </w:t>
      </w:r>
      <w:r>
        <w:t>Atomic export artifact publication.</w:t>
      </w:r>
    </w:p>
    <w:p>
      <w:pPr>
        <w:pStyle w:val="ListBullet"/>
      </w:pPr>
      <w:r>
        <w:rPr>
          <w:b/>
        </w:rPr>
        <w:t xml:space="preserve">S6-R58: </w:t>
      </w:r>
      <w:r>
        <w:t>No long-lived export transaction.</w:t>
      </w:r>
    </w:p>
    <w:p>
      <w:pPr>
        <w:pStyle w:val="ListBullet"/>
      </w:pPr>
      <w:r>
        <w:rPr>
          <w:b/>
        </w:rPr>
        <w:t xml:space="preserve">S6-R59: </w:t>
      </w:r>
      <w:r>
        <w:t>Explicit Event Export resource.</w:t>
      </w:r>
    </w:p>
    <w:p>
      <w:pPr>
        <w:pStyle w:val="ListBullet"/>
      </w:pPr>
      <w:r>
        <w:rPr>
          <w:b/>
        </w:rPr>
        <w:t xml:space="preserve">S6-R60: </w:t>
      </w:r>
      <w:r>
        <w:t>Privacy-safe immutable audit strategy.</w:t>
      </w:r>
    </w:p>
    <w:p>
      <w:pPr>
        <w:pStyle w:val="ListBullet"/>
      </w:pPr>
      <w:r>
        <w:rPr>
          <w:b/>
        </w:rPr>
        <w:t xml:space="preserve">S6-R61: </w:t>
      </w:r>
      <w:r>
        <w:t>Retention/legal hold.</w:t>
      </w:r>
    </w:p>
    <w:p>
      <w:pPr>
        <w:pStyle w:val="ListBullet"/>
      </w:pPr>
      <w:r>
        <w:rPr>
          <w:b/>
        </w:rPr>
        <w:t xml:space="preserve">S6-R62: </w:t>
      </w:r>
      <w:r>
        <w:t>Restart-safe privacy orchestration.</w:t>
      </w:r>
    </w:p>
    <w:p>
      <w:pPr>
        <w:pStyle w:val="ListBullet"/>
      </w:pPr>
      <w:r>
        <w:rPr>
          <w:b/>
        </w:rPr>
        <w:t xml:space="preserve">S6-R63: </w:t>
      </w:r>
      <w:r>
        <w:t>Durable privacy tombstone/state marker.</w:t>
      </w:r>
    </w:p>
    <w:p>
      <w:pPr>
        <w:pStyle w:val="ListBullet"/>
      </w:pPr>
      <w:r>
        <w:rPr>
          <w:b/>
        </w:rPr>
        <w:t xml:space="preserve">S6-R64: </w:t>
      </w:r>
      <w:r>
        <w:t>Privacy reconciliation readiness gate.</w:t>
      </w:r>
    </w:p>
    <w:p>
      <w:pPr>
        <w:pStyle w:val="ListBullet"/>
      </w:pPr>
      <w:r>
        <w:rPr>
          <w:b/>
        </w:rPr>
        <w:t xml:space="preserve">S6-R65: </w:t>
      </w:r>
      <w:r>
        <w:t>Privacy action invalidates affected temporary exports.</w:t>
      </w:r>
    </w:p>
    <w:p>
      <w:pPr>
        <w:pStyle w:val="ListBullet"/>
      </w:pPr>
      <w:r>
        <w:rPr>
          <w:b/>
        </w:rPr>
        <w:t xml:space="preserve">S6-R66: </w:t>
      </w:r>
      <w:r>
        <w:t>Versioned privacy/retention policy decisions.</w:t>
      </w:r>
    </w:p>
    <w:p>
      <w:pPr>
        <w:pStyle w:val="ListBullet"/>
      </w:pPr>
      <w:r>
        <w:rPr>
          <w:b/>
        </w:rPr>
        <w:t xml:space="preserve">S6-R67: </w:t>
      </w:r>
      <w:r>
        <w:t>Privacy failure uses forward completion, not PII rollback.</w:t>
      </w:r>
    </w:p>
    <w:p>
      <w:pPr>
        <w:pStyle w:val="ListBullet"/>
      </w:pPr>
      <w:r>
        <w:rPr>
          <w:b/>
        </w:rPr>
        <w:t xml:space="preserve">S6-R68: </w:t>
      </w:r>
      <w:r>
        <w:t>Privacy as explicit resource; routine retention execution non-public.</w:t>
      </w:r>
    </w:p>
    <w:p>
      <w:pPr>
        <w:pStyle w:val="ListBullet"/>
      </w:pPr>
      <w:r>
        <w:rPr>
          <w:b/>
        </w:rPr>
        <w:t xml:space="preserve">S6-R69: </w:t>
      </w:r>
      <w:r>
        <w:t>Typed public error details.</w:t>
      </w:r>
    </w:p>
    <w:p>
      <w:pPr>
        <w:pStyle w:val="ListBullet"/>
      </w:pPr>
      <w:r>
        <w:rPr>
          <w:b/>
        </w:rPr>
        <w:t xml:space="preserve">S6-R70: </w:t>
      </w:r>
      <w:r>
        <w:t>Central observability redaction policy.</w:t>
      </w:r>
    </w:p>
    <w:p>
      <w:pPr>
        <w:pStyle w:val="ListBullet"/>
      </w:pPr>
      <w:r>
        <w:rPr>
          <w:b/>
        </w:rPr>
        <w:t xml:space="preserve">S6-R71: </w:t>
      </w:r>
      <w:r>
        <w:t>Low-cardinality metrics discipline.</w:t>
      </w:r>
    </w:p>
    <w:p>
      <w:pPr>
        <w:pStyle w:val="ListBullet"/>
      </w:pPr>
      <w:r>
        <w:rPr>
          <w:b/>
        </w:rPr>
        <w:t xml:space="preserve">S6-R72: </w:t>
      </w:r>
      <w:r>
        <w:t>Sanitized diagnostic export.</w:t>
      </w:r>
    </w:p>
    <w:p>
      <w:pPr>
        <w:pStyle w:val="ListBullet"/>
      </w:pPr>
      <w:r>
        <w:rPr>
          <w:b/>
        </w:rPr>
        <w:t xml:space="preserve">S6-R73: </w:t>
      </w:r>
      <w:r>
        <w:t>Single authoritative error catalogue.</w:t>
      </w:r>
    </w:p>
    <w:p>
      <w:pPr>
        <w:pStyle w:val="ListBullet"/>
      </w:pPr>
      <w:r>
        <w:rPr>
          <w:b/>
        </w:rPr>
        <w:t xml:space="preserve">S6-R74: </w:t>
      </w:r>
      <w:r>
        <w:t>Cross-domain collaboration through narrow ports.</w:t>
      </w:r>
    </w:p>
    <w:p>
      <w:pPr>
        <w:pStyle w:val="ListBullet"/>
      </w:pPr>
      <w:r>
        <w:rPr>
          <w:b/>
        </w:rPr>
        <w:t xml:space="preserve">S6-R75: </w:t>
      </w:r>
      <w:r>
        <w:t>Optimized read models remain non-authoritative for mutation.</w:t>
      </w:r>
    </w:p>
    <w:p>
      <w:pPr>
        <w:pStyle w:val="Heading1"/>
      </w:pPr>
      <w:r>
        <w:t>6. Integrated Implementation Validation</w:t>
      </w:r>
    </w:p>
    <w:p>
      <w:pPr>
        <w:pStyle w:val="ListBullet"/>
      </w:pPr>
      <w:r>
        <w:rPr>
          <w:b/>
        </w:rPr>
        <w:t xml:space="preserve">IV-001 - Create and activate Event: PASS. </w:t>
      </w:r>
      <w:r>
        <w:t>Event + default configuration + primary owner; readiness; venue snapshot; idempotent creation.</w:t>
      </w:r>
    </w:p>
    <w:p>
      <w:pPr>
        <w:pStyle w:val="ListBullet"/>
      </w:pPr>
      <w:r>
        <w:rPr>
          <w:b/>
        </w:rPr>
        <w:t xml:space="preserve">IV-002 - Invite guest securely: PASS. </w:t>
      </w:r>
      <w:r>
        <w:t>Return-once Invitation token; per-Message guest link; guest session; no raw-token persistence.</w:t>
      </w:r>
    </w:p>
    <w:p>
      <w:pPr>
        <w:pStyle w:val="ListBullet"/>
      </w:pPr>
      <w:r>
        <w:rPr>
          <w:b/>
        </w:rPr>
        <w:t xml:space="preserve">IV-003 - Guest RSVP amendment: PASS. </w:t>
      </w:r>
      <w:r>
        <w:t>Complete-state reconciliation, capacity, response revision, invitation-group sync.</w:t>
      </w:r>
    </w:p>
    <w:p>
      <w:pPr>
        <w:pStyle w:val="ListBullet"/>
      </w:pPr>
      <w:r>
        <w:rPr>
          <w:b/>
        </w:rPr>
        <w:t xml:space="preserve">IV-004 - Concurrent RSVP capacity: PASS. </w:t>
      </w:r>
      <w:r>
        <w:t>Invitation locking prevents capacity overrun.</w:t>
      </w:r>
    </w:p>
    <w:p>
      <w:pPr>
        <w:pStyle w:val="ListBullet"/>
      </w:pPr>
      <w:r>
        <w:rPr>
          <w:b/>
        </w:rPr>
        <w:t xml:space="preserve">IV-005 - Organizer attendee correction: PASS. </w:t>
      </w:r>
      <w:r>
        <w:t>Attendee edit without unintended seating/check-in mutation.</w:t>
      </w:r>
    </w:p>
    <w:p>
      <w:pPr>
        <w:pStyle w:val="ListBullet"/>
      </w:pPr>
      <w:r>
        <w:rPr>
          <w:b/>
        </w:rPr>
        <w:t xml:space="preserve">IV-006 - Seating preparation: PASS. </w:t>
      </w:r>
      <w:r>
        <w:t>Variable tables/seats/groups; readiness and accessibility/capacity checks.</w:t>
      </w:r>
    </w:p>
    <w:p>
      <w:pPr>
        <w:pStyle w:val="ListBullet"/>
      </w:pPr>
      <w:r>
        <w:rPr>
          <w:b/>
        </w:rPr>
        <w:t xml:space="preserve">IV-007 - Recommendation workflow: PASS. </w:t>
      </w:r>
      <w:r>
        <w:t>Snapshot fingerprint; manual change causes stale apply rejection.</w:t>
      </w:r>
    </w:p>
    <w:p>
      <w:pPr>
        <w:pStyle w:val="ListBullet"/>
      </w:pPr>
      <w:r>
        <w:rPr>
          <w:b/>
        </w:rPr>
        <w:t xml:space="preserve">IV-008 - Host manual override: PASS. </w:t>
      </w:r>
      <w:r>
        <w:t>Authorized social-constraint override with reason; non-overrideable accessibility constraint remains blocked.</w:t>
      </w:r>
    </w:p>
    <w:p>
      <w:pPr>
        <w:pStyle w:val="ListBullet"/>
      </w:pPr>
      <w:r>
        <w:rPr>
          <w:b/>
        </w:rPr>
        <w:t xml:space="preserve">IV-009 - Reception event-day flow: PASS. </w:t>
      </w:r>
      <w:r>
        <w:t>Least-privilege search and atomic family/selected bulk check-in.</w:t>
      </w:r>
    </w:p>
    <w:p>
      <w:pPr>
        <w:pStyle w:val="ListBullet"/>
      </w:pPr>
      <w:r>
        <w:rPr>
          <w:b/>
        </w:rPr>
        <w:t xml:space="preserve">IV-010 - Check-in reversal: PASS. </w:t>
      </w:r>
      <w:r>
        <w:t>Elevated authority and reason; immutable reversal.</w:t>
      </w:r>
    </w:p>
    <w:p>
      <w:pPr>
        <w:pStyle w:val="ListBullet"/>
      </w:pPr>
      <w:r>
        <w:rPr>
          <w:b/>
        </w:rPr>
        <w:t xml:space="preserve">IV-011 - Scheduled Campaign: PASS. </w:t>
      </w:r>
      <w:r>
        <w:t>Dynamic execution-time audience; immutable Message freeze; guest-link issuance.</w:t>
      </w:r>
    </w:p>
    <w:p>
      <w:pPr>
        <w:pStyle w:val="ListBullet"/>
      </w:pPr>
      <w:r>
        <w:rPr>
          <w:b/>
        </w:rPr>
        <w:t xml:space="preserve">IV-012 - Provider outage: PASS. </w:t>
      </w:r>
      <w:r>
        <w:t>Circuit breaker/backoff; unrelated RSVP/seating/check-in remain available.</w:t>
      </w:r>
    </w:p>
    <w:p>
      <w:pPr>
        <w:pStyle w:val="ListBullet"/>
      </w:pPr>
      <w:r>
        <w:rPr>
          <w:b/>
        </w:rPr>
        <w:t xml:space="preserve">IV-013 - Provider webhook replay: PASS. </w:t>
      </w:r>
      <w:r>
        <w:t>Authenticated durable capture; PDM-017A dedupe; no duplicate Message transition.</w:t>
      </w:r>
    </w:p>
    <w:p>
      <w:pPr>
        <w:pStyle w:val="ListBullet"/>
      </w:pPr>
      <w:r>
        <w:rPr>
          <w:b/>
        </w:rPr>
        <w:t xml:space="preserve">IV-014 - Ambiguous provider result: PASS. </w:t>
      </w:r>
      <w:r>
        <w:t>No blind resend; bounded reconciliation.</w:t>
      </w:r>
    </w:p>
    <w:p>
      <w:pPr>
        <w:pStyle w:val="ListBullet"/>
      </w:pPr>
      <w:r>
        <w:rPr>
          <w:b/>
        </w:rPr>
        <w:t xml:space="preserve">IV-015 - Large import: PASS. </w:t>
      </w:r>
      <w:r>
        <w:t>Secure parse, dry-run, logical units, worker crash/resume without duplicate domain mutations.</w:t>
      </w:r>
    </w:p>
    <w:p>
      <w:pPr>
        <w:pStyle w:val="ListBullet"/>
      </w:pPr>
      <w:r>
        <w:rPr>
          <w:b/>
        </w:rPr>
        <w:t xml:space="preserve">IV-016 - PII export: PASS. </w:t>
      </w:r>
      <w:r>
        <w:t>Purpose, async protected artifact, download reauthorization, audit, expiry.</w:t>
      </w:r>
    </w:p>
    <w:p>
      <w:pPr>
        <w:pStyle w:val="ListBullet"/>
      </w:pPr>
      <w:r>
        <w:rPr>
          <w:b/>
        </w:rPr>
        <w:t xml:space="preserve">IV-017 - Privacy action: PASS. </w:t>
      </w:r>
      <w:r>
        <w:t>Hold check, credential revocation, PII minimization, export invalidation, tombstone.</w:t>
      </w:r>
    </w:p>
    <w:p>
      <w:pPr>
        <w:pStyle w:val="ListBullet"/>
      </w:pPr>
      <w:r>
        <w:rPr>
          <w:b/>
        </w:rPr>
        <w:t xml:space="preserve">IV-018 - Backup restoration: PASS. </w:t>
      </w:r>
      <w:r>
        <w:t>Readiness block until privacy reconciliation reapplies prior privacy state.</w:t>
      </w:r>
    </w:p>
    <w:p>
      <w:pPr>
        <w:pStyle w:val="ListBullet"/>
      </w:pPr>
      <w:r>
        <w:rPr>
          <w:b/>
        </w:rPr>
        <w:t xml:space="preserve">IV-019 - Scheduler failure: PASS. </w:t>
      </w:r>
      <w:r>
        <w:t>Durable pending work survives scheduler failure and is re-enqueued.</w:t>
      </w:r>
    </w:p>
    <w:p>
      <w:pPr>
        <w:pStyle w:val="ListBullet"/>
      </w:pPr>
      <w:r>
        <w:rPr>
          <w:b/>
        </w:rPr>
        <w:t xml:space="preserve">IV-020 - Archive Event: PASS. </w:t>
      </w:r>
      <w:r>
        <w:t>Writes/check-in denied; reporting allowed; late provider evidence retained; restore to completed only.</w:t>
      </w:r>
    </w:p>
    <w:p>
      <w:pPr>
        <w:pStyle w:val="Heading1"/>
      </w:pPr>
      <w:r>
        <w:t>7. Baseline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89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389"/>
          </w:tcPr>
          <w:p>
            <w:r>
              <w:rPr>
                <w:b/>
              </w:rPr>
              <w:t>Reconciliation</w:t>
            </w:r>
          </w:p>
        </w:tc>
      </w:tr>
      <w:tr>
        <w:tc>
          <w:tcPr>
            <w:tcW w:type="dxa" w:w="3389"/>
          </w:tcPr>
          <w:p>
            <w:r>
              <w:t>Sprint 3 Database</w:t>
            </w:r>
          </w:p>
        </w:tc>
        <w:tc>
          <w:tcPr>
            <w:tcW w:type="dxa" w:w="3389"/>
          </w:tcPr>
          <w:p>
            <w:r>
              <w:t>PASS WITH CONTROLLED EXTENSIONS</w:t>
            </w:r>
          </w:p>
        </w:tc>
        <w:tc>
          <w:tcPr>
            <w:tcW w:type="dxa" w:w="3389"/>
          </w:tcPr>
          <w:p>
            <w:r>
              <w:t>Core physical model remains frozen. New support entities/metadata are introduced only through future versioned migrations.</w:t>
            </w:r>
          </w:p>
        </w:tc>
      </w:tr>
      <w:tr>
        <w:tc>
          <w:tcPr>
            <w:tcW w:type="dxa" w:w="3389"/>
          </w:tcPr>
          <w:p>
            <w:r>
              <w:t>Sprint 4 API</w:t>
            </w:r>
          </w:p>
        </w:tc>
        <w:tc>
          <w:tcPr>
            <w:tcW w:type="dxa" w:w="3389"/>
          </w:tcPr>
          <w:p>
            <w:r>
              <w:t>PASS WITH CONTROLLED ADDITIONS</w:t>
            </w:r>
          </w:p>
        </w:tc>
        <w:tc>
          <w:tcPr>
            <w:tcW w:type="dxa" w:w="3389"/>
          </w:tcPr>
          <w:p>
            <w:r>
              <w:t>Existing v1 endpoints remain compatible. Export, PrivacyAction/RetentionHold, import recovery/status and privileged diagnostics may extend the catalogue.</w:t>
            </w:r>
          </w:p>
        </w:tc>
      </w:tr>
      <w:tr>
        <w:tc>
          <w:tcPr>
            <w:tcW w:type="dxa" w:w="3389"/>
          </w:tcPr>
          <w:p>
            <w:r>
              <w:t>Sprint 4 Error Catalogue</w:t>
            </w:r>
          </w:p>
        </w:tc>
        <w:tc>
          <w:tcPr>
            <w:tcW w:type="dxa" w:w="3389"/>
          </w:tcPr>
          <w:p>
            <w:r>
              <w:t>PASS WITH CONTROLLED ADDITIONS</w:t>
            </w:r>
          </w:p>
        </w:tc>
        <w:tc>
          <w:tcPr>
            <w:tcW w:type="dxa" w:w="3389"/>
          </w:tcPr>
          <w:p>
            <w:r>
              <w:t>Remains authoritative; Sprint 6 examples must be normalized/deduplicated before implementation.</w:t>
            </w:r>
          </w:p>
        </w:tc>
      </w:tr>
      <w:tr>
        <w:tc>
          <w:tcPr>
            <w:tcW w:type="dxa" w:w="3389"/>
          </w:tcPr>
          <w:p>
            <w:r>
              <w:t>Sprint 5 Security</w:t>
            </w:r>
          </w:p>
        </w:tc>
        <w:tc>
          <w:tcPr>
            <w:tcW w:type="dxa" w:w="3389"/>
          </w:tcPr>
          <w:p>
            <w:r>
              <w:t>PASS</w:t>
            </w:r>
          </w:p>
        </w:tc>
        <w:tc>
          <w:tcPr>
            <w:tcW w:type="dxa" w:w="3389"/>
          </w:tcPr>
          <w:p>
            <w:r>
              <w:t>No Sprint 6 decision weakens the accepted security baseline; implementation contracts realize its controls.</w:t>
            </w:r>
          </w:p>
        </w:tc>
      </w:tr>
      <w:tr>
        <w:tc>
          <w:tcPr>
            <w:tcW w:type="dxa" w:w="3389"/>
          </w:tcPr>
          <w:p>
            <w:r>
              <w:t>Authorization</w:t>
            </w:r>
          </w:p>
        </w:tc>
        <w:tc>
          <w:tcPr>
            <w:tcW w:type="dxa" w:w="3389"/>
          </w:tcPr>
          <w:p>
            <w:r>
              <w:t>PASS</w:t>
            </w:r>
          </w:p>
        </w:tc>
        <w:tc>
          <w:tcPr>
            <w:tcW w:type="dxa" w:w="3389"/>
          </w:tcPr>
          <w:p>
            <w:r>
              <w:t>PrincipalContext + current Event membership/global capability + lifecycle + resource policy + operation policy.</w:t>
            </w:r>
          </w:p>
        </w:tc>
      </w:tr>
      <w:tr>
        <w:tc>
          <w:tcPr>
            <w:tcW w:type="dxa" w:w="3389"/>
          </w:tcPr>
          <w:p>
            <w:r>
              <w:t>Transactions</w:t>
            </w:r>
          </w:p>
        </w:tc>
        <w:tc>
          <w:tcPr>
            <w:tcW w:type="dxa" w:w="3389"/>
          </w:tcPr>
          <w:p>
            <w:r>
              <w:t>PASS</w:t>
            </w:r>
          </w:p>
        </w:tc>
        <w:tc>
          <w:tcPr>
            <w:tcW w:type="dxa" w:w="3389"/>
          </w:tcPr>
          <w:p>
            <w:r>
              <w:t>Application-service ownership, no external side effects inside DB transactions, explicit retry eligibility.</w:t>
            </w:r>
          </w:p>
        </w:tc>
      </w:tr>
      <w:tr>
        <w:tc>
          <w:tcPr>
            <w:tcW w:type="dxa" w:w="3389"/>
          </w:tcPr>
          <w:p>
            <w:r>
              <w:t>Audit</w:t>
            </w:r>
          </w:p>
        </w:tc>
        <w:tc>
          <w:tcPr>
            <w:tcW w:type="dxa" w:w="3389"/>
          </w:tcPr>
          <w:p>
            <w:r>
              <w:t>PASS</w:t>
            </w:r>
          </w:p>
        </w:tc>
        <w:tc>
          <w:tcPr>
            <w:tcW w:type="dxa" w:w="3389"/>
          </w:tcPr>
          <w:p>
            <w:r>
              <w:t>Required audit atomically protects material mutations; typed payloads and tamper-evident versioned chains.</w:t>
            </w:r>
          </w:p>
        </w:tc>
      </w:tr>
      <w:tr>
        <w:tc>
          <w:tcPr>
            <w:tcW w:type="dxa" w:w="3389"/>
          </w:tcPr>
          <w:p>
            <w:r>
              <w:t>Jobs</w:t>
            </w:r>
          </w:p>
        </w:tc>
        <w:tc>
          <w:tcPr>
            <w:tcW w:type="dxa" w:w="3389"/>
          </w:tcPr>
          <w:p>
            <w:r>
              <w:t>PASS</w:t>
            </w:r>
          </w:p>
        </w:tc>
        <w:tc>
          <w:tcPr>
            <w:tcW w:type="dxa" w:w="3389"/>
          </w:tcPr>
          <w:p>
            <w:r>
              <w:t>Durable typed at-least-once jobs with leases, dedupe, bounded retry, dead-letter and reconciliation.</w:t>
            </w:r>
          </w:p>
        </w:tc>
      </w:tr>
      <w:tr>
        <w:tc>
          <w:tcPr>
            <w:tcW w:type="dxa" w:w="3389"/>
          </w:tcPr>
          <w:p>
            <w:r>
              <w:t>Privacy/Recovery</w:t>
            </w:r>
          </w:p>
        </w:tc>
        <w:tc>
          <w:tcPr>
            <w:tcW w:type="dxa" w:w="3389"/>
          </w:tcPr>
          <w:p>
            <w:r>
              <w:t>PASS</w:t>
            </w:r>
          </w:p>
        </w:tc>
        <w:tc>
          <w:tcPr>
            <w:tcW w:type="dxa" w:w="3389"/>
          </w:tcPr>
          <w:p>
            <w:r>
              <w:t>Archive/uninstall/user deletion are not purge; privacy tombstones and post-restore readiness reconciliation required.</w:t>
            </w:r>
          </w:p>
        </w:tc>
      </w:tr>
      <w:tr>
        <w:tc>
          <w:tcPr>
            <w:tcW w:type="dxa" w:w="3389"/>
          </w:tcPr>
          <w:p>
            <w:r>
              <w:t>Dependency graph</w:t>
            </w:r>
          </w:p>
        </w:tc>
        <w:tc>
          <w:tcPr>
            <w:tcW w:type="dxa" w:w="3389"/>
          </w:tcPr>
          <w:p>
            <w:r>
              <w:t>PASS</w:t>
            </w:r>
          </w:p>
        </w:tc>
        <w:tc>
          <w:tcPr>
            <w:tcW w:type="dxa" w:w="3389"/>
          </w:tcPr>
          <w:p>
            <w:r>
              <w:t>Potential cycles resolved through narrow ports/orchestrators; optimized projections remain read-only.</w:t>
            </w:r>
          </w:p>
        </w:tc>
      </w:tr>
    </w:tbl>
    <w:p>
      <w:pPr>
        <w:pStyle w:val="Heading1"/>
      </w:pPr>
      <w:r>
        <w:t>8. Controlled Extension Register</w:t>
      </w:r>
    </w:p>
    <w:p>
      <w:r>
        <w:t>The following are forward implementation candidates. They must be introduced through reviewed versioned migrations or controlled catalogue/API updates; the frozen Sprint 3-5 baselines are not edited retroactively.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Extension family</w:t>
            </w:r>
          </w:p>
        </w:tc>
        <w:tc>
          <w:tcPr>
            <w:tcW w:type="dxa" w:w="3389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3389"/>
          </w:tcPr>
          <w:p>
            <w:r>
              <w:t>Database</w:t>
            </w:r>
          </w:p>
        </w:tc>
        <w:tc>
          <w:tcPr>
            <w:tcW w:type="dxa" w:w="3389"/>
          </w:tcPr>
          <w:p>
            <w:r>
              <w:t>Guest session/link, RSVP revision, durable Jobs/idempotency, recommendation/check-in metadata, Export/Privacy/Audit-integrity support</w:t>
            </w:r>
          </w:p>
        </w:tc>
        <w:tc>
          <w:tcPr>
            <w:tcW w:type="dxa" w:w="3389"/>
          </w:tcPr>
          <w:p>
            <w:r>
              <w:t>Versioned migrations after schema design review.</w:t>
            </w:r>
          </w:p>
        </w:tc>
      </w:tr>
      <w:tr>
        <w:tc>
          <w:tcPr>
            <w:tcW w:type="dxa" w:w="3389"/>
          </w:tcPr>
          <w:p>
            <w:r>
              <w:t>API</w:t>
            </w:r>
          </w:p>
        </w:tc>
        <w:tc>
          <w:tcPr>
            <w:tcW w:type="dxa" w:w="3389"/>
          </w:tcPr>
          <w:p>
            <w:r>
              <w:t>Export, PrivacyAction/RetentionHold, selected import recovery and sanitized diagnostics/status resources</w:t>
            </w:r>
          </w:p>
        </w:tc>
        <w:tc>
          <w:tcPr>
            <w:tcW w:type="dxa" w:w="3389"/>
          </w:tcPr>
          <w:p>
            <w:r>
              <w:t>Controlled additions to Sprint 4 endpoint catalogue; no breaking route rewrite.</w:t>
            </w:r>
          </w:p>
        </w:tc>
      </w:tr>
      <w:tr>
        <w:tc>
          <w:tcPr>
            <w:tcW w:type="dxa" w:w="3389"/>
          </w:tcPr>
          <w:p>
            <w:r>
              <w:t>Error/Audit/Capability catalogues</w:t>
            </w:r>
          </w:p>
        </w:tc>
        <w:tc>
          <w:tcPr>
            <w:tcW w:type="dxa" w:w="3389"/>
          </w:tcPr>
          <w:p>
            <w:r>
              <w:t>Normalize Sprint 6 codes/actions/capabilities into the existing authoritative Sprint 4/Sprint 5 catalogues</w:t>
            </w:r>
          </w:p>
        </w:tc>
        <w:tc>
          <w:tcPr>
            <w:tcW w:type="dxa" w:w="3389"/>
          </w:tcPr>
          <w:p>
            <w:r>
              <w:t>Deduplicate terminology before code implementation.</w:t>
            </w:r>
          </w:p>
        </w:tc>
      </w:tr>
    </w:tbl>
    <w:p>
      <w:pPr>
        <w:pStyle w:val="Heading1"/>
      </w:pPr>
      <w:r>
        <w:t>9. Implementation Gate</w:t>
      </w:r>
    </w:p>
    <w:p>
      <w:r>
        <w:t>SVC-001 through SVC-016 are 16/16 design PASS; IV-001 through IV-020 are 20/20 design PASS; Sprint 3 database reconciliation is PASS with controlled migrations identified; Sprint 4 API reconciliation is PASS with controlled additions identified; Sprint 5 security reconciliation is PASS; blocking contradictions are NONE. EF-DOC-008 v1.0 is the approved Sprint 6 Application Services &amp; Domain Implementation Design baseline. Production implementation may now proceed from this baseline, subject to controlled migrations/catalogue additions identified in this package. Implementation must execute the defined integration/security tests; a design PASS is an acceptance contract, not evidence that code has already passed runtime tests. Any later change to this baseline must be introduced through a controlled architecture decision and document revision.</w:t>
      </w:r>
    </w:p>
    <w:p>
      <w:r>
        <w:t>Design validation defines implementation acceptance contracts; it does not claim that runtime code already exists or has passed implementation tests.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EF-DOC-008 | EventFlow Sprint 6 | v1.0 Approved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