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EVENTFLOW</w:t>
      </w:r>
    </w:p>
    <w:p>
      <w:pPr>
        <w:pStyle w:val="Subtitle"/>
        <w:jc w:val="center"/>
      </w:pPr>
      <w:r>
        <w:t>EF-DOC-000</w:t>
      </w:r>
    </w:p>
    <w:p>
      <w:pPr>
        <w:pStyle w:val="Title"/>
        <w:jc w:val="center"/>
      </w:pPr>
      <w:r>
        <w:t>EventFlow Constitution</w:t>
      </w:r>
    </w:p>
    <w:p>
      <w:pPr>
        <w:jc w:val="center"/>
      </w:pPr>
      <w:r>
        <w:t>Version 1.0 | Approved Baseline</w:t>
      </w:r>
    </w:p>
    <w:p>
      <w:pPr>
        <w:jc w:val="center"/>
      </w:pPr>
      <w:r>
        <w:rPr>
          <w:i/>
        </w:rPr>
        <w:br/>
        <w:t>Every Guest Matters. Every Event Flows.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939"/>
          </w:tcPr>
          <w:p>
            <w:r>
              <w:t>EF-DOC-000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939"/>
          </w:tcPr>
          <w:p>
            <w:r>
              <w:t>EventFlow Constitution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39"/>
          </w:tcPr>
          <w:p>
            <w:r>
              <w:t>1.0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39"/>
          </w:tcPr>
          <w:p>
            <w:r>
              <w:t>Approved Baseline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39"/>
          </w:tcPr>
          <w:p>
            <w:r>
              <w:t>EventFlow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939"/>
          </w:tcPr>
          <w:p>
            <w:r>
              <w:t>Product Owner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Technical Owner</w:t>
            </w:r>
          </w:p>
        </w:tc>
        <w:tc>
          <w:tcPr>
            <w:tcW w:type="dxa" w:w="4939"/>
          </w:tcPr>
          <w:p>
            <w:r>
              <w:t>Solution Architect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Created</w:t>
            </w:r>
          </w:p>
        </w:tc>
        <w:tc>
          <w:tcPr>
            <w:tcW w:type="dxa" w:w="4939"/>
          </w:tcPr>
          <w:p>
            <w:r>
              <w:t>2026-08-06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939"/>
          </w:tcPr>
          <w:p>
            <w:r>
              <w:t>2026-08-06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939"/>
          </w:tcPr>
          <w:p>
            <w:r>
              <w:t>Internal Product Governance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Related Documents</w:t>
            </w:r>
          </w:p>
        </w:tc>
        <w:tc>
          <w:tcPr>
            <w:tcW w:type="dxa" w:w="4939"/>
          </w:tcPr>
          <w:p>
            <w:r>
              <w:t>EF-DOC-001, EF-DOC-002, EF-DOC-003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6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6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69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2469"/>
          </w:tcPr>
          <w:p>
            <w:r>
              <w:t>0.1</w:t>
            </w:r>
          </w:p>
        </w:tc>
        <w:tc>
          <w:tcPr>
            <w:tcW w:type="dxa" w:w="2469"/>
          </w:tcPr>
          <w:p>
            <w:r>
              <w:t>2026-08-06</w:t>
            </w:r>
          </w:p>
        </w:tc>
        <w:tc>
          <w:tcPr>
            <w:tcW w:type="dxa" w:w="2469"/>
          </w:tcPr>
          <w:p>
            <w:r>
              <w:t>Draft</w:t>
            </w:r>
          </w:p>
        </w:tc>
        <w:tc>
          <w:tcPr>
            <w:tcW w:type="dxa" w:w="2469"/>
          </w:tcPr>
          <w:p>
            <w:r>
              <w:t>Initial constitutional principles.</w:t>
            </w:r>
          </w:p>
        </w:tc>
      </w:tr>
      <w:tr>
        <w:tc>
          <w:tcPr>
            <w:tcW w:type="dxa" w:w="2469"/>
          </w:tcPr>
          <w:p>
            <w:r>
              <w:t>0.2</w:t>
            </w:r>
          </w:p>
        </w:tc>
        <w:tc>
          <w:tcPr>
            <w:tcW w:type="dxa" w:w="2469"/>
          </w:tcPr>
          <w:p>
            <w:r>
              <w:t>2026-08-06</w:t>
            </w:r>
          </w:p>
        </w:tc>
        <w:tc>
          <w:tcPr>
            <w:tcW w:type="dxa" w:w="2469"/>
          </w:tcPr>
          <w:p>
            <w:r>
              <w:t>Draft for Review</w:t>
            </w:r>
          </w:p>
        </w:tc>
        <w:tc>
          <w:tcPr>
            <w:tcW w:type="dxa" w:w="2469"/>
          </w:tcPr>
          <w:p>
            <w:r>
              <w:t>Expanded governance, scalability, security, and release rules.</w:t>
            </w:r>
          </w:p>
        </w:tc>
      </w:tr>
      <w:tr>
        <w:tc>
          <w:tcPr>
            <w:tcW w:type="dxa" w:w="2469"/>
          </w:tcPr>
          <w:p>
            <w:r>
              <w:t>1.0</w:t>
            </w:r>
          </w:p>
        </w:tc>
        <w:tc>
          <w:tcPr>
            <w:tcW w:type="dxa" w:w="2469"/>
          </w:tcPr>
          <w:p>
            <w:r>
              <w:t>2026-08-06</w:t>
            </w:r>
          </w:p>
        </w:tc>
        <w:tc>
          <w:tcPr>
            <w:tcW w:type="dxa" w:w="2469"/>
          </w:tcPr>
          <w:p>
            <w:r>
              <w:t>Approved Baseline</w:t>
            </w:r>
          </w:p>
        </w:tc>
        <w:tc>
          <w:tcPr>
            <w:tcW w:type="dxa" w:w="2469"/>
          </w:tcPr>
          <w:p>
            <w:r>
              <w:t>Sprint 1 governance baseline approved for EventFlow development.</w:t>
            </w:r>
          </w:p>
        </w:tc>
      </w:tr>
    </w:tbl>
    <w:p>
      <w:pPr>
        <w:pStyle w:val="Heading1"/>
      </w:pPr>
      <w:r>
        <w:t>Approval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293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3293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293"/>
          </w:tcPr>
          <w:p>
            <w:r>
              <w:t>Product Owner</w:t>
            </w:r>
          </w:p>
        </w:tc>
        <w:tc>
          <w:tcPr>
            <w:tcW w:type="dxa" w:w="3293"/>
          </w:tcPr>
          <w:p>
            <w:r>
              <w:t>Approved Baseline</w:t>
            </w:r>
          </w:p>
        </w:tc>
        <w:tc>
          <w:tcPr>
            <w:tcW w:type="dxa" w:w="3293"/>
          </w:tcPr>
          <w:p>
            <w:r>
              <w:t>2026-08-06</w:t>
            </w:r>
          </w:p>
        </w:tc>
      </w:tr>
      <w:tr>
        <w:tc>
          <w:tcPr>
            <w:tcW w:type="dxa" w:w="3293"/>
          </w:tcPr>
          <w:p>
            <w:r>
              <w:t>Solution Architect</w:t>
            </w:r>
          </w:p>
        </w:tc>
        <w:tc>
          <w:tcPr>
            <w:tcW w:type="dxa" w:w="3293"/>
          </w:tcPr>
          <w:p>
            <w:r>
              <w:t>Reviewed and Baseline Prepared</w:t>
            </w:r>
          </w:p>
        </w:tc>
        <w:tc>
          <w:tcPr>
            <w:tcW w:type="dxa" w:w="3293"/>
          </w:tcPr>
          <w:p>
            <w:r>
              <w:t>2026-08-06</w:t>
            </w:r>
          </w:p>
        </w:tc>
      </w:tr>
    </w:tbl>
    <w:p>
      <w:pPr>
        <w:pStyle w:val="Heading1"/>
      </w:pPr>
      <w:r>
        <w:t>## Preamble</w:t>
      </w:r>
    </w:p>
    <w:p>
      <w:r>
        <w:t>EventFlow is a professional Event Operations Platform intended to manage the complete operational lifecycle of events, from event configuration and invitations through attendee management, communications, seating, reception, check-in, reporting, and future extensions.</w:t>
      </w:r>
    </w:p>
    <w:p>
      <w:r>
        <w:t>This Constitution defines the highest-level product and engineering rules governing EventFlow. Lower-level requirements, architecture, database design, interfaces, implementation, testing, operations, and documentation must conform to it unless a formal amendment is approved and recorded.</w:t>
      </w:r>
    </w:p>
    <w:p>
      <w:pPr>
        <w:pStyle w:val="Heading1"/>
      </w:pPr>
      <w:r>
        <w:t>Article I - Product Identity and Purpose</w:t>
      </w:r>
    </w:p>
    <w:p>
      <w:r>
        <w:t>1. EventFlow shall be developed as a reusable Event Operations Platform, not as a single-event website, RSVP form, invitation plugin, or event-specific codebase.</w:t>
      </w:r>
    </w:p>
    <w:p>
      <w:r>
        <w:t>2. EventFlow shall support multiple event categories through configuration and extension rather than event-specific source-code changes.</w:t>
      </w:r>
    </w:p>
    <w:p>
      <w:r>
        <w:t>3. The Lui @ 60 implementation is the first production reference implementation and proving ground, but shall not constrain the long-term product architecture.</w:t>
      </w:r>
    </w:p>
    <w:p>
      <w:r>
        <w:t xml:space="preserve">4. Product motto: </w:t>
      </w:r>
      <w:r>
        <w:rPr>
          <w:b/>
        </w:rPr>
        <w:t>Every Guest Matters. Every Event Flows.</w:t>
      </w:r>
      <w:r/>
    </w:p>
    <w:p>
      <w:pPr>
        <w:pStyle w:val="Heading1"/>
      </w:pPr>
      <w:r>
        <w:t>Article II - Event-Centric Domain Model</w:t>
      </w:r>
    </w:p>
    <w:p>
      <w:r>
        <w:t>1. The Event is the root business entity.</w:t>
      </w:r>
    </w:p>
    <w:p>
      <w:r>
        <w:t>2. Invitations, attendees, communications, seating, check-ins, reports, audit records, and event-scoped settings belong to an Event.</w:t>
      </w:r>
    </w:p>
    <w:p>
      <w:r>
        <w:t>3. Event ownership shall be explicit in the data model to support future multi-event operation without fundamental redesign.</w:t>
      </w:r>
    </w:p>
    <w:p>
      <w:pPr>
        <w:pStyle w:val="Heading1"/>
      </w:pPr>
      <w:r>
        <w:t>Article III - Invitations and Attendees</w:t>
      </w:r>
    </w:p>
    <w:p>
      <w:r>
        <w:t>1. An Invitation represents the organizer's invitation relationship with a primary guest or invitee group.</w:t>
      </w:r>
    </w:p>
    <w:p>
      <w:r>
        <w:t>2. An Invitation may authorize one or more attendee places.</w:t>
      </w:r>
    </w:p>
    <w:p>
      <w:r>
        <w:t>3. The primary guest and confirmed companions shall become Attendee records when individual identity is operationally relevant.</w:t>
      </w:r>
    </w:p>
    <w:p>
      <w:r>
        <w:t>4. Invitation-level and attendee-level responsibilities shall remain distinct.</w:t>
      </w:r>
    </w:p>
    <w:p>
      <w:pPr>
        <w:pStyle w:val="Heading1"/>
      </w:pPr>
      <w:r>
        <w:t>Article IV - Configuration Over Hard-Coding</w:t>
      </w:r>
    </w:p>
    <w:p>
      <w:r>
        <w:t>1. Event-specific information shall be stored as data or configuration, not embedded in source code.</w:t>
      </w:r>
    </w:p>
    <w:p>
      <w:r>
        <w:t>2. This includes event name, venue, schedules, branding, invitation artwork, wording, deadlines, communication templates, and integration settings.</w:t>
      </w:r>
    </w:p>
    <w:p>
      <w:r>
        <w:t>3. A new event should normally require configuration and data import, not source-code modification.</w:t>
      </w:r>
    </w:p>
    <w:p>
      <w:pPr>
        <w:pStyle w:val="Heading1"/>
      </w:pPr>
      <w:r>
        <w:t>Article V - Single Source of Truth</w:t>
      </w:r>
    </w:p>
    <w:p>
      <w:r>
        <w:t>1. Every business fact shall have a defined authoritative owner.</w:t>
      </w:r>
    </w:p>
    <w:p>
      <w:r>
        <w:t>2. Dashboards, caches, exports, and reports may reproduce data for performance or presentation, but shall not become conflicting sources of truth.</w:t>
      </w:r>
    </w:p>
    <w:p>
      <w:r>
        <w:t>3. Data ownership shall be documented in the Database Design Specification.</w:t>
      </w:r>
    </w:p>
    <w:p>
      <w:pPr>
        <w:pStyle w:val="Heading1"/>
      </w:pPr>
      <w:r>
        <w:t>Article VI - Modular Architecture</w:t>
      </w:r>
    </w:p>
    <w:p>
      <w:r>
        <w:t>1. EventFlow shall be modular with clearly defined responsibilities, interfaces, and dependencies.</w:t>
      </w:r>
    </w:p>
    <w:p>
      <w:r>
        <w:t>2. Shared capabilities shall be implemented as reusable services rather than duplicated logic.</w:t>
      </w:r>
    </w:p>
    <w:p>
      <w:r>
        <w:t>3. Modules shall not silently take ownership of another module's business rules.</w:t>
      </w:r>
    </w:p>
    <w:p>
      <w:pPr>
        <w:pStyle w:val="Heading1"/>
      </w:pPr>
      <w:r>
        <w:t>Article VII - Security, Privacy, and Least Privilege</w:t>
      </w:r>
    </w:p>
    <w:p>
      <w:r>
        <w:t>1. Security and privacy are product requirements.</w:t>
      </w:r>
    </w:p>
    <w:p>
      <w:r>
        <w:t>2. Administrative operations shall use authorization, capability checks, and anti-CSRF protections where applicable.</w:t>
      </w:r>
    </w:p>
    <w:p>
      <w:r>
        <w:t>3. External input shall be validated and normalized; rendered output shall be appropriately escaped.</w:t>
      </w:r>
    </w:p>
    <w:p>
      <w:r>
        <w:t>4. Credentials shall not be committed to source control or exposed to guests.</w:t>
      </w:r>
    </w:p>
    <w:p>
      <w:r>
        <w:t>5. Invitation links shall use high-entropy, non-guessable tokens or an equivalent secure mechanism.</w:t>
      </w:r>
    </w:p>
    <w:p>
      <w:r>
        <w:t>6. Sensitive operations shall be auditable.</w:t>
      </w:r>
    </w:p>
    <w:p>
      <w:pPr>
        <w:pStyle w:val="Heading1"/>
      </w:pPr>
      <w:r>
        <w:t>Article VIII - Mobile-First and Accessible Experience</w:t>
      </w:r>
    </w:p>
    <w:p>
      <w:r>
        <w:t>1. Guest-facing experiences shall be designed mobile-first.</w:t>
      </w:r>
    </w:p>
    <w:p>
      <w:r>
        <w:t>2. Administrative interfaces shall remain responsive and operationally efficient.</w:t>
      </w:r>
    </w:p>
    <w:p>
      <w:r>
        <w:t>3. Public interfaces shall follow WCAG-informed practices including keyboard usability, semantic structure, readable contrast, labels, and accessible forms.</w:t>
      </w:r>
    </w:p>
    <w:p>
      <w:pPr>
        <w:pStyle w:val="Heading1"/>
      </w:pPr>
      <w:r>
        <w:t>Article IX - Scalability, Capacity, and Performance</w:t>
      </w:r>
    </w:p>
    <w:p>
      <w:r>
        <w:t>1. Core entity relationships and module boundaries shall support growth from small events to events with several thousand attendees without fundamental redesign.</w:t>
      </w:r>
    </w:p>
    <w:p>
      <w:r>
        <w:t>2. Measurable capacity targets shall be defined in the PRD and Architecture documents.</w:t>
      </w:r>
    </w:p>
    <w:p>
      <w:r>
        <w:t>3. Bulk operations shall support batching, idempotency, retryability, and failure isolation where applicable.</w:t>
      </w:r>
    </w:p>
    <w:p>
      <w:r>
        <w:t>4. Growing datasets shall use indexed, bounded, and paginated access patterns.</w:t>
      </w:r>
    </w:p>
    <w:p>
      <w:r>
        <w:t>5. Expensive operations should move to asynchronous execution when scale justifies it.</w:t>
      </w:r>
    </w:p>
    <w:p>
      <w:pPr>
        <w:pStyle w:val="Heading1"/>
      </w:pPr>
      <w:r>
        <w:t>Article X - Reliability and Operational Resilience</w:t>
      </w:r>
    </w:p>
    <w:p>
      <w:r>
        <w:t>1. Event-day reliability takes precedence over novelty.</w:t>
      </w:r>
    </w:p>
    <w:p>
      <w:r>
        <w:t>2. Critical workflows shall degrade gracefully when external integrations are unavailable.</w:t>
      </w:r>
    </w:p>
    <w:p>
      <w:r>
        <w:t>3. External providers shall not become single points of failure for unrelated core operations.</w:t>
      </w:r>
    </w:p>
    <w:p>
      <w:r>
        <w:t>4. Backups, migration safety, and rollback mechanisms are release requirements.</w:t>
      </w:r>
    </w:p>
    <w:p>
      <w:pPr>
        <w:pStyle w:val="Heading1"/>
      </w:pPr>
      <w:r>
        <w:t>Article XI - Auditability and Observability</w:t>
      </w:r>
    </w:p>
    <w:p>
      <w:r>
        <w:t>1. Material actions should be attributable to an actor, timestamp, event, action, and affected object.</w:t>
      </w:r>
    </w:p>
    <w:p>
      <w:r>
        <w:t>2. Operational logs and audit logs serve different purposes.</w:t>
      </w:r>
    </w:p>
    <w:p>
      <w:r>
        <w:t>3. Logging shall avoid unnecessary secrets or personal data.</w:t>
      </w:r>
    </w:p>
    <w:p>
      <w:pPr>
        <w:pStyle w:val="Heading1"/>
      </w:pPr>
      <w:r>
        <w:t>Article XII - Documentation as a Product Deliverable</w:t>
      </w:r>
    </w:p>
    <w:p>
      <w:r>
        <w:t>1. Documentation is part of EventFlow.</w:t>
      </w:r>
    </w:p>
    <w:p>
      <w:r>
        <w:t>2. A release is incomplete until applicable controlled documentation is current.</w:t>
      </w:r>
    </w:p>
    <w:p>
      <w:r>
        <w:t>3. Accepted ADRs shall not be silently rewritten; changes are recorded through new ADRs that supersede prior decisions.</w:t>
      </w:r>
    </w:p>
    <w:p>
      <w:r>
        <w:t>4. Versioned documentation packages shall be archived at defined milestones.</w:t>
      </w:r>
    </w:p>
    <w:p>
      <w:pPr>
        <w:pStyle w:val="Heading1"/>
      </w:pPr>
      <w:r>
        <w:t>Article XIII - Requirements and Decision Gates</w:t>
      </w:r>
    </w:p>
    <w:p>
      <w:r>
        <w:t>Before material implementation, the team shall determine whether the work:</w:t>
      </w:r>
    </w:p>
    <w:p>
      <w:r>
        <w:t>1. is covered by the PRD;</w:t>
      </w:r>
    </w:p>
    <w:p>
      <w:r>
        <w:t>2. requires a new or superseding ADR;</w:t>
      </w:r>
    </w:p>
    <w:p>
      <w:r>
        <w:t>3. changes the database, integration contracts, security posture, capacity assumptions, or UX standards;</w:t>
      </w:r>
    </w:p>
    <w:p>
      <w:r>
        <w:t>4. requires controlled document updates;</w:t>
      </w:r>
    </w:p>
    <w:p>
      <w:r>
        <w:t>5. has acceptance criteria and tests.</w:t>
      </w:r>
    </w:p>
    <w:p>
      <w:pPr>
        <w:pStyle w:val="Heading1"/>
      </w:pPr>
      <w:r>
        <w:t>Article XIV - Versioning and Backward Compatibility</w:t>
      </w:r>
    </w:p>
    <w:p>
      <w:r>
        <w:t>1. EventFlow shall use semantic versioning unless superseded by an ADR.</w:t>
      </w:r>
    </w:p>
    <w:p>
      <w:r>
        <w:t>2. Breaking changes shall be intentional, documented, migration-aware, and appropriately versioned.</w:t>
      </w:r>
    </w:p>
    <w:p>
      <w:r>
        <w:t>3. Existing event data shall be preserved through upgrades whenever practical.</w:t>
      </w:r>
    </w:p>
    <w:p>
      <w:r>
        <w:t>4. Database changes shall use controlled migrations.</w:t>
      </w:r>
    </w:p>
    <w:p>
      <w:pPr>
        <w:pStyle w:val="Heading1"/>
      </w:pPr>
      <w:r>
        <w:t>Article XV - Engineering Quality</w:t>
      </w:r>
    </w:p>
    <w:p>
      <w:r>
        <w:t>1. Code shall favor clarity, maintainability, testability, and predictable behavior over cleverness.</w:t>
      </w:r>
    </w:p>
    <w:p>
      <w:r>
        <w:t>2. Unnecessary dependencies shall be avoided.</w:t>
      </w:r>
    </w:p>
    <w:p>
      <w:r>
        <w:t>3. Shared logic shall be reused rather than copied.</w:t>
      </w:r>
    </w:p>
    <w:p>
      <w:r>
        <w:t>4. Technical debt may be accepted consciously but shall be documented when material.</w:t>
      </w:r>
    </w:p>
    <w:p>
      <w:pPr>
        <w:pStyle w:val="Heading1"/>
      </w:pPr>
      <w:r>
        <w:t>Article XVI - Product Governance and Roles</w:t>
      </w:r>
    </w:p>
    <w:p>
      <w:r>
        <w:t>1. The Product Owner owns business priorities, product direction, and acceptance.</w:t>
      </w:r>
    </w:p>
    <w:p>
      <w:r>
        <w:t>2. The Solution Architect owns architectural integrity, technical trade-off analysis, and technical documentation.</w:t>
      </w:r>
    </w:p>
    <w:p>
      <w:r>
        <w:t>3. Conflicts between short-term delivery and constitutional principles shall be surfaced explicitly.</w:t>
      </w:r>
    </w:p>
    <w:p>
      <w:pPr>
        <w:pStyle w:val="Heading1"/>
      </w:pPr>
      <w:r>
        <w:t>Article XVII - Amendment and Exception Process</w:t>
      </w:r>
    </w:p>
    <w:p>
      <w:r>
        <w:t>1. Constitutional amendments require documented rationale, impact analysis, Product Owner approval, Solution Architect review, and version increment.</w:t>
      </w:r>
    </w:p>
    <w:p>
      <w:r>
        <w:t>2. Material architectural amendments require an ADR.</w:t>
      </w:r>
    </w:p>
    <w:p>
      <w:r>
        <w:t>3. Temporary exceptions shall record scope, risk, owner, and planned resolution.</w:t>
      </w:r>
    </w:p>
    <w:p>
      <w:pPr>
        <w:pStyle w:val="Heading1"/>
      </w:pPr>
      <w:r>
        <w:t>Article XVIII - Guiding Standard</w:t>
      </w:r>
    </w:p>
    <w:p>
      <w:r/>
      <w:r>
        <w:rPr>
          <w:b/>
        </w:rPr>
        <w:t>Every Guest Matters. Every Event Flows.</w:t>
      </w:r>
      <w:r/>
    </w:p>
    <w:p>
      <w:r>
        <w:t>Product decisions should improve the guest experience while helping organizers execute events predictably, securely, and efficiently.</w:t>
      </w:r>
    </w:p>
    <w:p>
      <w:pPr>
        <w:pStyle w:val="Heading1"/>
      </w:pPr>
      <w:r>
        <w:t>Constitutional Interpretation</w:t>
      </w:r>
    </w:p>
    <w:p>
      <w:r>
        <w:t>Where a lower-level document conflicts with this Constitution, the Constitution prevails until the conflict is resolved by approved amendment or correction.</w:t>
      </w:r>
    </w:p>
    <w:sectPr w:rsidR="00FC693F" w:rsidRPr="0006063C" w:rsidSect="00034616">
      <w:footerReference w:type="default" r:id="rId9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EventFlow | EF-DOC-000 | Version 1.0 | Internal Product Governance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