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EVENTFLOW</w:t>
      </w:r>
    </w:p>
    <w:p>
      <w:pPr>
        <w:pStyle w:val="Subtitle"/>
        <w:jc w:val="center"/>
      </w:pPr>
      <w:r>
        <w:t>EF-DOC-001</w:t>
      </w:r>
    </w:p>
    <w:p>
      <w:pPr>
        <w:pStyle w:val="Title"/>
        <w:jc w:val="center"/>
      </w:pPr>
      <w:r>
        <w:t>EventFlow Vision &amp; Design Principles</w:t>
      </w:r>
    </w:p>
    <w:p>
      <w:pPr>
        <w:jc w:val="center"/>
      </w:pPr>
      <w:r>
        <w:t>Version 1.0 | Approved Baseline</w:t>
      </w:r>
    </w:p>
    <w:p>
      <w:pPr>
        <w:jc w:val="center"/>
      </w:pPr>
      <w:r>
        <w:rPr>
          <w:i/>
        </w:rPr>
        <w:br/>
        <w:t>Every Guest Matters. Every Event Flows.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39"/>
        <w:gridCol w:w="4939"/>
      </w:tblGrid>
      <w:tr>
        <w:tc>
          <w:tcPr>
            <w:tcW w:type="dxa" w:w="4939"/>
          </w:tcPr>
          <w:p>
            <w:r>
              <w:rPr>
                <w:b/>
              </w:rPr>
              <w:t>Document ID</w:t>
            </w:r>
          </w:p>
        </w:tc>
        <w:tc>
          <w:tcPr>
            <w:tcW w:type="dxa" w:w="4939"/>
          </w:tcPr>
          <w:p>
            <w:r>
              <w:t>EF-DOC-001</w:t>
            </w:r>
          </w:p>
        </w:tc>
      </w:tr>
      <w:tr>
        <w:tc>
          <w:tcPr>
            <w:tcW w:type="dxa" w:w="4939"/>
          </w:tcPr>
          <w:p>
            <w:r>
              <w:rPr>
                <w:b/>
              </w:rPr>
              <w:t>Title</w:t>
            </w:r>
          </w:p>
        </w:tc>
        <w:tc>
          <w:tcPr>
            <w:tcW w:type="dxa" w:w="4939"/>
          </w:tcPr>
          <w:p>
            <w:r>
              <w:t>EventFlow Vision &amp; Design Principles</w:t>
            </w:r>
          </w:p>
        </w:tc>
      </w:tr>
      <w:tr>
        <w:tc>
          <w:tcPr>
            <w:tcW w:type="dxa" w:w="4939"/>
          </w:tcPr>
          <w:p>
            <w:r>
              <w:rPr>
                <w:b/>
              </w:rPr>
              <w:t>Version</w:t>
            </w:r>
          </w:p>
        </w:tc>
        <w:tc>
          <w:tcPr>
            <w:tcW w:type="dxa" w:w="4939"/>
          </w:tcPr>
          <w:p>
            <w:r>
              <w:t>1.0</w:t>
            </w:r>
          </w:p>
        </w:tc>
      </w:tr>
      <w:tr>
        <w:tc>
          <w:tcPr>
            <w:tcW w:type="dxa" w:w="4939"/>
          </w:tcPr>
          <w:p>
            <w:r>
              <w:rPr>
                <w:b/>
              </w:rPr>
              <w:t>Status</w:t>
            </w:r>
          </w:p>
        </w:tc>
        <w:tc>
          <w:tcPr>
            <w:tcW w:type="dxa" w:w="4939"/>
          </w:tcPr>
          <w:p>
            <w:r>
              <w:t>Approved Baseline</w:t>
            </w:r>
          </w:p>
        </w:tc>
      </w:tr>
      <w:tr>
        <w:tc>
          <w:tcPr>
            <w:tcW w:type="dxa" w:w="4939"/>
          </w:tcPr>
          <w:p>
            <w:r>
              <w:rPr>
                <w:b/>
              </w:rPr>
              <w:t>Product</w:t>
            </w:r>
          </w:p>
        </w:tc>
        <w:tc>
          <w:tcPr>
            <w:tcW w:type="dxa" w:w="4939"/>
          </w:tcPr>
          <w:p>
            <w:r>
              <w:t>EventFlow</w:t>
            </w:r>
          </w:p>
        </w:tc>
      </w:tr>
      <w:tr>
        <w:tc>
          <w:tcPr>
            <w:tcW w:type="dxa" w:w="4939"/>
          </w:tcPr>
          <w:p>
            <w:r>
              <w:rPr>
                <w:b/>
              </w:rPr>
              <w:t>Document Owner</w:t>
            </w:r>
          </w:p>
        </w:tc>
        <w:tc>
          <w:tcPr>
            <w:tcW w:type="dxa" w:w="4939"/>
          </w:tcPr>
          <w:p>
            <w:r>
              <w:t>Product Owner</w:t>
            </w:r>
          </w:p>
        </w:tc>
      </w:tr>
      <w:tr>
        <w:tc>
          <w:tcPr>
            <w:tcW w:type="dxa" w:w="4939"/>
          </w:tcPr>
          <w:p>
            <w:r>
              <w:rPr>
                <w:b/>
              </w:rPr>
              <w:t>Technical Owner</w:t>
            </w:r>
          </w:p>
        </w:tc>
        <w:tc>
          <w:tcPr>
            <w:tcW w:type="dxa" w:w="4939"/>
          </w:tcPr>
          <w:p>
            <w:r>
              <w:t>Solution Architect</w:t>
            </w:r>
          </w:p>
        </w:tc>
      </w:tr>
      <w:tr>
        <w:tc>
          <w:tcPr>
            <w:tcW w:type="dxa" w:w="4939"/>
          </w:tcPr>
          <w:p>
            <w:r>
              <w:rPr>
                <w:b/>
              </w:rPr>
              <w:t>Created</w:t>
            </w:r>
          </w:p>
        </w:tc>
        <w:tc>
          <w:tcPr>
            <w:tcW w:type="dxa" w:w="4939"/>
          </w:tcPr>
          <w:p>
            <w:r>
              <w:t>2026-08-06</w:t>
            </w:r>
          </w:p>
        </w:tc>
      </w:tr>
      <w:tr>
        <w:tc>
          <w:tcPr>
            <w:tcW w:type="dxa" w:w="4939"/>
          </w:tcPr>
          <w:p>
            <w:r>
              <w:rPr>
                <w:b/>
              </w:rPr>
              <w:t>Last Updated</w:t>
            </w:r>
          </w:p>
        </w:tc>
        <w:tc>
          <w:tcPr>
            <w:tcW w:type="dxa" w:w="4939"/>
          </w:tcPr>
          <w:p>
            <w:r>
              <w:t>2026-08-06</w:t>
            </w:r>
          </w:p>
        </w:tc>
      </w:tr>
      <w:tr>
        <w:tc>
          <w:tcPr>
            <w:tcW w:type="dxa" w:w="4939"/>
          </w:tcPr>
          <w:p>
            <w:r>
              <w:rPr>
                <w:b/>
              </w:rPr>
              <w:t>Classification</w:t>
            </w:r>
          </w:p>
        </w:tc>
        <w:tc>
          <w:tcPr>
            <w:tcW w:type="dxa" w:w="4939"/>
          </w:tcPr>
          <w:p>
            <w:r>
              <w:t>Internal Product Strategy &amp; Design Governance</w:t>
            </w:r>
          </w:p>
        </w:tc>
      </w:tr>
      <w:tr>
        <w:tc>
          <w:tcPr>
            <w:tcW w:type="dxa" w:w="4939"/>
          </w:tcPr>
          <w:p>
            <w:r>
              <w:rPr>
                <w:b/>
              </w:rPr>
              <w:t>Related Documents</w:t>
            </w:r>
          </w:p>
        </w:tc>
        <w:tc>
          <w:tcPr>
            <w:tcW w:type="dxa" w:w="4939"/>
          </w:tcPr>
          <w:p>
            <w:r>
              <w:t>EF-DOC-000, EF-DOC-002, EF-DOC-003, EF-DOC-004</w:t>
            </w:r>
          </w:p>
        </w:tc>
      </w:tr>
    </w:tbl>
    <w:p>
      <w:pPr>
        <w:pStyle w:val="Heading1"/>
      </w:pPr>
      <w:r>
        <w:t>Revision History</w:t>
      </w:r>
    </w:p>
    <w:tbl>
      <w:tblPr>
        <w:tblStyle w:val="TableGrid"/>
        <w:tblW w:type="auto" w:w="0"/>
        <w:tblLook w:firstColumn="1" w:firstRow="1" w:lastColumn="0" w:lastRow="0" w:noHBand="0" w:noVBand="1" w:val="04A0"/>
      </w:tblPr>
      <w:tblGrid>
        <w:gridCol w:w="2469"/>
        <w:gridCol w:w="2469"/>
        <w:gridCol w:w="2469"/>
        <w:gridCol w:w="2469"/>
      </w:tblGrid>
      <w:tr>
        <w:tc>
          <w:tcPr>
            <w:tcW w:type="dxa" w:w="2469"/>
          </w:tcPr>
          <w:p>
            <w:r>
              <w:rPr>
                <w:b/>
              </w:rPr>
              <w:t>Version</w:t>
            </w:r>
          </w:p>
        </w:tc>
        <w:tc>
          <w:tcPr>
            <w:tcW w:type="dxa" w:w="2469"/>
          </w:tcPr>
          <w:p>
            <w:r>
              <w:rPr>
                <w:b/>
              </w:rPr>
              <w:t>Date</w:t>
            </w:r>
          </w:p>
        </w:tc>
        <w:tc>
          <w:tcPr>
            <w:tcW w:type="dxa" w:w="2469"/>
          </w:tcPr>
          <w:p>
            <w:r>
              <w:rPr>
                <w:b/>
              </w:rPr>
              <w:t>Status</w:t>
            </w:r>
          </w:p>
        </w:tc>
        <w:tc>
          <w:tcPr>
            <w:tcW w:type="dxa" w:w="2469"/>
          </w:tcPr>
          <w:p>
            <w:r>
              <w:rPr>
                <w:b/>
              </w:rPr>
              <w:t>Summary</w:t>
            </w:r>
          </w:p>
        </w:tc>
      </w:tr>
      <w:tr>
        <w:tc>
          <w:tcPr>
            <w:tcW w:type="dxa" w:w="2469"/>
          </w:tcPr>
          <w:p>
            <w:r>
              <w:t>0.1</w:t>
            </w:r>
          </w:p>
        </w:tc>
        <w:tc>
          <w:tcPr>
            <w:tcW w:type="dxa" w:w="2469"/>
          </w:tcPr>
          <w:p>
            <w:r>
              <w:t>2026-08-06</w:t>
            </w:r>
          </w:p>
        </w:tc>
        <w:tc>
          <w:tcPr>
            <w:tcW w:type="dxa" w:w="2469"/>
          </w:tcPr>
          <w:p>
            <w:r>
              <w:t>Draft</w:t>
            </w:r>
          </w:p>
        </w:tc>
        <w:tc>
          <w:tcPr>
            <w:tcW w:type="dxa" w:w="2469"/>
          </w:tcPr>
          <w:p>
            <w:r>
              <w:t>Initial product vision.</w:t>
            </w:r>
          </w:p>
        </w:tc>
      </w:tr>
      <w:tr>
        <w:tc>
          <w:tcPr>
            <w:tcW w:type="dxa" w:w="2469"/>
          </w:tcPr>
          <w:p>
            <w:r>
              <w:t>0.2</w:t>
            </w:r>
          </w:p>
        </w:tc>
        <w:tc>
          <w:tcPr>
            <w:tcW w:type="dxa" w:w="2469"/>
          </w:tcPr>
          <w:p>
            <w:r>
              <w:t>2026-08-06</w:t>
            </w:r>
          </w:p>
        </w:tc>
        <w:tc>
          <w:tcPr>
            <w:tcW w:type="dxa" w:w="2469"/>
          </w:tcPr>
          <w:p>
            <w:r>
              <w:t>Draft for Review</w:t>
            </w:r>
          </w:p>
        </w:tc>
        <w:tc>
          <w:tcPr>
            <w:tcW w:type="dxa" w:w="2469"/>
          </w:tcPr>
          <w:p>
            <w:r>
              <w:t>Added quality attributes, capacity tiers, growth model, and UX principles.</w:t>
            </w:r>
          </w:p>
        </w:tc>
      </w:tr>
      <w:tr>
        <w:tc>
          <w:tcPr>
            <w:tcW w:type="dxa" w:w="2469"/>
          </w:tcPr>
          <w:p>
            <w:r>
              <w:t>1.0</w:t>
            </w:r>
          </w:p>
        </w:tc>
        <w:tc>
          <w:tcPr>
            <w:tcW w:type="dxa" w:w="2469"/>
          </w:tcPr>
          <w:p>
            <w:r>
              <w:t>2026-08-06</w:t>
            </w:r>
          </w:p>
        </w:tc>
        <w:tc>
          <w:tcPr>
            <w:tcW w:type="dxa" w:w="2469"/>
          </w:tcPr>
          <w:p>
            <w:r>
              <w:t>Approved Baseline</w:t>
            </w:r>
          </w:p>
        </w:tc>
        <w:tc>
          <w:tcPr>
            <w:tcW w:type="dxa" w:w="2469"/>
          </w:tcPr>
          <w:p>
            <w:r>
              <w:t>Sprint 1 strategic baseline approved.</w:t>
            </w:r>
          </w:p>
        </w:tc>
      </w:tr>
    </w:tbl>
    <w:p>
      <w:pPr>
        <w:pStyle w:val="Heading1"/>
      </w:pPr>
      <w:r>
        <w:t>Approval Record</w:t>
      </w:r>
    </w:p>
    <w:tbl>
      <w:tblPr>
        <w:tblStyle w:val="TableGrid"/>
        <w:tblW w:type="auto" w:w="0"/>
        <w:tblLook w:firstColumn="1" w:firstRow="1" w:lastColumn="0" w:lastRow="0" w:noHBand="0" w:noVBand="1" w:val="04A0"/>
      </w:tblPr>
      <w:tblGrid>
        <w:gridCol w:w="3293"/>
        <w:gridCol w:w="3293"/>
        <w:gridCol w:w="3293"/>
      </w:tblGrid>
      <w:tr>
        <w:tc>
          <w:tcPr>
            <w:tcW w:type="dxa" w:w="3293"/>
          </w:tcPr>
          <w:p>
            <w:r>
              <w:rPr>
                <w:b/>
              </w:rPr>
              <w:t>Role</w:t>
            </w:r>
          </w:p>
        </w:tc>
        <w:tc>
          <w:tcPr>
            <w:tcW w:type="dxa" w:w="3293"/>
          </w:tcPr>
          <w:p>
            <w:r>
              <w:rPr>
                <w:b/>
              </w:rPr>
              <w:t>Approval</w:t>
            </w:r>
          </w:p>
        </w:tc>
        <w:tc>
          <w:tcPr>
            <w:tcW w:type="dxa" w:w="3293"/>
          </w:tcPr>
          <w:p>
            <w:r>
              <w:rPr>
                <w:b/>
              </w:rPr>
              <w:t>Date</w:t>
            </w:r>
          </w:p>
        </w:tc>
      </w:tr>
      <w:tr>
        <w:tc>
          <w:tcPr>
            <w:tcW w:type="dxa" w:w="3293"/>
          </w:tcPr>
          <w:p>
            <w:r>
              <w:t>Product Owner</w:t>
            </w:r>
          </w:p>
        </w:tc>
        <w:tc>
          <w:tcPr>
            <w:tcW w:type="dxa" w:w="3293"/>
          </w:tcPr>
          <w:p>
            <w:r>
              <w:t>Approved Baseline</w:t>
            </w:r>
          </w:p>
        </w:tc>
        <w:tc>
          <w:tcPr>
            <w:tcW w:type="dxa" w:w="3293"/>
          </w:tcPr>
          <w:p>
            <w:r>
              <w:t>2026-08-06</w:t>
            </w:r>
          </w:p>
        </w:tc>
      </w:tr>
      <w:tr>
        <w:tc>
          <w:tcPr>
            <w:tcW w:type="dxa" w:w="3293"/>
          </w:tcPr>
          <w:p>
            <w:r>
              <w:t>Solution Architect</w:t>
            </w:r>
          </w:p>
        </w:tc>
        <w:tc>
          <w:tcPr>
            <w:tcW w:type="dxa" w:w="3293"/>
          </w:tcPr>
          <w:p>
            <w:r>
              <w:t>Reviewed and Baseline Prepared</w:t>
            </w:r>
          </w:p>
        </w:tc>
        <w:tc>
          <w:tcPr>
            <w:tcW w:type="dxa" w:w="3293"/>
          </w:tcPr>
          <w:p>
            <w:r>
              <w:t>2026-08-06</w:t>
            </w:r>
          </w:p>
        </w:tc>
      </w:tr>
    </w:tbl>
    <w:p>
      <w:pPr>
        <w:pStyle w:val="Heading1"/>
      </w:pPr>
      <w:r>
        <w:t>1. Purpose</w:t>
      </w:r>
    </w:p>
    <w:p>
      <w:r>
        <w:t>This document defines the strategic product vision and design principles that guide EventFlow. It translates the Constitution into practical direction without prescribing low-level implementation details.</w:t>
      </w:r>
    </w:p>
    <w:p>
      <w:pPr>
        <w:pStyle w:val="Heading1"/>
      </w:pPr>
      <w:r>
        <w:t>2. Product Vision</w:t>
      </w:r>
    </w:p>
    <w:p>
      <w:pPr>
        <w:ind w:left="504"/>
      </w:pPr>
      <w:r>
        <w:rPr>
          <w:i/>
        </w:rPr>
      </w:r>
      <w:r>
        <w:rPr>
          <w:b/>
        </w:rPr>
        <w:t>EventFlow is a professional Event Operations Platform that enables organizers to manage the complete guest lifecycle - from event configuration and invitation through communications, attendance confirmation, seating, reception, check-in, and post-event reporting - within one coherent system.</w:t>
      </w:r>
      <w:r/>
    </w:p>
    <w:p>
      <w:pPr>
        <w:pStyle w:val="Heading1"/>
      </w:pPr>
      <w:r>
        <w:t>3. Mission</w:t>
      </w:r>
    </w:p>
    <w:p>
      <w:r>
        <w:t>EventFlow exists to reduce operational friction by combining structured guest and invitation data, simple guest-facing workflows, reliable communications, operational tools, controlled automation, trustworthy reporting, and reusable event configuration.</w:t>
      </w:r>
    </w:p>
    <w:p>
      <w:pPr>
        <w:pStyle w:val="Heading1"/>
      </w:pPr>
      <w:r>
        <w:t>4. Product Positioning</w:t>
      </w:r>
    </w:p>
    <w:p>
      <w:r>
        <w:t>EventFlow is not merely an RSVP form, invitation designer, mailing tool, seating planner, or check-in application. These are capabilities within a shared Event Operations Platform.</w:t>
      </w:r>
    </w:p>
    <w:p>
      <w:pPr>
        <w:pStyle w:val="Heading1"/>
      </w:pPr>
      <w:r>
        <w:t>5. Initial Reference Implementation</w:t>
      </w:r>
    </w:p>
    <w:p>
      <w:r>
        <w:t>Lui @ 60 is the first live reference implementation. It validates the product in a real event environment while remaining configuration data rather than a permanent architectural special case.</w:t>
      </w:r>
    </w:p>
    <w:p>
      <w:pPr>
        <w:pStyle w:val="Heading1"/>
      </w:pPr>
      <w:r>
        <w:t>6. Target Users</w:t>
      </w:r>
    </w:p>
    <w:p>
      <w:pPr>
        <w:pStyle w:val="ListBullet"/>
      </w:pPr>
      <w:r>
        <w:t>Product Administrator - system configuration, integrations, permissions, updates, and platform health.</w:t>
      </w:r>
    </w:p>
    <w:p>
      <w:pPr>
        <w:pStyle w:val="ListBullet"/>
      </w:pPr>
      <w:r>
        <w:t>Event Organizer - event setup, invitation strategy, guest data, communications, seating, and reports.</w:t>
      </w:r>
    </w:p>
    <w:p>
      <w:pPr>
        <w:pStyle w:val="ListBullet"/>
      </w:pPr>
      <w:r>
        <w:t>Event Coordinator - day-to-day guest and event operations.</w:t>
      </w:r>
    </w:p>
    <w:p>
      <w:pPr>
        <w:pStyle w:val="ListBullet"/>
      </w:pPr>
      <w:r>
        <w:t>Reception Staff - limited operational interface for lookup, table information, and check-in.</w:t>
      </w:r>
    </w:p>
    <w:p>
      <w:pPr>
        <w:pStyle w:val="ListBullet"/>
      </w:pPr>
      <w:r>
        <w:t>Guest / Invitee - secure invitation access and required guest-facing actions.</w:t>
      </w:r>
    </w:p>
    <w:p>
      <w:pPr>
        <w:pStyle w:val="Heading1"/>
      </w:pPr>
      <w:r>
        <w:t>7. Design Principles</w:t>
      </w:r>
    </w:p>
    <w:p>
      <w:r>
        <w:t>DP-001 - Event First: The Event is the primary organizing context.</w:t>
      </w:r>
    </w:p>
    <w:p>
      <w:r>
        <w:t>DP-002 - Invitation and Attendee Are Distinct: Invitation represents entitlement and communication context; Attendee represents a person.</w:t>
      </w:r>
    </w:p>
    <w:p>
      <w:r>
        <w:t>DP-003 - Configuration Over Hard-Coding: Ordinary event variation belongs in settings or structured data.</w:t>
      </w:r>
    </w:p>
    <w:p>
      <w:r>
        <w:t>DP-004 - Single Source of Truth: Each business fact has one authoritative owner.</w:t>
      </w:r>
    </w:p>
    <w:p>
      <w:r>
        <w:t>DP-005 - Mobile-First Guest Experience: Guest-facing interfaces assume a smartphone as the primary device.</w:t>
      </w:r>
    </w:p>
    <w:p>
      <w:r>
        <w:t>DP-006 - Operational Clarity Over Decorative Complexity: Branding must not obscure status or required actions.</w:t>
      </w:r>
    </w:p>
    <w:p>
      <w:r>
        <w:t>DP-007 - Progressive Disclosure: Users see controls appropriate to role and task.</w:t>
      </w:r>
    </w:p>
    <w:p>
      <w:r>
        <w:t>DP-008 - Safe Defaults: Defaults minimize accidental sends, exposure, duplication, oversubscription, and destructive actions.</w:t>
      </w:r>
    </w:p>
    <w:p>
      <w:r>
        <w:t>DP-009 - Audit Important Actions: Material actions are traceable where practical.</w:t>
      </w:r>
    </w:p>
    <w:p>
      <w:r>
        <w:t>DP-010 - External Services Are Replaceable Dependencies: Providers are adapters, not the domain model.</w:t>
      </w:r>
    </w:p>
    <w:p>
      <w:r>
        <w:t>DP-011 - Build for Recovery: Imports, sends, assignments, and corrections should be safely recoverable.</w:t>
      </w:r>
    </w:p>
    <w:p>
      <w:r>
        <w:t>DP-012 - Scale by Design, Not Assumption: Core domain relationships remain valid across Tiers A-C.</w:t>
      </w:r>
    </w:p>
    <w:p>
      <w:pPr>
        <w:pStyle w:val="Heading1"/>
      </w:pPr>
      <w:r>
        <w:t>8. Core Quality Attributes</w:t>
      </w:r>
    </w:p>
    <w:p>
      <w:pPr>
        <w:pStyle w:val="ListBullet"/>
      </w:pPr>
      <w:r>
        <w:t>Usability</w:t>
      </w:r>
    </w:p>
    <w:p>
      <w:pPr>
        <w:pStyle w:val="ListBullet"/>
      </w:pPr>
      <w:r>
        <w:t>Reliability</w:t>
      </w:r>
    </w:p>
    <w:p>
      <w:pPr>
        <w:pStyle w:val="ListBullet"/>
      </w:pPr>
      <w:r>
        <w:t>Performance</w:t>
      </w:r>
    </w:p>
    <w:p>
      <w:pPr>
        <w:pStyle w:val="ListBullet"/>
      </w:pPr>
      <w:r>
        <w:t>Scalability</w:t>
      </w:r>
    </w:p>
    <w:p>
      <w:pPr>
        <w:pStyle w:val="ListBullet"/>
      </w:pPr>
      <w:r>
        <w:t>Security</w:t>
      </w:r>
    </w:p>
    <w:p>
      <w:pPr>
        <w:pStyle w:val="ListBullet"/>
      </w:pPr>
      <w:r>
        <w:t>Maintainability</w:t>
      </w:r>
    </w:p>
    <w:p>
      <w:pPr>
        <w:pStyle w:val="ListBullet"/>
      </w:pPr>
      <w:r>
        <w:t>Accessibility</w:t>
      </w:r>
    </w:p>
    <w:p>
      <w:pPr>
        <w:pStyle w:val="ListBullet"/>
      </w:pPr>
      <w:r>
        <w:t>Portability</w:t>
      </w:r>
    </w:p>
    <w:p>
      <w:pPr>
        <w:pStyle w:val="ListBullet"/>
      </w:pPr>
      <w:r>
        <w:t>Observability</w:t>
      </w:r>
    </w:p>
    <w:p>
      <w:pPr>
        <w:pStyle w:val="Heading1"/>
      </w:pPr>
      <w:r>
        <w:t>9. Capacity Philosophy</w:t>
      </w:r>
    </w:p>
    <w:tbl>
      <w:tblPr>
        <w:tblStyle w:val="TableGrid"/>
        <w:tblW w:type="auto" w:w="0"/>
        <w:tblLook w:firstColumn="1" w:firstRow="1" w:lastColumn="0" w:lastRow="0" w:noHBand="0" w:noVBand="1" w:val="04A0"/>
      </w:tblPr>
      <w:tblGrid>
        <w:gridCol w:w="3293"/>
        <w:gridCol w:w="3293"/>
        <w:gridCol w:w="3293"/>
      </w:tblGrid>
      <w:tr>
        <w:tc>
          <w:tcPr>
            <w:tcW w:type="dxa" w:w="3293"/>
          </w:tcPr>
          <w:p>
            <w:r>
              <w:rPr>
                <w:b/>
              </w:rPr>
              <w:t>Tier</w:t>
            </w:r>
          </w:p>
        </w:tc>
        <w:tc>
          <w:tcPr>
            <w:tcW w:type="dxa" w:w="3293"/>
          </w:tcPr>
          <w:p>
            <w:r>
              <w:rPr>
                <w:b/>
              </w:rPr>
              <w:t>Reference Size</w:t>
            </w:r>
          </w:p>
        </w:tc>
        <w:tc>
          <w:tcPr>
            <w:tcW w:type="dxa" w:w="3293"/>
          </w:tcPr>
          <w:p>
            <w:r>
              <w:rPr>
                <w:b/>
              </w:rPr>
              <w:t>Expected Operating Model</w:t>
            </w:r>
          </w:p>
        </w:tc>
      </w:tr>
      <w:tr>
        <w:tc>
          <w:tcPr>
            <w:tcW w:type="dxa" w:w="3293"/>
          </w:tcPr>
          <w:p>
            <w:r>
              <w:t>Tier A</w:t>
            </w:r>
          </w:p>
        </w:tc>
        <w:tc>
          <w:tcPr>
            <w:tcW w:type="dxa" w:w="3293"/>
          </w:tcPr>
          <w:p>
            <w:r>
              <w:t>Up to 100 attendees</w:t>
            </w:r>
          </w:p>
        </w:tc>
        <w:tc>
          <w:tcPr>
            <w:tcW w:type="dxa" w:w="3293"/>
          </w:tcPr>
          <w:p>
            <w:r>
              <w:t>Small private event; low message volume; one organizer.</w:t>
            </w:r>
          </w:p>
        </w:tc>
      </w:tr>
      <w:tr>
        <w:tc>
          <w:tcPr>
            <w:tcW w:type="dxa" w:w="3293"/>
          </w:tcPr>
          <w:p>
            <w:r>
              <w:t>Tier B</w:t>
            </w:r>
          </w:p>
        </w:tc>
        <w:tc>
          <w:tcPr>
            <w:tcW w:type="dxa" w:w="3293"/>
          </w:tcPr>
          <w:p>
            <w:r>
              <w:t>100-750 attendees</w:t>
            </w:r>
          </w:p>
        </w:tc>
        <w:tc>
          <w:tcPr>
            <w:tcW w:type="dxa" w:w="3293"/>
          </w:tcPr>
          <w:p>
            <w:r>
              <w:t>Standard event; multiple staff; bulk communications; seating; check-in.</w:t>
            </w:r>
          </w:p>
        </w:tc>
      </w:tr>
      <w:tr>
        <w:tc>
          <w:tcPr>
            <w:tcW w:type="dxa" w:w="3293"/>
          </w:tcPr>
          <w:p>
            <w:r>
              <w:t>Tier C</w:t>
            </w:r>
          </w:p>
        </w:tc>
        <w:tc>
          <w:tcPr>
            <w:tcW w:type="dxa" w:w="3293"/>
          </w:tcPr>
          <w:p>
            <w:r>
              <w:t>750-5,000 attendees</w:t>
            </w:r>
          </w:p>
        </w:tc>
        <w:tc>
          <w:tcPr>
            <w:tcW w:type="dxa" w:w="3293"/>
          </w:tcPr>
          <w:p>
            <w:r>
              <w:t>Large event; queues, pagination, background imports/exports, concurrent staff.</w:t>
            </w:r>
          </w:p>
        </w:tc>
      </w:tr>
      <w:tr>
        <w:tc>
          <w:tcPr>
            <w:tcW w:type="dxa" w:w="3293"/>
          </w:tcPr>
          <w:p>
            <w:r>
              <w:t>Tier D</w:t>
            </w:r>
          </w:p>
        </w:tc>
        <w:tc>
          <w:tcPr>
            <w:tcW w:type="dxa" w:w="3293"/>
          </w:tcPr>
          <w:p>
            <w:r>
              <w:t>&gt;5,000 and/or many concurrent events</w:t>
            </w:r>
          </w:p>
        </w:tc>
        <w:tc>
          <w:tcPr>
            <w:tcW w:type="dxa" w:w="3293"/>
          </w:tcPr>
          <w:p>
            <w:r>
              <w:t>Future platform scale with explicit tenancy, queueing, caching, observability, and infrastructure design.</w:t>
            </w:r>
          </w:p>
        </w:tc>
      </w:tr>
    </w:tbl>
    <w:p>
      <w:r>
        <w:t>EventFlow v1.x is designed primarily for Tiers A-C. Tier D is a future architectural target rather than a v1.x service commitment.</w:t>
      </w:r>
    </w:p>
    <w:p>
      <w:pPr>
        <w:pStyle w:val="Heading1"/>
      </w:pPr>
      <w:r>
        <w:t>10. Core Product Modules</w:t>
      </w:r>
    </w:p>
    <w:p>
      <w:pPr>
        <w:pStyle w:val="ListBullet"/>
      </w:pPr>
      <w:r>
        <w:t>Events</w:t>
      </w:r>
    </w:p>
    <w:p>
      <w:pPr>
        <w:pStyle w:val="ListBullet"/>
      </w:pPr>
      <w:r>
        <w:t>Invitations</w:t>
      </w:r>
    </w:p>
    <w:p>
      <w:pPr>
        <w:pStyle w:val="ListBullet"/>
      </w:pPr>
      <w:r>
        <w:t>Attendees</w:t>
      </w:r>
    </w:p>
    <w:p>
      <w:pPr>
        <w:pStyle w:val="ListBullet"/>
      </w:pPr>
      <w:r>
        <w:t>Communications</w:t>
      </w:r>
    </w:p>
    <w:p>
      <w:pPr>
        <w:pStyle w:val="ListBullet"/>
      </w:pPr>
      <w:r>
        <w:t>Seating</w:t>
      </w:r>
    </w:p>
    <w:p>
      <w:pPr>
        <w:pStyle w:val="ListBullet"/>
      </w:pPr>
      <w:r>
        <w:t>Reception &amp; Check-in</w:t>
      </w:r>
    </w:p>
    <w:p>
      <w:pPr>
        <w:pStyle w:val="ListBullet"/>
      </w:pPr>
      <w:r>
        <w:t>Reports &amp; Analytics</w:t>
      </w:r>
    </w:p>
    <w:p>
      <w:pPr>
        <w:pStyle w:val="ListBullet"/>
      </w:pPr>
      <w:r>
        <w:t>Administration</w:t>
      </w:r>
    </w:p>
    <w:p>
      <w:pPr>
        <w:pStyle w:val="Heading1"/>
      </w:pPr>
      <w:r>
        <w:t>11. Module Boundary Principles</w:t>
      </w:r>
    </w:p>
    <w:p>
      <w:r>
        <w:t>1. Modules own their own domain rules.</w:t>
      </w:r>
    </w:p>
    <w:p>
      <w:r>
        <w:t>2. Cross-module operations use defined services or contracts.</w:t>
      </w:r>
    </w:p>
    <w:p>
      <w:r>
        <w:t>3. User interfaces do not become the source of business rules.</w:t>
      </w:r>
    </w:p>
    <w:p>
      <w:r>
        <w:t>4. Reports generally consume state rather than mutate it.</w:t>
      </w:r>
    </w:p>
    <w:p>
      <w:r>
        <w:t>5. Integration adapters translate provider behavior into EventFlow's internal model.</w:t>
      </w:r>
    </w:p>
    <w:p>
      <w:pPr>
        <w:pStyle w:val="Heading1"/>
      </w:pPr>
      <w:r>
        <w:t>12. Guest Experience Principles</w:t>
      </w:r>
    </w:p>
    <w:p>
      <w:r>
        <w:t>Guest journeys should open from a secure personalized link, identify the event clearly, display official branding, explain the required action, collect only needed information, and confirm successful submission.</w:t>
      </w:r>
    </w:p>
    <w:p>
      <w:pPr>
        <w:pStyle w:val="Heading1"/>
      </w:pPr>
      <w:r>
        <w:t>13. Organizer Experience Principles</w:t>
      </w:r>
    </w:p>
    <w:p>
      <w:r>
        <w:t>Organizer workflows should support bulk actions with review, filters, visible status, validation before import/send, reversible operations where practical, exportability, and explicit warnings before destructive actions.</w:t>
      </w:r>
    </w:p>
    <w:p>
      <w:pPr>
        <w:pStyle w:val="Heading1"/>
      </w:pPr>
      <w:r>
        <w:t>14. Event-Day Experience Principles</w:t>
      </w:r>
    </w:p>
    <w:p>
      <w:r>
        <w:t>Reception interfaces prioritize speed, touch-friendly controls, search by primary guest or companion, immediate table information, clear check-in state, duplicate-action protection, and graceful degradation.</w:t>
      </w:r>
    </w:p>
    <w:p>
      <w:pPr>
        <w:pStyle w:val="Heading1"/>
      </w:pPr>
      <w:r>
        <w:t>15. Integration Principles</w:t>
      </w:r>
    </w:p>
    <w:p>
      <w:r>
        <w:t>1. Provider-specific code is isolated behind adapters.</w:t>
      </w:r>
    </w:p>
    <w:p>
      <w:r>
        <w:t>2. External identifiers do not replace EventFlow internal IDs.</w:t>
      </w:r>
    </w:p>
    <w:p>
      <w:r>
        <w:t>3. Integration credentials are never committed to source control.</w:t>
      </w:r>
    </w:p>
    <w:p>
      <w:r>
        <w:t>4. EventFlow keeps its own delivery and operation history.</w:t>
      </w:r>
    </w:p>
    <w:p>
      <w:r>
        <w:t>5. Provider failure must not corrupt event data.</w:t>
      </w:r>
    </w:p>
    <w:p>
      <w:pPr>
        <w:pStyle w:val="Heading1"/>
      </w:pPr>
      <w:r>
        <w:t>16. Data Principles</w:t>
      </w:r>
    </w:p>
    <w:p>
      <w:r>
        <w:t>EventFlow data should be event-scoped, validated, timestamped where lifecycle matters, migratable, exportable where operationally important, auditable for material changes, and minimized to legitimate event-operation needs.</w:t>
      </w:r>
    </w:p>
    <w:p>
      <w:pPr>
        <w:pStyle w:val="Heading1"/>
      </w:pPr>
      <w:r>
        <w:t>17. Growth Model</w:t>
      </w:r>
    </w:p>
    <w:p>
      <w:r>
        <w:t>1. Stage 1 - Reference Implementation.</w:t>
      </w:r>
    </w:p>
    <w:p>
      <w:r>
        <w:t>2. Stage 2 - Reusable Single-Event Product.</w:t>
      </w:r>
    </w:p>
    <w:p>
      <w:r>
        <w:t>3. Stage 3 - Multi-Event Platform.</w:t>
      </w:r>
    </w:p>
    <w:p>
      <w:r>
        <w:t>4. Stage 4 - Organization-Aware Platform.</w:t>
      </w:r>
    </w:p>
    <w:p>
      <w:r>
        <w:t>5. Stage 5 - Hosted SaaS Product.</w:t>
      </w:r>
    </w:p>
    <w:p>
      <w:pPr>
        <w:pStyle w:val="Heading1"/>
      </w:pPr>
      <w:r>
        <w:t>18. Product Decision Test</w:t>
      </w:r>
    </w:p>
    <w:p>
      <w:r>
        <w:t>1. What user problem does this solve?</w:t>
      </w:r>
    </w:p>
    <w:p>
      <w:r>
        <w:t>2. Which module owns it?</w:t>
      </w:r>
    </w:p>
    <w:p>
      <w:r>
        <w:t>3. Is it configuration or reusable product behavior?</w:t>
      </w:r>
    </w:p>
    <w:p>
      <w:r>
        <w:t>4. Does it change an ADR?</w:t>
      </w:r>
    </w:p>
    <w:p>
      <w:r>
        <w:t>5. Does it introduce personal data?</w:t>
      </w:r>
    </w:p>
    <w:p>
      <w:r>
        <w:t>6. What happens when it fails?</w:t>
      </w:r>
    </w:p>
    <w:p>
      <w:r>
        <w:t>7. How does it behave at Tiers A-C?</w:t>
      </w:r>
    </w:p>
    <w:p>
      <w:r>
        <w:t>8. What acceptance criteria prove completion?</w:t>
      </w:r>
    </w:p>
    <w:p>
      <w:r>
        <w:t>9. Which controlled documents must be updated?</w:t>
      </w:r>
    </w:p>
    <w:p>
      <w:r>
        <w:t>10. Does it preserve the Constitution?</w:t>
      </w:r>
    </w:p>
    <w:p>
      <w:pPr>
        <w:pStyle w:val="Heading1"/>
      </w:pPr>
      <w:r>
        <w:t>19. Non-Goals for Early Releases</w:t>
      </w:r>
    </w:p>
    <w:p>
      <w:r>
        <w:t>Early releases do not aim to become accounting, vendor procurement, hotel booking, travel management, full CRM, or general marketing automation systems.</w:t>
      </w:r>
    </w:p>
    <w:p>
      <w:pPr>
        <w:pStyle w:val="Heading1"/>
      </w:pPr>
      <w:r>
        <w:t>20. Success Definition</w:t>
      </w:r>
    </w:p>
    <w:p>
      <w:r>
        <w:t>EventFlow succeeds when organizers can configure and understand an event without technical assistance, guests can complete the required journey without support, staff can operate reception efficiently, data remains coherent across modules, new event types are configured rather than forked, and implementation remains traceable to requirements and decisions.</w:t>
      </w:r>
    </w:p>
    <w:p>
      <w:pPr>
        <w:pStyle w:val="Heading1"/>
      </w:pPr>
      <w:r>
        <w:t>21. Guiding Statement</w:t>
      </w:r>
    </w:p>
    <w:p>
      <w:pPr>
        <w:ind w:left="504"/>
      </w:pPr>
      <w:r>
        <w:rPr>
          <w:i/>
        </w:rPr>
      </w:r>
      <w:r>
        <w:rPr>
          <w:b/>
        </w:rPr>
        <w:t>EventFlow should make the operational complexity of an event visible to the organizer, but simple for the guest.</w:t>
      </w:r>
      <w:r/>
    </w:p>
    <w:sectPr w:rsidR="00FC693F" w:rsidRPr="0006063C" w:rsidSect="00034616">
      <w:footerReference w:type="default" r:id="rId9"/>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EventFlow | EF-DOC-001 | Version 1.0 | Internal Product Strategy &amp; Design Governance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