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EVENTFLOW</w:t>
      </w:r>
    </w:p>
    <w:p>
      <w:pPr>
        <w:pStyle w:val="Subtitle"/>
        <w:jc w:val="center"/>
      </w:pPr>
      <w:r>
        <w:t>EF-DOC-002</w:t>
      </w:r>
    </w:p>
    <w:p>
      <w:pPr>
        <w:pStyle w:val="Title"/>
        <w:jc w:val="center"/>
      </w:pPr>
      <w:r>
        <w:t>Architecture Decision Record Register</w:t>
      </w:r>
    </w:p>
    <w:p>
      <w:pPr>
        <w:jc w:val="center"/>
      </w:pPr>
      <w:r>
        <w:t>Version 1.0 | Approved Baseline</w:t>
      </w:r>
    </w:p>
    <w:p>
      <w:pPr>
        <w:jc w:val="center"/>
      </w:pPr>
      <w:r>
        <w:rPr>
          <w:i/>
        </w:rPr>
        <w:br/>
        <w:t>Every Guest Matters. Every Event Flows.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939"/>
          </w:tcPr>
          <w:p>
            <w:r>
              <w:t>EF-DOC-002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939"/>
          </w:tcPr>
          <w:p>
            <w:r>
              <w:t>Architecture Decision Record Register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939"/>
          </w:tcPr>
          <w:p>
            <w:r>
              <w:t>1.0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39"/>
          </w:tcPr>
          <w:p>
            <w:r>
              <w:t>Approved Baseline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39"/>
          </w:tcPr>
          <w:p>
            <w:r>
              <w:t>EventFlow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939"/>
          </w:tcPr>
          <w:p>
            <w:r>
              <w:t>Product Owner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Technical Owner</w:t>
            </w:r>
          </w:p>
        </w:tc>
        <w:tc>
          <w:tcPr>
            <w:tcW w:type="dxa" w:w="4939"/>
          </w:tcPr>
          <w:p>
            <w:r>
              <w:t>Solution Architect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Created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Last Updated</w:t>
            </w:r>
          </w:p>
        </w:tc>
        <w:tc>
          <w:tcPr>
            <w:tcW w:type="dxa" w:w="4939"/>
          </w:tcPr>
          <w:p>
            <w:r>
              <w:t>2026-08-06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939"/>
          </w:tcPr>
          <w:p>
            <w:r>
              <w:t>Internal Architecture Governance</w:t>
            </w:r>
          </w:p>
        </w:tc>
      </w:tr>
      <w:tr>
        <w:tc>
          <w:tcPr>
            <w:tcW w:type="dxa" w:w="4939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4939"/>
          </w:tcPr>
          <w:p>
            <w:r>
              <w:t>EF-DOC-000, EF-DOC-001, EF-DOC-003, EF-DOC-004, EF-DOC-005</w:t>
            </w:r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46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469"/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2469"/>
          </w:tcPr>
          <w:p>
            <w:r>
              <w:t>0.1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Draft</w:t>
            </w:r>
          </w:p>
        </w:tc>
        <w:tc>
          <w:tcPr>
            <w:tcW w:type="dxa" w:w="2469"/>
          </w:tcPr>
          <w:p>
            <w:r>
              <w:t>Initial ADRs established during product formation.</w:t>
            </w:r>
          </w:p>
        </w:tc>
      </w:tr>
      <w:tr>
        <w:tc>
          <w:tcPr>
            <w:tcW w:type="dxa" w:w="2469"/>
          </w:tcPr>
          <w:p>
            <w:r>
              <w:t>1.0</w:t>
            </w:r>
          </w:p>
        </w:tc>
        <w:tc>
          <w:tcPr>
            <w:tcW w:type="dxa" w:w="2469"/>
          </w:tcPr>
          <w:p>
            <w:r>
              <w:t>2026-08-06</w:t>
            </w:r>
          </w:p>
        </w:tc>
        <w:tc>
          <w:tcPr>
            <w:tcW w:type="dxa" w:w="2469"/>
          </w:tcPr>
          <w:p>
            <w:r>
              <w:t>Approved Baseline</w:t>
            </w:r>
          </w:p>
        </w:tc>
        <w:tc>
          <w:tcPr>
            <w:tcW w:type="dxa" w:w="2469"/>
          </w:tcPr>
          <w:p>
            <w:r>
              <w:t>Sprint 1 ADR register approved with ADR-001 through ADR-012.</w:t>
            </w:r>
          </w:p>
        </w:tc>
      </w:tr>
    </w:tbl>
    <w:p>
      <w:pPr>
        <w:pStyle w:val="Heading1"/>
      </w:pPr>
      <w:r>
        <w:t>Approval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293"/>
          </w:tcPr>
          <w:p>
            <w:r>
              <w:rPr>
                <w:b/>
              </w:rPr>
              <w:t>Approval</w:t>
            </w:r>
          </w:p>
        </w:tc>
        <w:tc>
          <w:tcPr>
            <w:tcW w:type="dxa" w:w="3293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293"/>
          </w:tcPr>
          <w:p>
            <w:r>
              <w:t>Product Owner</w:t>
            </w:r>
          </w:p>
        </w:tc>
        <w:tc>
          <w:tcPr>
            <w:tcW w:type="dxa" w:w="3293"/>
          </w:tcPr>
          <w:p>
            <w:r>
              <w:t>Approved Baseline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  <w:tr>
        <w:tc>
          <w:tcPr>
            <w:tcW w:type="dxa" w:w="3293"/>
          </w:tcPr>
          <w:p>
            <w:r>
              <w:t>Solution Architect</w:t>
            </w:r>
          </w:p>
        </w:tc>
        <w:tc>
          <w:tcPr>
            <w:tcW w:type="dxa" w:w="3293"/>
          </w:tcPr>
          <w:p>
            <w:r>
              <w:t>Reviewed and Baseline Prepared</w:t>
            </w:r>
          </w:p>
        </w:tc>
        <w:tc>
          <w:tcPr>
            <w:tcW w:type="dxa" w:w="3293"/>
          </w:tcPr>
          <w:p>
            <w:r>
              <w:t>2026-08-06</w:t>
            </w:r>
          </w:p>
        </w:tc>
      </w:tr>
    </w:tbl>
    <w:p>
      <w:pPr>
        <w:pStyle w:val="Heading1"/>
      </w:pPr>
      <w:r>
        <w:t>1. Purpose</w:t>
      </w:r>
    </w:p>
    <w:p>
      <w:r>
        <w:t>The ADR Register is the permanent index of significant EventFlow product and architecture decisions. Accepted ADRs are not silently rewritten. If a decision changes, a new ADR supersedes the old one.</w:t>
      </w:r>
    </w:p>
    <w:p>
      <w:pPr>
        <w:pStyle w:val="Heading1"/>
      </w:pPr>
      <w:r>
        <w:t>2. ADR Status Model</w:t>
      </w:r>
    </w:p>
    <w:p>
      <w:r>
        <w:t>Proposed -&gt; Accepted -&gt; Implemented -&gt; Deprecated or Superseded.</w:t>
      </w:r>
    </w:p>
    <w:p>
      <w:pPr>
        <w:pStyle w:val="Heading1"/>
      </w:pPr>
      <w:r>
        <w:t>3.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976"/>
          </w:tcPr>
          <w:p>
            <w:r>
              <w:rPr>
                <w:b/>
              </w:rPr>
              <w:t>ID</w:t>
            </w:r>
          </w:p>
        </w:tc>
        <w:tc>
          <w:tcPr>
            <w:tcW w:type="dxa" w:w="1976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76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97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1976"/>
          </w:tcPr>
          <w:p>
            <w:r>
              <w:rPr>
                <w:b/>
              </w:rPr>
              <w:t>Decision Summary</w:t>
            </w:r>
          </w:p>
        </w:tc>
      </w:tr>
      <w:tr>
        <w:tc>
          <w:tcPr>
            <w:tcW w:type="dxa" w:w="1976"/>
          </w:tcPr>
          <w:p>
            <w:r>
              <w:t>ADR-001</w:t>
            </w:r>
          </w:p>
        </w:tc>
        <w:tc>
          <w:tcPr>
            <w:tcW w:type="dxa" w:w="1976"/>
          </w:tcPr>
          <w:p>
            <w:r>
              <w:t>Product Identity: EventFlow</w:t>
            </w:r>
          </w:p>
        </w:tc>
        <w:tc>
          <w:tcPr>
            <w:tcW w:type="dxa" w:w="1976"/>
          </w:tcPr>
          <w:p>
            <w:r>
              <w:t>Product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Develop the platform as the generic product EventFlow rather than Lui60 Event Manager.</w:t>
            </w:r>
          </w:p>
        </w:tc>
      </w:tr>
      <w:tr>
        <w:tc>
          <w:tcPr>
            <w:tcW w:type="dxa" w:w="1976"/>
          </w:tcPr>
          <w:p>
            <w:r>
              <w:t>ADR-002</w:t>
            </w:r>
          </w:p>
        </w:tc>
        <w:tc>
          <w:tcPr>
            <w:tcW w:type="dxa" w:w="1976"/>
          </w:tcPr>
          <w:p>
            <w:r>
              <w:t>Event as Root Business Entity</w:t>
            </w:r>
          </w:p>
        </w:tc>
        <w:tc>
          <w:tcPr>
            <w:tcW w:type="dxa" w:w="1976"/>
          </w:tcPr>
          <w:p>
            <w:r>
              <w:t>Architecture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All event-scoped business objects shall explicitly belong to an Event.</w:t>
            </w:r>
          </w:p>
        </w:tc>
      </w:tr>
      <w:tr>
        <w:tc>
          <w:tcPr>
            <w:tcW w:type="dxa" w:w="1976"/>
          </w:tcPr>
          <w:p>
            <w:r>
              <w:t>ADR-003</w:t>
            </w:r>
          </w:p>
        </w:tc>
        <w:tc>
          <w:tcPr>
            <w:tcW w:type="dxa" w:w="1976"/>
          </w:tcPr>
          <w:p>
            <w:r>
              <w:t>Separate Invitation and Attendee Entities</w:t>
            </w:r>
          </w:p>
        </w:tc>
        <w:tc>
          <w:tcPr>
            <w:tcW w:type="dxa" w:w="1976"/>
          </w:tcPr>
          <w:p>
            <w:r>
              <w:t>Domain Model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Invitation represents invitation entitlement/context; Attendee represents a person.</w:t>
            </w:r>
          </w:p>
        </w:tc>
      </w:tr>
      <w:tr>
        <w:tc>
          <w:tcPr>
            <w:tcW w:type="dxa" w:w="1976"/>
          </w:tcPr>
          <w:p>
            <w:r>
              <w:t>ADR-004</w:t>
            </w:r>
          </w:p>
        </w:tc>
        <w:tc>
          <w:tcPr>
            <w:tcW w:type="dxa" w:w="1976"/>
          </w:tcPr>
          <w:p>
            <w:r>
              <w:t>Configuration Over Hard-Coding</w:t>
            </w:r>
          </w:p>
        </w:tc>
        <w:tc>
          <w:tcPr>
            <w:tcW w:type="dxa" w:w="1976"/>
          </w:tcPr>
          <w:p>
            <w:r>
              <w:t>Architecture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Event-specific names, dates, venue, branding, wording, artwork, deadlines, and templates are configuration.</w:t>
            </w:r>
          </w:p>
        </w:tc>
      </w:tr>
      <w:tr>
        <w:tc>
          <w:tcPr>
            <w:tcW w:type="dxa" w:w="1976"/>
          </w:tcPr>
          <w:p>
            <w:r>
              <w:t>ADR-005</w:t>
            </w:r>
          </w:p>
        </w:tc>
        <w:tc>
          <w:tcPr>
            <w:tcW w:type="dxa" w:w="1976"/>
          </w:tcPr>
          <w:p>
            <w:r>
              <w:t>Documentation as First-Class Deliverable</w:t>
            </w:r>
          </w:p>
        </w:tc>
        <w:tc>
          <w:tcPr>
            <w:tcW w:type="dxa" w:w="1976"/>
          </w:tcPr>
          <w:p>
            <w:r>
              <w:t>Governance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Documentation must be updated as part of releases and architectural change.</w:t>
            </w:r>
          </w:p>
        </w:tc>
      </w:tr>
      <w:tr>
        <w:tc>
          <w:tcPr>
            <w:tcW w:type="dxa" w:w="1976"/>
          </w:tcPr>
          <w:p>
            <w:r>
              <w:t>ADR-006</w:t>
            </w:r>
          </w:p>
        </w:tc>
        <w:tc>
          <w:tcPr>
            <w:tcW w:type="dxa" w:w="1976"/>
          </w:tcPr>
          <w:p>
            <w:r>
              <w:t>Mobile-First Public Experience</w:t>
            </w:r>
          </w:p>
        </w:tc>
        <w:tc>
          <w:tcPr>
            <w:tcW w:type="dxa" w:w="1976"/>
          </w:tcPr>
          <w:p>
            <w:r>
              <w:t>UX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Guest-facing flows are designed for smartphones first.</w:t>
            </w:r>
          </w:p>
        </w:tc>
      </w:tr>
      <w:tr>
        <w:tc>
          <w:tcPr>
            <w:tcW w:type="dxa" w:w="1976"/>
          </w:tcPr>
          <w:p>
            <w:r>
              <w:t>ADR-007</w:t>
            </w:r>
          </w:p>
        </w:tc>
        <w:tc>
          <w:tcPr>
            <w:tcW w:type="dxa" w:w="1976"/>
          </w:tcPr>
          <w:p>
            <w:r>
              <w:t>Normalize Companions into Attendees</w:t>
            </w:r>
          </w:p>
        </w:tc>
        <w:tc>
          <w:tcPr>
            <w:tcW w:type="dxa" w:w="1976"/>
          </w:tcPr>
          <w:p>
            <w:r>
              <w:t>Database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Companion submissions shall become attendee records when attendee-level operations are required.</w:t>
            </w:r>
          </w:p>
        </w:tc>
      </w:tr>
      <w:tr>
        <w:tc>
          <w:tcPr>
            <w:tcW w:type="dxa" w:w="1976"/>
          </w:tcPr>
          <w:p>
            <w:r>
              <w:t>ADR-008</w:t>
            </w:r>
          </w:p>
        </w:tc>
        <w:tc>
          <w:tcPr>
            <w:tcW w:type="dxa" w:w="1976"/>
          </w:tcPr>
          <w:p>
            <w:r>
              <w:t>High-Entropy Personalized Invitation Tokens</w:t>
            </w:r>
          </w:p>
        </w:tc>
        <w:tc>
          <w:tcPr>
            <w:tcW w:type="dxa" w:w="1976"/>
          </w:tcPr>
          <w:p>
            <w:r>
              <w:t>Security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Use unique high-entropy tokens in personalized invitation links; do not expose email/password as public credentials.</w:t>
            </w:r>
          </w:p>
        </w:tc>
      </w:tr>
      <w:tr>
        <w:tc>
          <w:tcPr>
            <w:tcW w:type="dxa" w:w="1976"/>
          </w:tcPr>
          <w:p>
            <w:r>
              <w:t>ADR-009</w:t>
            </w:r>
          </w:p>
        </w:tc>
        <w:tc>
          <w:tcPr>
            <w:tcW w:type="dxa" w:w="1976"/>
          </w:tcPr>
          <w:p>
            <w:r>
              <w:t>Provider-Agnostic Communications</w:t>
            </w:r>
          </w:p>
        </w:tc>
        <w:tc>
          <w:tcPr>
            <w:tcW w:type="dxa" w:w="1976"/>
          </w:tcPr>
          <w:p>
            <w:r>
              <w:t>Integration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Email/SMS providers are adapters behind EventFlow communication services.</w:t>
            </w:r>
          </w:p>
        </w:tc>
      </w:tr>
      <w:tr>
        <w:tc>
          <w:tcPr>
            <w:tcW w:type="dxa" w:w="1976"/>
          </w:tcPr>
          <w:p>
            <w:r>
              <w:t>ADR-010</w:t>
            </w:r>
          </w:p>
        </w:tc>
        <w:tc>
          <w:tcPr>
            <w:tcW w:type="dxa" w:w="1976"/>
          </w:tcPr>
          <w:p>
            <w:r>
              <w:t>Staged Release Model</w:t>
            </w:r>
          </w:p>
        </w:tc>
        <w:tc>
          <w:tcPr>
            <w:tcW w:type="dxa" w:w="1976"/>
          </w:tcPr>
          <w:p>
            <w:r>
              <w:t>Delivery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Use documented sprint/release gates, semantic versioning, tags, and controlled migrations.</w:t>
            </w:r>
          </w:p>
        </w:tc>
      </w:tr>
      <w:tr>
        <w:tc>
          <w:tcPr>
            <w:tcW w:type="dxa" w:w="1976"/>
          </w:tcPr>
          <w:p>
            <w:r>
              <w:t>ADR-011</w:t>
            </w:r>
          </w:p>
        </w:tc>
        <w:tc>
          <w:tcPr>
            <w:tcW w:type="dxa" w:w="1976"/>
          </w:tcPr>
          <w:p>
            <w:r>
              <w:t>GitHub as Engineering System of Record</w:t>
            </w:r>
          </w:p>
        </w:tc>
        <w:tc>
          <w:tcPr>
            <w:tcW w:type="dxa" w:w="1976"/>
          </w:tcPr>
          <w:p>
            <w:r>
              <w:t>Governance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GitHub repository history is the authoritative engineering history for source, controlled markdown documentation, tags, and release metadata.</w:t>
            </w:r>
          </w:p>
        </w:tc>
      </w:tr>
      <w:tr>
        <w:tc>
          <w:tcPr>
            <w:tcW w:type="dxa" w:w="1976"/>
          </w:tcPr>
          <w:p>
            <w:r>
              <w:t>ADR-012</w:t>
            </w:r>
          </w:p>
        </w:tc>
        <w:tc>
          <w:tcPr>
            <w:tcW w:type="dxa" w:w="1976"/>
          </w:tcPr>
          <w:p>
            <w:r>
              <w:t>Capacity Tiers A-C for v1.x</w:t>
            </w:r>
          </w:p>
        </w:tc>
        <w:tc>
          <w:tcPr>
            <w:tcW w:type="dxa" w:w="1976"/>
          </w:tcPr>
          <w:p>
            <w:r>
              <w:t>Scalability</w:t>
            </w:r>
          </w:p>
        </w:tc>
        <w:tc>
          <w:tcPr>
            <w:tcW w:type="dxa" w:w="1976"/>
          </w:tcPr>
          <w:p>
            <w:r>
              <w:t>Accepted</w:t>
            </w:r>
          </w:p>
        </w:tc>
        <w:tc>
          <w:tcPr>
            <w:tcW w:type="dxa" w:w="1976"/>
          </w:tcPr>
          <w:p>
            <w:r>
              <w:t>Design v1.x primarily for up to 5,000 attendees per event, with Tier D treated as future platform scale.</w:t>
            </w:r>
          </w:p>
        </w:tc>
      </w:tr>
    </w:tbl>
    <w:p>
      <w:pPr>
        <w:pStyle w:val="Heading1"/>
      </w:pPr>
      <w:r>
        <w:t>4. Governance</w:t>
      </w:r>
    </w:p>
    <w:p>
      <w:r>
        <w:t>1. Every material architectural decision shall be represented by an ADR when the decision has meaningful long-term consequences.</w:t>
      </w:r>
    </w:p>
    <w:p>
      <w:r>
        <w:t>2. Accepted ADRs remain historical records.</w:t>
      </w:r>
    </w:p>
    <w:p>
      <w:r>
        <w:t>3. A changed decision is documented by a new ADR that explicitly supersedes prior ADRs.</w:t>
      </w:r>
    </w:p>
    <w:p>
      <w:r>
        <w:t>4. ADRs should reference related PRD requirements, architecture sections, database changes, and releases where applicable.</w:t>
      </w:r>
    </w:p>
    <w:p>
      <w:pPr>
        <w:pStyle w:val="Heading1"/>
      </w:pPr>
      <w:r>
        <w:t>5. Sprint 1 Baseline</w:t>
      </w:r>
    </w:p>
    <w:p>
      <w:r>
        <w:t>ADR-001 through ADR-012 form the approved architecture decision baseline for the EventFlow documentation foundation.</w:t>
      </w:r>
    </w:p>
    <w:sectPr w:rsidR="00FC693F" w:rsidRPr="0006063C" w:rsidSect="00034616">
      <w:footerReference w:type="default" r:id="rId9"/>
      <w:pgSz w:w="12240" w:h="15840"/>
      <w:pgMar w:top="1008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EventFlow | EF-DOC-002 | Version 1.0 | Internal Architecture Governance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