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0"/>
        </w:rPr>
        <w:t>EVENTFLOW</w:t>
      </w:r>
    </w:p>
    <w:p>
      <w:pPr>
        <w:pStyle w:val="Subtitle"/>
        <w:jc w:val="center"/>
      </w:pPr>
      <w:r>
        <w:t>EF-DOC-003</w:t>
      </w:r>
    </w:p>
    <w:p>
      <w:pPr>
        <w:pStyle w:val="Title"/>
        <w:jc w:val="center"/>
      </w:pPr>
      <w:r>
        <w:t>Product Requirements Document</w:t>
      </w:r>
    </w:p>
    <w:p>
      <w:pPr>
        <w:jc w:val="center"/>
      </w:pPr>
      <w:r>
        <w:t>Version 1.0 | Approved Baseline</w:t>
      </w:r>
    </w:p>
    <w:p>
      <w:pPr>
        <w:jc w:val="center"/>
      </w:pPr>
      <w:r>
        <w:rPr>
          <w:i/>
        </w:rPr>
        <w:br/>
        <w:t>Every Guest Matters. Every Event Flows.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</w:tcPr>
          <w:p>
            <w:r>
              <w:rPr>
                <w:b/>
              </w:rPr>
              <w:t>Document ID</w:t>
            </w:r>
          </w:p>
        </w:tc>
        <w:tc>
          <w:tcPr>
            <w:tcW w:type="dxa" w:w="4939"/>
          </w:tcPr>
          <w:p>
            <w:r>
              <w:t>EF-DOC-003</w:t>
            </w:r>
          </w:p>
        </w:tc>
      </w:tr>
      <w:tr>
        <w:tc>
          <w:tcPr>
            <w:tcW w:type="dxa" w:w="4939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939"/>
          </w:tcPr>
          <w:p>
            <w:r>
              <w:t>Product Requirements Document</w:t>
            </w:r>
          </w:p>
        </w:tc>
      </w:tr>
      <w:tr>
        <w:tc>
          <w:tcPr>
            <w:tcW w:type="dxa" w:w="4939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939"/>
          </w:tcPr>
          <w:p>
            <w:r>
              <w:t>1.0</w:t>
            </w:r>
          </w:p>
        </w:tc>
      </w:tr>
      <w:tr>
        <w:tc>
          <w:tcPr>
            <w:tcW w:type="dxa" w:w="4939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939"/>
          </w:tcPr>
          <w:p>
            <w:r>
              <w:t>Approved Baseline</w:t>
            </w:r>
          </w:p>
        </w:tc>
      </w:tr>
      <w:tr>
        <w:tc>
          <w:tcPr>
            <w:tcW w:type="dxa" w:w="4939"/>
          </w:tcPr>
          <w:p>
            <w:r>
              <w:rPr>
                <w:b/>
              </w:rPr>
              <w:t>Product</w:t>
            </w:r>
          </w:p>
        </w:tc>
        <w:tc>
          <w:tcPr>
            <w:tcW w:type="dxa" w:w="4939"/>
          </w:tcPr>
          <w:p>
            <w:r>
              <w:t>EventFlow</w:t>
            </w:r>
          </w:p>
        </w:tc>
      </w:tr>
      <w:tr>
        <w:tc>
          <w:tcPr>
            <w:tcW w:type="dxa" w:w="4939"/>
          </w:tcPr>
          <w:p>
            <w:r>
              <w:rPr>
                <w:b/>
              </w:rPr>
              <w:t>Document Owner</w:t>
            </w:r>
          </w:p>
        </w:tc>
        <w:tc>
          <w:tcPr>
            <w:tcW w:type="dxa" w:w="4939"/>
          </w:tcPr>
          <w:p>
            <w:r>
              <w:t>Product Owner</w:t>
            </w:r>
          </w:p>
        </w:tc>
      </w:tr>
      <w:tr>
        <w:tc>
          <w:tcPr>
            <w:tcW w:type="dxa" w:w="4939"/>
          </w:tcPr>
          <w:p>
            <w:r>
              <w:rPr>
                <w:b/>
              </w:rPr>
              <w:t>Technical Owner</w:t>
            </w:r>
          </w:p>
        </w:tc>
        <w:tc>
          <w:tcPr>
            <w:tcW w:type="dxa" w:w="4939"/>
          </w:tcPr>
          <w:p>
            <w:r>
              <w:t>Solution Architect</w:t>
            </w:r>
          </w:p>
        </w:tc>
      </w:tr>
      <w:tr>
        <w:tc>
          <w:tcPr>
            <w:tcW w:type="dxa" w:w="4939"/>
          </w:tcPr>
          <w:p>
            <w:r>
              <w:rPr>
                <w:b/>
              </w:rPr>
              <w:t>Created</w:t>
            </w:r>
          </w:p>
        </w:tc>
        <w:tc>
          <w:tcPr>
            <w:tcW w:type="dxa" w:w="4939"/>
          </w:tcPr>
          <w:p>
            <w:r>
              <w:t>2026-08-06</w:t>
            </w:r>
          </w:p>
        </w:tc>
      </w:tr>
      <w:tr>
        <w:tc>
          <w:tcPr>
            <w:tcW w:type="dxa" w:w="4939"/>
          </w:tcPr>
          <w:p>
            <w:r>
              <w:rPr>
                <w:b/>
              </w:rPr>
              <w:t>Last Updated</w:t>
            </w:r>
          </w:p>
        </w:tc>
        <w:tc>
          <w:tcPr>
            <w:tcW w:type="dxa" w:w="4939"/>
          </w:tcPr>
          <w:p>
            <w:r>
              <w:t>2026-08-06</w:t>
            </w:r>
          </w:p>
        </w:tc>
      </w:tr>
      <w:tr>
        <w:tc>
          <w:tcPr>
            <w:tcW w:type="dxa" w:w="4939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939"/>
          </w:tcPr>
          <w:p>
            <w:r>
              <w:t>Internal Product Requirements</w:t>
            </w:r>
          </w:p>
        </w:tc>
      </w:tr>
      <w:tr>
        <w:tc>
          <w:tcPr>
            <w:tcW w:type="dxa" w:w="4939"/>
          </w:tcPr>
          <w:p>
            <w:r>
              <w:rPr>
                <w:b/>
              </w:rPr>
              <w:t>Related Documents</w:t>
            </w:r>
          </w:p>
        </w:tc>
        <w:tc>
          <w:tcPr>
            <w:tcW w:type="dxa" w:w="4939"/>
          </w:tcPr>
          <w:p>
            <w:r>
              <w:t>EF-DOC-000, EF-DOC-001, EF-DOC-002, EF-DOC-004, EF-DOC-005</w:t>
            </w:r>
          </w:p>
        </w:tc>
      </w:tr>
    </w:tbl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469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469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469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469"/>
          </w:tcPr>
          <w:p>
            <w:r>
              <w:rPr>
                <w:b/>
              </w:rPr>
              <w:t>Summary</w:t>
            </w:r>
          </w:p>
        </w:tc>
      </w:tr>
      <w:tr>
        <w:tc>
          <w:tcPr>
            <w:tcW w:type="dxa" w:w="2469"/>
          </w:tcPr>
          <w:p>
            <w:r>
              <w:t>0.1</w:t>
            </w:r>
          </w:p>
        </w:tc>
        <w:tc>
          <w:tcPr>
            <w:tcW w:type="dxa" w:w="2469"/>
          </w:tcPr>
          <w:p>
            <w:r>
              <w:t>2026-08-06</w:t>
            </w:r>
          </w:p>
        </w:tc>
        <w:tc>
          <w:tcPr>
            <w:tcW w:type="dxa" w:w="2469"/>
          </w:tcPr>
          <w:p>
            <w:r>
              <w:t>Draft</w:t>
            </w:r>
          </w:p>
        </w:tc>
        <w:tc>
          <w:tcPr>
            <w:tcW w:type="dxa" w:w="2469"/>
          </w:tcPr>
          <w:p>
            <w:r>
              <w:t>Initial PRD structure established.</w:t>
            </w:r>
          </w:p>
        </w:tc>
      </w:tr>
      <w:tr>
        <w:tc>
          <w:tcPr>
            <w:tcW w:type="dxa" w:w="2469"/>
          </w:tcPr>
          <w:p>
            <w:r>
              <w:t>1.0</w:t>
            </w:r>
          </w:p>
        </w:tc>
        <w:tc>
          <w:tcPr>
            <w:tcW w:type="dxa" w:w="2469"/>
          </w:tcPr>
          <w:p>
            <w:r>
              <w:t>2026-08-06</w:t>
            </w:r>
          </w:p>
        </w:tc>
        <w:tc>
          <w:tcPr>
            <w:tcW w:type="dxa" w:w="2469"/>
          </w:tcPr>
          <w:p>
            <w:r>
              <w:t>Approved Baseline</w:t>
            </w:r>
          </w:p>
        </w:tc>
        <w:tc>
          <w:tcPr>
            <w:tcW w:type="dxa" w:w="2469"/>
          </w:tcPr>
          <w:p>
            <w:r>
              <w:t>Sprint 1 product requirements baseline approved for architecture and implementation planning.</w:t>
            </w:r>
          </w:p>
        </w:tc>
      </w:tr>
    </w:tbl>
    <w:p>
      <w:pPr>
        <w:pStyle w:val="Heading1"/>
      </w:pPr>
      <w:r>
        <w:t>Approval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</w:tcPr>
          <w:p>
            <w:r>
              <w:rPr>
                <w:b/>
              </w:rPr>
              <w:t>Role</w:t>
            </w:r>
          </w:p>
        </w:tc>
        <w:tc>
          <w:tcPr>
            <w:tcW w:type="dxa" w:w="3293"/>
          </w:tcPr>
          <w:p>
            <w:r>
              <w:rPr>
                <w:b/>
              </w:rPr>
              <w:t>Approval</w:t>
            </w:r>
          </w:p>
        </w:tc>
        <w:tc>
          <w:tcPr>
            <w:tcW w:type="dxa" w:w="3293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3293"/>
          </w:tcPr>
          <w:p>
            <w:r>
              <w:t>Product Owner</w:t>
            </w:r>
          </w:p>
        </w:tc>
        <w:tc>
          <w:tcPr>
            <w:tcW w:type="dxa" w:w="3293"/>
          </w:tcPr>
          <w:p>
            <w:r>
              <w:t>Approved Baseline</w:t>
            </w:r>
          </w:p>
        </w:tc>
        <w:tc>
          <w:tcPr>
            <w:tcW w:type="dxa" w:w="3293"/>
          </w:tcPr>
          <w:p>
            <w:r>
              <w:t>2026-08-06</w:t>
            </w:r>
          </w:p>
        </w:tc>
      </w:tr>
      <w:tr>
        <w:tc>
          <w:tcPr>
            <w:tcW w:type="dxa" w:w="3293"/>
          </w:tcPr>
          <w:p>
            <w:r>
              <w:t>Solution Architect</w:t>
            </w:r>
          </w:p>
        </w:tc>
        <w:tc>
          <w:tcPr>
            <w:tcW w:type="dxa" w:w="3293"/>
          </w:tcPr>
          <w:p>
            <w:r>
              <w:t>Reviewed and Baseline Prepared</w:t>
            </w:r>
          </w:p>
        </w:tc>
        <w:tc>
          <w:tcPr>
            <w:tcW w:type="dxa" w:w="3293"/>
          </w:tcPr>
          <w:p>
            <w:r>
              <w:t>2026-08-06</w:t>
            </w:r>
          </w:p>
        </w:tc>
      </w:tr>
    </w:tbl>
    <w:p>
      <w:pPr>
        <w:pStyle w:val="Heading1"/>
      </w:pPr>
      <w:r>
        <w:t>## 1. Executive Summary</w:t>
      </w:r>
    </w:p>
    <w:p>
      <w:r>
        <w:t>EventFlow is an Event Operations Platform designed to manage the complete guest lifecycle within one coherent system. The first reference implementation supports Lui @ 60, while the requirements are intentionally generic enough to support future events without source-code forks.</w:t>
      </w:r>
    </w:p>
    <w:p>
      <w:pPr>
        <w:pStyle w:val="Heading1"/>
      </w:pPr>
      <w:r>
        <w:t>2. Product Objectives</w:t>
      </w:r>
    </w:p>
    <w:p>
      <w:r>
        <w:t>1. Provide a reusable event configuration model.</w:t>
      </w:r>
    </w:p>
    <w:p>
      <w:r>
        <w:t>2. Maintain coherent Invitation and Attendee data.</w:t>
      </w:r>
    </w:p>
    <w:p>
      <w:r>
        <w:t>3. Deliver secure personalized guest experiences.</w:t>
      </w:r>
    </w:p>
    <w:p>
      <w:r>
        <w:t>4. Support operational communications, seating, reception, check-in, and reporting through modular capabilities.</w:t>
      </w:r>
    </w:p>
    <w:p>
      <w:r>
        <w:t>5. Preserve traceability between requirements, ADRs, architecture, database design, implementation, tests, and releases.</w:t>
      </w:r>
    </w:p>
    <w:p>
      <w:r>
        <w:t>6. Support reference capacity Tiers A-C without fundamental domain-model redesign.</w:t>
      </w:r>
    </w:p>
    <w:p>
      <w:pPr>
        <w:pStyle w:val="Heading1"/>
      </w:pPr>
      <w:r>
        <w:t>In Scope</w:t>
      </w:r>
    </w:p>
    <w:p>
      <w:pPr>
        <w:pStyle w:val="ListBullet"/>
      </w:pPr>
      <w:r>
        <w:t>Event configuration.</w:t>
      </w:r>
    </w:p>
    <w:p>
      <w:pPr>
        <w:pStyle w:val="ListBullet"/>
      </w:pPr>
      <w:r>
        <w:t>Guest/invitation import and management.</w:t>
      </w:r>
    </w:p>
    <w:p>
      <w:pPr>
        <w:pStyle w:val="ListBullet"/>
      </w:pPr>
      <w:r>
        <w:t>Secure invitation links.</w:t>
      </w:r>
    </w:p>
    <w:p>
      <w:pPr>
        <w:pStyle w:val="ListBullet"/>
      </w:pPr>
      <w:r>
        <w:t>Attendee/companion collection.</w:t>
      </w:r>
    </w:p>
    <w:p>
      <w:pPr>
        <w:pStyle w:val="ListBullet"/>
      </w:pPr>
      <w:r>
        <w:t>Email and SMS communication architecture.</w:t>
      </w:r>
    </w:p>
    <w:p>
      <w:pPr>
        <w:pStyle w:val="ListBullet"/>
      </w:pPr>
      <w:r>
        <w:t>Seating data model and future planner.</w:t>
      </w:r>
    </w:p>
    <w:p>
      <w:pPr>
        <w:pStyle w:val="ListBullet"/>
      </w:pPr>
      <w:r>
        <w:t>Reception and check-in workflows.</w:t>
      </w:r>
    </w:p>
    <w:p>
      <w:pPr>
        <w:pStyle w:val="ListBullet"/>
      </w:pPr>
      <w:r>
        <w:t>Reports and exports.</w:t>
      </w:r>
    </w:p>
    <w:p>
      <w:pPr>
        <w:pStyle w:val="ListBullet"/>
      </w:pPr>
      <w:r>
        <w:t>Roles, permissions, settings, integrations, and audit history.</w:t>
      </w:r>
    </w:p>
    <w:p>
      <w:pPr>
        <w:pStyle w:val="Heading1"/>
      </w:pPr>
      <w:r>
        <w:t>Out of Scope for v1.x Baseline</w:t>
      </w:r>
    </w:p>
    <w:p>
      <w:pPr>
        <w:pStyle w:val="ListBullet"/>
      </w:pPr>
      <w:r>
        <w:t>Full accounting.</w:t>
      </w:r>
    </w:p>
    <w:p>
      <w:pPr>
        <w:pStyle w:val="ListBullet"/>
      </w:pPr>
      <w:r>
        <w:t>Travel and hotel management.</w:t>
      </w:r>
    </w:p>
    <w:p>
      <w:pPr>
        <w:pStyle w:val="ListBullet"/>
      </w:pPr>
      <w:r>
        <w:t>Vendor procurement.</w:t>
      </w:r>
    </w:p>
    <w:p>
      <w:pPr>
        <w:pStyle w:val="ListBullet"/>
      </w:pPr>
      <w:r>
        <w:t>General-purpose CRM.</w:t>
      </w:r>
    </w:p>
    <w:p>
      <w:pPr>
        <w:pStyle w:val="ListBullet"/>
      </w:pPr>
      <w:r>
        <w:t>Full marketing automation.</w:t>
      </w:r>
    </w:p>
    <w:p>
      <w:pPr>
        <w:pStyle w:val="ListBullet"/>
      </w:pPr>
      <w:r>
        <w:t>SaaS billing and tenant provisioning.</w:t>
      </w:r>
    </w:p>
    <w:p>
      <w:pPr>
        <w:pStyle w:val="Heading1"/>
      </w:pPr>
      <w:r>
        <w:t>5.1 Events</w:t>
      </w:r>
    </w:p>
    <w:p>
      <w:pPr>
        <w:pStyle w:val="ListBullet"/>
      </w:pPr>
      <w:r/>
      <w:r>
        <w:rPr>
          <w:b/>
        </w:rPr>
        <w:t>FR-EVT-001:</w:t>
      </w:r>
      <w:r>
        <w:t xml:space="preserve"> The system shall create and maintain an Event record with a stable internal ID.</w:t>
      </w:r>
    </w:p>
    <w:p>
      <w:pPr>
        <w:pStyle w:val="ListBullet"/>
      </w:pPr>
      <w:r/>
      <w:r>
        <w:rPr>
          <w:b/>
        </w:rPr>
        <w:t>FR-EVT-002:</w:t>
      </w:r>
      <w:r>
        <w:t xml:space="preserve"> Event settings shall include name, status, date/time, timezone, venue, organizer contact, branding, invitation artwork, guest-facing wording, and relevant deadlines.</w:t>
      </w:r>
    </w:p>
    <w:p>
      <w:pPr>
        <w:pStyle w:val="ListBullet"/>
      </w:pPr>
      <w:r/>
      <w:r>
        <w:rPr>
          <w:b/>
        </w:rPr>
        <w:t>FR-EVT-003:</w:t>
      </w:r>
      <w:r>
        <w:t xml:space="preserve"> Event-specific settings shall not require source-code modification.</w:t>
      </w:r>
    </w:p>
    <w:p>
      <w:pPr>
        <w:pStyle w:val="ListBullet"/>
      </w:pPr>
      <w:r/>
      <w:r>
        <w:rPr>
          <w:b/>
        </w:rPr>
        <w:t>FR-EVT-004:</w:t>
      </w:r>
      <w:r>
        <w:t xml:space="preserve"> All event-scoped records shall explicitly reference an Event.</w:t>
      </w:r>
    </w:p>
    <w:p>
      <w:pPr>
        <w:pStyle w:val="Heading1"/>
      </w:pPr>
      <w:r>
        <w:t>5.2 Invitations</w:t>
      </w:r>
    </w:p>
    <w:p>
      <w:pPr>
        <w:pStyle w:val="ListBullet"/>
      </w:pPr>
      <w:r/>
      <w:r>
        <w:rPr>
          <w:b/>
        </w:rPr>
        <w:t>FR-INV-001:</w:t>
      </w:r>
      <w:r>
        <w:t xml:space="preserve"> The system shall create one Invitation record per primary invitee/group.</w:t>
      </w:r>
    </w:p>
    <w:p>
      <w:pPr>
        <w:pStyle w:val="ListBullet"/>
      </w:pPr>
      <w:r/>
      <w:r>
        <w:rPr>
          <w:b/>
        </w:rPr>
        <w:t>FR-INV-002:</w:t>
      </w:r>
      <w:r>
        <w:t xml:space="preserve"> Invitations shall maintain primary guest identity, contact channels, capacity entitlement, status, and secure access token.</w:t>
      </w:r>
    </w:p>
    <w:p>
      <w:pPr>
        <w:pStyle w:val="ListBullet"/>
      </w:pPr>
      <w:r/>
      <w:r>
        <w:rPr>
          <w:b/>
        </w:rPr>
        <w:t>FR-INV-003:</w:t>
      </w:r>
      <w:r>
        <w:t xml:space="preserve"> Invitation tokens shall be high entropy, unique, and non-guessable.</w:t>
      </w:r>
    </w:p>
    <w:p>
      <w:pPr>
        <w:pStyle w:val="ListBullet"/>
      </w:pPr>
      <w:r/>
      <w:r>
        <w:rPr>
          <w:b/>
        </w:rPr>
        <w:t>FR-INV-004:</w:t>
      </w:r>
      <w:r>
        <w:t xml:space="preserve"> Guest-facing links shall not require guests to create a password unless a later requirement explicitly introduces accounts.</w:t>
      </w:r>
    </w:p>
    <w:p>
      <w:pPr>
        <w:pStyle w:val="ListBullet"/>
      </w:pPr>
      <w:r/>
      <w:r>
        <w:rPr>
          <w:b/>
        </w:rPr>
        <w:t>FR-INV-005:</w:t>
      </w:r>
      <w:r>
        <w:t xml:space="preserve"> The system shall preserve invitation-level communication and confirmation history.</w:t>
      </w:r>
    </w:p>
    <w:p>
      <w:pPr>
        <w:pStyle w:val="ListBullet"/>
      </w:pPr>
      <w:r/>
      <w:r>
        <w:rPr>
          <w:b/>
        </w:rPr>
        <w:t>FR-INV-006:</w:t>
      </w:r>
      <w:r>
        <w:t xml:space="preserve"> Invitation import shall support validation, duplicate detection, and safe re-import behavior.</w:t>
      </w:r>
    </w:p>
    <w:p>
      <w:pPr>
        <w:pStyle w:val="Heading1"/>
      </w:pPr>
      <w:r>
        <w:t>5.3 Attendees</w:t>
      </w:r>
    </w:p>
    <w:p>
      <w:pPr>
        <w:pStyle w:val="ListBullet"/>
      </w:pPr>
      <w:r/>
      <w:r>
        <w:rPr>
          <w:b/>
        </w:rPr>
        <w:t>FR-ATT-001:</w:t>
      </w:r>
      <w:r>
        <w:t xml:space="preserve"> The primary guest shall be representable as an Attendee.</w:t>
      </w:r>
    </w:p>
    <w:p>
      <w:pPr>
        <w:pStyle w:val="ListBullet"/>
      </w:pPr>
      <w:r/>
      <w:r>
        <w:rPr>
          <w:b/>
        </w:rPr>
        <w:t>FR-ATT-002:</w:t>
      </w:r>
      <w:r>
        <w:t xml:space="preserve"> Confirmed companions shall be stored as individual Attendee records when attendee-level operations are enabled.</w:t>
      </w:r>
    </w:p>
    <w:p>
      <w:pPr>
        <w:pStyle w:val="ListBullet"/>
      </w:pPr>
      <w:r/>
      <w:r>
        <w:rPr>
          <w:b/>
        </w:rPr>
        <w:t>FR-ATT-003:</w:t>
      </w:r>
      <w:r>
        <w:t xml:space="preserve"> Each Attendee shall belong to one Event and normally reference the originating Invitation.</w:t>
      </w:r>
    </w:p>
    <w:p>
      <w:pPr>
        <w:pStyle w:val="ListBullet"/>
      </w:pPr>
      <w:r/>
      <w:r>
        <w:rPr>
          <w:b/>
        </w:rPr>
        <w:t>FR-ATT-004:</w:t>
      </w:r>
      <w:r>
        <w:t xml:space="preserve"> Attendee state shall support confirmation, seating, check-in, and future badge/place-card use.</w:t>
      </w:r>
    </w:p>
    <w:p>
      <w:pPr>
        <w:pStyle w:val="ListBullet"/>
      </w:pPr>
      <w:r/>
      <w:r>
        <w:rPr>
          <w:b/>
        </w:rPr>
        <w:t>FR-ATT-005:</w:t>
      </w:r>
      <w:r>
        <w:t xml:space="preserve"> Attendee corrections shall not require deletion/recreation of the parent Invitation.</w:t>
      </w:r>
    </w:p>
    <w:p>
      <w:pPr>
        <w:pStyle w:val="Heading1"/>
      </w:pPr>
      <w:r>
        <w:t>5.4 Guest Experience</w:t>
      </w:r>
    </w:p>
    <w:p>
      <w:pPr>
        <w:pStyle w:val="ListBullet"/>
      </w:pPr>
      <w:r/>
      <w:r>
        <w:rPr>
          <w:b/>
        </w:rPr>
        <w:t>FR-GST-001:</w:t>
      </w:r>
      <w:r>
        <w:t xml:space="preserve"> A guest shall open a personalized invitation using a secure link.</w:t>
      </w:r>
    </w:p>
    <w:p>
      <w:pPr>
        <w:pStyle w:val="ListBullet"/>
      </w:pPr>
      <w:r/>
      <w:r>
        <w:rPr>
          <w:b/>
        </w:rPr>
        <w:t>FR-GST-002:</w:t>
      </w:r>
      <w:r>
        <w:t xml:space="preserve"> The guest page shall identify the event and display configurable official branding/artwork.</w:t>
      </w:r>
    </w:p>
    <w:p>
      <w:pPr>
        <w:pStyle w:val="ListBullet"/>
      </w:pPr>
      <w:r/>
      <w:r>
        <w:rPr>
          <w:b/>
        </w:rPr>
        <w:t>FR-GST-003:</w:t>
      </w:r>
      <w:r>
        <w:t xml:space="preserve"> The page shall display the invitation's reserved capacity when relevant.</w:t>
      </w:r>
    </w:p>
    <w:p>
      <w:pPr>
        <w:pStyle w:val="ListBullet"/>
      </w:pPr>
      <w:r/>
      <w:r>
        <w:rPr>
          <w:b/>
        </w:rPr>
        <w:t>FR-GST-004:</w:t>
      </w:r>
      <w:r>
        <w:t xml:space="preserve"> The guest shall be able to provide required companion names up to the invitation capacity.</w:t>
      </w:r>
    </w:p>
    <w:p>
      <w:pPr>
        <w:pStyle w:val="ListBullet"/>
      </w:pPr>
      <w:r/>
      <w:r>
        <w:rPr>
          <w:b/>
        </w:rPr>
        <w:t>FR-GST-005:</w:t>
      </w:r>
      <w:r>
        <w:t xml:space="preserve"> The system shall provide a clear success state after submission.</w:t>
      </w:r>
    </w:p>
    <w:p>
      <w:pPr>
        <w:pStyle w:val="ListBullet"/>
      </w:pPr>
      <w:r/>
      <w:r>
        <w:rPr>
          <w:b/>
        </w:rPr>
        <w:t>FR-GST-006:</w:t>
      </w:r>
      <w:r>
        <w:t xml:space="preserve"> The organizer shall control whether a completed submission can be reopened or edited.</w:t>
      </w:r>
    </w:p>
    <w:p>
      <w:pPr>
        <w:pStyle w:val="ListBullet"/>
      </w:pPr>
      <w:r/>
      <w:r>
        <w:rPr>
          <w:b/>
        </w:rPr>
        <w:t>FR-GST-007:</w:t>
      </w:r>
      <w:r>
        <w:t xml:space="preserve"> Guest-facing pages shall not expose unrelated guest or administrative information.</w:t>
      </w:r>
    </w:p>
    <w:p>
      <w:pPr>
        <w:pStyle w:val="Heading1"/>
      </w:pPr>
      <w:r>
        <w:t>5.5 Communications</w:t>
      </w:r>
    </w:p>
    <w:p>
      <w:pPr>
        <w:pStyle w:val="ListBullet"/>
      </w:pPr>
      <w:r/>
      <w:r>
        <w:rPr>
          <w:b/>
        </w:rPr>
        <w:t>FR-COM-001:</w:t>
      </w:r>
      <w:r>
        <w:t xml:space="preserve"> The system shall support email and SMS as communication channels through replaceable provider adapters.</w:t>
      </w:r>
    </w:p>
    <w:p>
      <w:pPr>
        <w:pStyle w:val="ListBullet"/>
      </w:pPr>
      <w:r/>
      <w:r>
        <w:rPr>
          <w:b/>
        </w:rPr>
        <w:t>FR-COM-002:</w:t>
      </w:r>
      <w:r>
        <w:t xml:space="preserve"> The system shall support templates containing event/invitation merge data.</w:t>
      </w:r>
    </w:p>
    <w:p>
      <w:pPr>
        <w:pStyle w:val="ListBullet"/>
      </w:pPr>
      <w:r/>
      <w:r>
        <w:rPr>
          <w:b/>
        </w:rPr>
        <w:t>FR-COM-003:</w:t>
      </w:r>
      <w:r>
        <w:t xml:space="preserve"> Communication history shall record channel, recipient, template/campaign, attempt time, provider reference, and status where available.</w:t>
      </w:r>
    </w:p>
    <w:p>
      <w:pPr>
        <w:pStyle w:val="ListBullet"/>
      </w:pPr>
      <w:r/>
      <w:r>
        <w:rPr>
          <w:b/>
        </w:rPr>
        <w:t>FR-COM-004:</w:t>
      </w:r>
      <w:r>
        <w:t xml:space="preserve"> Bulk sends shall support review, batching, and retry of failed items.</w:t>
      </w:r>
    </w:p>
    <w:p>
      <w:pPr>
        <w:pStyle w:val="ListBullet"/>
      </w:pPr>
      <w:r/>
      <w:r>
        <w:rPr>
          <w:b/>
        </w:rPr>
        <w:t>FR-COM-005:</w:t>
      </w:r>
      <w:r>
        <w:t xml:space="preserve"> The system shall support targeted sends such as not-sent, not-confirmed, or selected invitations.</w:t>
      </w:r>
    </w:p>
    <w:p>
      <w:pPr>
        <w:pStyle w:val="ListBullet"/>
      </w:pPr>
      <w:r/>
      <w:r>
        <w:rPr>
          <w:b/>
        </w:rPr>
        <w:t>FR-COM-006:</w:t>
      </w:r>
      <w:r>
        <w:t xml:space="preserve"> Provider failure shall not corrupt Invitation or Attendee data.</w:t>
      </w:r>
    </w:p>
    <w:p>
      <w:pPr>
        <w:pStyle w:val="ListBullet"/>
      </w:pPr>
      <w:r/>
      <w:r>
        <w:rPr>
          <w:b/>
        </w:rPr>
        <w:t>FR-COM-007:</w:t>
      </w:r>
      <w:r>
        <w:t xml:space="preserve"> Credentials shall be stored outside source control.</w:t>
      </w:r>
    </w:p>
    <w:p>
      <w:pPr>
        <w:pStyle w:val="Heading1"/>
      </w:pPr>
      <w:r>
        <w:t>5.6 Seating</w:t>
      </w:r>
    </w:p>
    <w:p>
      <w:pPr>
        <w:pStyle w:val="ListBullet"/>
      </w:pPr>
      <w:r/>
      <w:r>
        <w:rPr>
          <w:b/>
        </w:rPr>
        <w:t>FR-SEA-001:</w:t>
      </w:r>
      <w:r>
        <w:t xml:space="preserve"> The system shall model Tables independently from Invitations.</w:t>
      </w:r>
    </w:p>
    <w:p>
      <w:pPr>
        <w:pStyle w:val="ListBullet"/>
      </w:pPr>
      <w:r/>
      <w:r>
        <w:rPr>
          <w:b/>
        </w:rPr>
        <w:t>FR-SEA-002:</w:t>
      </w:r>
      <w:r>
        <w:t xml:space="preserve"> Tables shall support configurable name/number, capacity, and status.</w:t>
      </w:r>
    </w:p>
    <w:p>
      <w:pPr>
        <w:pStyle w:val="ListBullet"/>
      </w:pPr>
      <w:r/>
      <w:r>
        <w:rPr>
          <w:b/>
        </w:rPr>
        <w:t>FR-SEA-003:</w:t>
      </w:r>
      <w:r>
        <w:t xml:space="preserve"> Seating assignment shall operate at Attendee level when individual seating is required.</w:t>
      </w:r>
    </w:p>
    <w:p>
      <w:pPr>
        <w:pStyle w:val="ListBullet"/>
      </w:pPr>
      <w:r/>
      <w:r>
        <w:rPr>
          <w:b/>
        </w:rPr>
        <w:t>FR-SEA-004:</w:t>
      </w:r>
      <w:r>
        <w:t xml:space="preserve"> The system shall prevent or visibly warn on table over-capacity.</w:t>
      </w:r>
    </w:p>
    <w:p>
      <w:pPr>
        <w:pStyle w:val="ListBullet"/>
      </w:pPr>
      <w:r/>
      <w:r>
        <w:rPr>
          <w:b/>
        </w:rPr>
        <w:t>FR-SEA-005:</w:t>
      </w:r>
      <w:r>
        <w:t xml:space="preserve"> Visual floor layout and drag-and-drop planning are deferred until venue configuration is known and are not required for the Sprint 1 baseline.</w:t>
      </w:r>
    </w:p>
    <w:p>
      <w:pPr>
        <w:pStyle w:val="Heading1"/>
      </w:pPr>
      <w:r>
        <w:t>5.7 Reception and Check-in</w:t>
      </w:r>
    </w:p>
    <w:p>
      <w:pPr>
        <w:pStyle w:val="ListBullet"/>
      </w:pPr>
      <w:r/>
      <w:r>
        <w:rPr>
          <w:b/>
        </w:rPr>
        <w:t>FR-CHK-001:</w:t>
      </w:r>
      <w:r>
        <w:t xml:space="preserve"> Reception staff shall search by primary guest or companion name.</w:t>
      </w:r>
    </w:p>
    <w:p>
      <w:pPr>
        <w:pStyle w:val="ListBullet"/>
      </w:pPr>
      <w:r/>
      <w:r>
        <w:rPr>
          <w:b/>
        </w:rPr>
        <w:t>FR-CHK-002:</w:t>
      </w:r>
      <w:r>
        <w:t xml:space="preserve"> Search results shall show event-relevant identity, invitation relationship, table assignment, and check-in status.</w:t>
      </w:r>
    </w:p>
    <w:p>
      <w:pPr>
        <w:pStyle w:val="ListBullet"/>
      </w:pPr>
      <w:r/>
      <w:r>
        <w:rPr>
          <w:b/>
        </w:rPr>
        <w:t>FR-CHK-003:</w:t>
      </w:r>
      <w:r>
        <w:t xml:space="preserve"> Authorized staff shall record attendee arrival.</w:t>
      </w:r>
    </w:p>
    <w:p>
      <w:pPr>
        <w:pStyle w:val="ListBullet"/>
      </w:pPr>
      <w:r/>
      <w:r>
        <w:rPr>
          <w:b/>
        </w:rPr>
        <w:t>FR-CHK-004:</w:t>
      </w:r>
      <w:r>
        <w:t xml:space="preserve"> Duplicate check-in attempts shall be visible and non-destructive.</w:t>
      </w:r>
    </w:p>
    <w:p>
      <w:pPr>
        <w:pStyle w:val="ListBullet"/>
      </w:pPr>
      <w:r/>
      <w:r>
        <w:rPr>
          <w:b/>
        </w:rPr>
        <w:t>FR-CHK-005:</w:t>
      </w:r>
      <w:r>
        <w:t xml:space="preserve"> Reception shall remain usable when non-critical communication integrations are unavailable.</w:t>
      </w:r>
    </w:p>
    <w:p>
      <w:pPr>
        <w:pStyle w:val="Heading1"/>
      </w:pPr>
      <w:r>
        <w:t>5.8 Administration, Roles, and Audit</w:t>
      </w:r>
    </w:p>
    <w:p>
      <w:pPr>
        <w:pStyle w:val="ListBullet"/>
      </w:pPr>
      <w:r/>
      <w:r>
        <w:rPr>
          <w:b/>
        </w:rPr>
        <w:t>FR-ADM-001:</w:t>
      </w:r>
      <w:r>
        <w:t xml:space="preserve"> The platform shall implement role-based access controls.</w:t>
      </w:r>
    </w:p>
    <w:p>
      <w:pPr>
        <w:pStyle w:val="ListBullet"/>
      </w:pPr>
      <w:r/>
      <w:r>
        <w:rPr>
          <w:b/>
        </w:rPr>
        <w:t>FR-ADM-002:</w:t>
      </w:r>
      <w:r>
        <w:t xml:space="preserve"> Baseline roles shall include Administrator, Event Organizer, Event Coordinator, Reception Staff, and read-only/reporting access where needed.</w:t>
      </w:r>
    </w:p>
    <w:p>
      <w:pPr>
        <w:pStyle w:val="ListBullet"/>
      </w:pPr>
      <w:r/>
      <w:r>
        <w:rPr>
          <w:b/>
        </w:rPr>
        <w:t>FR-ADM-003:</w:t>
      </w:r>
      <w:r>
        <w:t xml:space="preserve"> Sensitive settings shall be restricted by capability.</w:t>
      </w:r>
    </w:p>
    <w:p>
      <w:pPr>
        <w:pStyle w:val="ListBullet"/>
      </w:pPr>
      <w:r/>
      <w:r>
        <w:rPr>
          <w:b/>
        </w:rPr>
        <w:t>FR-ADM-004:</w:t>
      </w:r>
      <w:r>
        <w:t xml:space="preserve"> Material administrative and event-operation actions shall produce audit records where defined by the architecture.</w:t>
      </w:r>
    </w:p>
    <w:p>
      <w:pPr>
        <w:pStyle w:val="ListBullet"/>
      </w:pPr>
      <w:r/>
      <w:r>
        <w:rPr>
          <w:b/>
        </w:rPr>
        <w:t>FR-ADM-005:</w:t>
      </w:r>
      <w:r>
        <w:t xml:space="preserve"> Destructive operations shall require explicit confirmation and authorization.</w:t>
      </w:r>
    </w:p>
    <w:p>
      <w:pPr>
        <w:pStyle w:val="Heading1"/>
      </w:pPr>
      <w:r>
        <w:t>5.9 Imports, Exports, and Reports</w:t>
      </w:r>
    </w:p>
    <w:p>
      <w:pPr>
        <w:pStyle w:val="ListBullet"/>
      </w:pPr>
      <w:r/>
      <w:r>
        <w:rPr>
          <w:b/>
        </w:rPr>
        <w:t>FR-DAT-001:</w:t>
      </w:r>
      <w:r>
        <w:t xml:space="preserve"> Guest/invitation import shall support XLSX and/or CSV through a validated import pipeline.</w:t>
      </w:r>
    </w:p>
    <w:p>
      <w:pPr>
        <w:pStyle w:val="ListBullet"/>
      </w:pPr>
      <w:r/>
      <w:r>
        <w:rPr>
          <w:b/>
        </w:rPr>
        <w:t>FR-DAT-002:</w:t>
      </w:r>
      <w:r>
        <w:t xml:space="preserve"> Import validation shall report rejected or questionable rows without silently discarding them.</w:t>
      </w:r>
    </w:p>
    <w:p>
      <w:pPr>
        <w:pStyle w:val="ListBullet"/>
      </w:pPr>
      <w:r/>
      <w:r>
        <w:rPr>
          <w:b/>
        </w:rPr>
        <w:t>FR-DAT-003:</w:t>
      </w:r>
      <w:r>
        <w:t xml:space="preserve"> Important event data shall be exportable in a practical machine-readable format.</w:t>
      </w:r>
    </w:p>
    <w:p>
      <w:pPr>
        <w:pStyle w:val="ListBullet"/>
      </w:pPr>
      <w:r/>
      <w:r>
        <w:rPr>
          <w:b/>
        </w:rPr>
        <w:t>FR-DAT-004:</w:t>
      </w:r>
      <w:r>
        <w:t xml:space="preserve"> Reports shall derive from authoritative EventFlow data rather than maintaining independent conflicting state.</w:t>
      </w:r>
    </w:p>
    <w:p>
      <w:pPr>
        <w:pStyle w:val="ListBullet"/>
      </w:pPr>
      <w:r/>
      <w:r>
        <w:rPr>
          <w:b/>
        </w:rPr>
        <w:t>FR-DAT-005:</w:t>
      </w:r>
      <w:r>
        <w:t xml:space="preserve"> Large reports/imports shall support background execution when synchronous processing becomes operationally unsuitable.</w:t>
      </w:r>
    </w:p>
    <w:p>
      <w:pPr>
        <w:pStyle w:val="Heading1"/>
      </w:pPr>
      <w:r>
        <w:t>6.2 Reliability</w:t>
      </w:r>
    </w:p>
    <w:p>
      <w:pPr>
        <w:pStyle w:val="ListBullet"/>
      </w:pPr>
      <w:r/>
      <w:r>
        <w:rPr>
          <w:b/>
        </w:rPr>
        <w:t>NFR-REL-001:</w:t>
      </w:r>
      <w:r>
        <w:t xml:space="preserve"> Failed external provider calls shall not invalidate core event data.</w:t>
      </w:r>
    </w:p>
    <w:p>
      <w:pPr>
        <w:pStyle w:val="ListBullet"/>
      </w:pPr>
      <w:r/>
      <w:r>
        <w:rPr>
          <w:b/>
        </w:rPr>
        <w:t>NFR-REL-002:</w:t>
      </w:r>
      <w:r>
        <w:t xml:space="preserve"> Retryable operations shall be idempotent where practical.</w:t>
      </w:r>
    </w:p>
    <w:p>
      <w:pPr>
        <w:pStyle w:val="ListBullet"/>
      </w:pPr>
      <w:r/>
      <w:r>
        <w:rPr>
          <w:b/>
        </w:rPr>
        <w:t>NFR-REL-003:</w:t>
      </w:r>
      <w:r>
        <w:t xml:space="preserve"> Database migrations shall have a documented recovery or rollback strategy.</w:t>
      </w:r>
    </w:p>
    <w:p>
      <w:pPr>
        <w:pStyle w:val="ListBullet"/>
      </w:pPr>
      <w:r/>
      <w:r>
        <w:rPr>
          <w:b/>
        </w:rPr>
        <w:t>NFR-REL-004:</w:t>
      </w:r>
      <w:r>
        <w:t xml:space="preserve"> Event-day workflows shall prioritize operational continuity.</w:t>
      </w:r>
    </w:p>
    <w:p>
      <w:pPr>
        <w:pStyle w:val="Heading1"/>
      </w:pPr>
      <w:r>
        <w:t>6.3 Security and Privacy</w:t>
      </w:r>
    </w:p>
    <w:p>
      <w:pPr>
        <w:pStyle w:val="ListBullet"/>
      </w:pPr>
      <w:r/>
      <w:r>
        <w:rPr>
          <w:b/>
        </w:rPr>
        <w:t>NFR-SEC-001:</w:t>
      </w:r>
      <w:r>
        <w:t xml:space="preserve"> Follow least privilege.</w:t>
      </w:r>
    </w:p>
    <w:p>
      <w:pPr>
        <w:pStyle w:val="ListBullet"/>
      </w:pPr>
      <w:r/>
      <w:r>
        <w:rPr>
          <w:b/>
        </w:rPr>
        <w:t>NFR-SEC-002:</w:t>
      </w:r>
      <w:r>
        <w:t xml:space="preserve"> Validate input and escape output.</w:t>
      </w:r>
    </w:p>
    <w:p>
      <w:pPr>
        <w:pStyle w:val="ListBullet"/>
      </w:pPr>
      <w:r/>
      <w:r>
        <w:rPr>
          <w:b/>
        </w:rPr>
        <w:t>NFR-SEC-003:</w:t>
      </w:r>
      <w:r>
        <w:t xml:space="preserve"> Protect state-changing administrative actions against CSRF where applicable.</w:t>
      </w:r>
    </w:p>
    <w:p>
      <w:pPr>
        <w:pStyle w:val="ListBullet"/>
      </w:pPr>
      <w:r/>
      <w:r>
        <w:rPr>
          <w:b/>
        </w:rPr>
        <w:t>NFR-SEC-004:</w:t>
      </w:r>
      <w:r>
        <w:t xml:space="preserve"> Do not commit credentials or secrets to Git.</w:t>
      </w:r>
    </w:p>
    <w:p>
      <w:pPr>
        <w:pStyle w:val="ListBullet"/>
      </w:pPr>
      <w:r/>
      <w:r>
        <w:rPr>
          <w:b/>
        </w:rPr>
        <w:t>NFR-SEC-005:</w:t>
      </w:r>
      <w:r>
        <w:t xml:space="preserve"> Invitation tokens shall provide at least 128 bits of effective unpredictability or an equivalent accepted control.</w:t>
      </w:r>
    </w:p>
    <w:p>
      <w:pPr>
        <w:pStyle w:val="ListBullet"/>
      </w:pPr>
      <w:r/>
      <w:r>
        <w:rPr>
          <w:b/>
        </w:rPr>
        <w:t>NFR-SEC-006:</w:t>
      </w:r>
      <w:r>
        <w:t xml:space="preserve"> Logs shall avoid unnecessary personal data and secrets.</w:t>
      </w:r>
    </w:p>
    <w:p>
      <w:pPr>
        <w:pStyle w:val="ListBullet"/>
      </w:pPr>
      <w:r/>
      <w:r>
        <w:rPr>
          <w:b/>
        </w:rPr>
        <w:t>NFR-SEC-007:</w:t>
      </w:r>
      <w:r>
        <w:t xml:space="preserve"> Access to guest data shall be role- and event-scoped as the multi-event model matures.</w:t>
      </w:r>
    </w:p>
    <w:p>
      <w:pPr>
        <w:pStyle w:val="Heading1"/>
      </w:pPr>
      <w:r>
        <w:t>6.4 Accessibility and UX</w:t>
      </w:r>
    </w:p>
    <w:p>
      <w:pPr>
        <w:pStyle w:val="ListBullet"/>
      </w:pPr>
      <w:r/>
      <w:r>
        <w:rPr>
          <w:b/>
        </w:rPr>
        <w:t>NFR-UX-001:</w:t>
      </w:r>
      <w:r>
        <w:t xml:space="preserve"> Public guest pages shall be mobile-first.</w:t>
      </w:r>
    </w:p>
    <w:p>
      <w:pPr>
        <w:pStyle w:val="ListBullet"/>
      </w:pPr>
      <w:r/>
      <w:r>
        <w:rPr>
          <w:b/>
        </w:rPr>
        <w:t>NFR-UX-002:</w:t>
      </w:r>
      <w:r>
        <w:t xml:space="preserve"> Public forms shall provide explicit labels, understandable validation, and clear success/error states.</w:t>
      </w:r>
    </w:p>
    <w:p>
      <w:pPr>
        <w:pStyle w:val="ListBullet"/>
      </w:pPr>
      <w:r/>
      <w:r>
        <w:rPr>
          <w:b/>
        </w:rPr>
        <w:t>NFR-UX-003:</w:t>
      </w:r>
      <w:r>
        <w:t xml:space="preserve"> Guest-facing pages should align with WCAG-informed semantic and contrast practices.</w:t>
      </w:r>
    </w:p>
    <w:p>
      <w:pPr>
        <w:pStyle w:val="ListBullet"/>
      </w:pPr>
      <w:r/>
      <w:r>
        <w:rPr>
          <w:b/>
        </w:rPr>
        <w:t>NFR-UX-004:</w:t>
      </w:r>
      <w:r>
        <w:t xml:space="preserve"> Reception workflows shall prioritize speed and large, clear operational controls.</w:t>
      </w:r>
    </w:p>
    <w:p>
      <w:pPr>
        <w:pStyle w:val="Heading1"/>
      </w:pPr>
      <w:r>
        <w:t>6.5 Maintainability</w:t>
      </w:r>
    </w:p>
    <w:p>
      <w:pPr>
        <w:pStyle w:val="ListBullet"/>
      </w:pPr>
      <w:r/>
      <w:r>
        <w:rPr>
          <w:b/>
        </w:rPr>
        <w:t>NFR-MNT-001:</w:t>
      </w:r>
      <w:r>
        <w:t xml:space="preserve"> Business logic shall be separated from presentation where practical.</w:t>
      </w:r>
    </w:p>
    <w:p>
      <w:pPr>
        <w:pStyle w:val="ListBullet"/>
      </w:pPr>
      <w:r/>
      <w:r>
        <w:rPr>
          <w:b/>
        </w:rPr>
        <w:t>NFR-MNT-002:</w:t>
      </w:r>
      <w:r>
        <w:t xml:space="preserve"> Provider-specific integration logic shall remain behind adapters.</w:t>
      </w:r>
    </w:p>
    <w:p>
      <w:pPr>
        <w:pStyle w:val="ListBullet"/>
      </w:pPr>
      <w:r/>
      <w:r>
        <w:rPr>
          <w:b/>
        </w:rPr>
        <w:t>NFR-MNT-003:</w:t>
      </w:r>
      <w:r>
        <w:t xml:space="preserve"> Schema changes shall use controlled migrations.</w:t>
      </w:r>
    </w:p>
    <w:p>
      <w:pPr>
        <w:pStyle w:val="ListBullet"/>
      </w:pPr>
      <w:r/>
      <w:r>
        <w:rPr>
          <w:b/>
        </w:rPr>
        <w:t>NFR-MNT-004:</w:t>
      </w:r>
      <w:r>
        <w:t xml:space="preserve"> Material architectural decisions shall have ADR coverage.</w:t>
      </w:r>
    </w:p>
    <w:p>
      <w:pPr>
        <w:pStyle w:val="ListBullet"/>
      </w:pPr>
      <w:r/>
      <w:r>
        <w:rPr>
          <w:b/>
        </w:rPr>
        <w:t>NFR-MNT-005:</w:t>
      </w:r>
      <w:r>
        <w:t xml:space="preserve"> Releases shall update relevant controlled documentation.</w:t>
      </w:r>
    </w:p>
    <w:p>
      <w:pPr>
        <w:pStyle w:val="Heading1"/>
      </w:pPr>
      <w:r>
        <w:t>6.6 Observability and Audit</w:t>
      </w:r>
    </w:p>
    <w:p>
      <w:pPr>
        <w:pStyle w:val="ListBullet"/>
      </w:pPr>
      <w:r/>
      <w:r>
        <w:rPr>
          <w:b/>
        </w:rPr>
        <w:t>NFR-OBS-001:</w:t>
      </w:r>
      <w:r>
        <w:t xml:space="preserve"> Material operations shall be traceable through audit records as defined by architecture.</w:t>
      </w:r>
    </w:p>
    <w:p>
      <w:pPr>
        <w:pStyle w:val="ListBullet"/>
      </w:pPr>
      <w:r/>
      <w:r>
        <w:rPr>
          <w:b/>
        </w:rPr>
        <w:t>NFR-OBS-002:</w:t>
      </w:r>
      <w:r>
        <w:t xml:space="preserve"> Background/bulk operations shall expose visible status.</w:t>
      </w:r>
    </w:p>
    <w:p>
      <w:pPr>
        <w:pStyle w:val="ListBullet"/>
      </w:pPr>
      <w:r/>
      <w:r>
        <w:rPr>
          <w:b/>
        </w:rPr>
        <w:t>NFR-OBS-003:</w:t>
      </w:r>
      <w:r>
        <w:t xml:space="preserve"> Integration failures shall produce actionable operational information without exposing secrets.</w:t>
      </w:r>
    </w:p>
    <w:p>
      <w:pPr>
        <w:pStyle w:val="Heading1"/>
      </w:pPr>
      <w:r>
        <w:t>7. Business Rules</w:t>
      </w:r>
    </w:p>
    <w:p>
      <w:r>
        <w:t>1. Reserved invitation capacity is the maximum number of attendee places authorized by that invitation unless an organizer changes it.</w:t>
      </w:r>
    </w:p>
    <w:p>
      <w:r>
        <w:t>2. Attendee count may not silently exceed invitation capacity.</w:t>
      </w:r>
    </w:p>
    <w:p>
      <w:r>
        <w:t>3. An Attendee shall not be assigned to more than one active table seat for the same Event unless a later seating model explicitly allows multi-session seating.</w:t>
      </w:r>
    </w:p>
    <w:p>
      <w:r>
        <w:t>4. A guest submission shall not expose or modify another Invitation.</w:t>
      </w:r>
    </w:p>
    <w:p>
      <w:r>
        <w:t>5. A send operation shall not be considered successful solely because it was queued; queued, accepted, delivered, failed, bounced, and unknown states remain distinct where provider data supports them.</w:t>
      </w:r>
    </w:p>
    <w:p>
      <w:r>
        <w:t>6. Event-specific content belongs to configuration.</w:t>
      </w:r>
    </w:p>
    <w:p>
      <w:r>
        <w:t>7. Destructive data changes require authorization and confirmation.</w:t>
      </w:r>
    </w:p>
    <w:p>
      <w:pPr>
        <w:pStyle w:val="Heading1"/>
      </w:pPr>
      <w:r>
        <w:t>Workflow A - Import to Invitation</w:t>
      </w:r>
    </w:p>
    <w:p>
      <w:r>
        <w:t>1. Organizer imports guest data.</w:t>
      </w:r>
    </w:p>
    <w:p>
      <w:r>
        <w:t>2. System validates rows.</w:t>
      </w:r>
    </w:p>
    <w:p>
      <w:r>
        <w:t>3. Valid rows create/update Invitation records.</w:t>
      </w:r>
    </w:p>
    <w:p>
      <w:r>
        <w:t>4. System generates missing Guest/Invitation IDs and secure tokens.</w:t>
      </w:r>
    </w:p>
    <w:p>
      <w:r>
        <w:t>5. Organizer reviews exceptions before communications.</w:t>
      </w:r>
    </w:p>
    <w:p>
      <w:pPr>
        <w:pStyle w:val="Heading1"/>
      </w:pPr>
      <w:r>
        <w:t>Workflow B - Personalized Confirmation</w:t>
      </w:r>
    </w:p>
    <w:p>
      <w:r>
        <w:t>1. Guest receives personalized link.</w:t>
      </w:r>
    </w:p>
    <w:p>
      <w:r>
        <w:t>2. EventFlow resolves the Invitation.</w:t>
      </w:r>
    </w:p>
    <w:p>
      <w:r>
        <w:t>3. Guest views official event information.</w:t>
      </w:r>
    </w:p>
    <w:p>
      <w:r>
        <w:t>4. Guest provides required attendee/companion details.</w:t>
      </w:r>
    </w:p>
    <w:p>
      <w:r>
        <w:t>5. System validates capacity.</w:t>
      </w:r>
    </w:p>
    <w:p>
      <w:r>
        <w:t>6. Submission is persisted and confirmed.</w:t>
      </w:r>
    </w:p>
    <w:p>
      <w:r>
        <w:t>7. Attendee records are created/updated according to the active data model.</w:t>
      </w:r>
    </w:p>
    <w:p>
      <w:pPr>
        <w:pStyle w:val="Heading1"/>
      </w:pPr>
      <w:r>
        <w:t>Workflow C - Communication Campaign</w:t>
      </w:r>
    </w:p>
    <w:p>
      <w:r>
        <w:t>1. Organizer selects an audience.</w:t>
      </w:r>
    </w:p>
    <w:p>
      <w:r>
        <w:t>2. System previews recipients and template.</w:t>
      </w:r>
    </w:p>
    <w:p>
      <w:r>
        <w:t>3. Organizer confirms send.</w:t>
      </w:r>
    </w:p>
    <w:p>
      <w:r>
        <w:t>4. System queues/batches delivery.</w:t>
      </w:r>
    </w:p>
    <w:p>
      <w:r>
        <w:t>5. Provider adapter sends.</w:t>
      </w:r>
    </w:p>
    <w:p>
      <w:r>
        <w:t>6. EventFlow records attempt/outcome.</w:t>
      </w:r>
    </w:p>
    <w:p>
      <w:r>
        <w:t>7. Failed items can be retried without duplicating successful records.</w:t>
      </w:r>
    </w:p>
    <w:p>
      <w:pPr>
        <w:pStyle w:val="Heading1"/>
      </w:pPr>
      <w:r>
        <w:t>Workflow D - Reception</w:t>
      </w:r>
    </w:p>
    <w:p>
      <w:r>
        <w:t>1. Reception staff searches by attendee or invitation name.</w:t>
      </w:r>
    </w:p>
    <w:p>
      <w:r>
        <w:t>2. EventFlow returns matching attendees with table and status.</w:t>
      </w:r>
    </w:p>
    <w:p>
      <w:r>
        <w:t>3. Staff selects the correct attendee.</w:t>
      </w:r>
    </w:p>
    <w:p>
      <w:r>
        <w:t>4. Staff records check-in.</w:t>
      </w:r>
    </w:p>
    <w:p>
      <w:r>
        <w:t>5. EventFlow prevents accidental duplicate check-in from appearing as a new arrival.</w:t>
      </w:r>
    </w:p>
    <w:p>
      <w:pPr>
        <w:pStyle w:val="Heading1"/>
      </w:pPr>
      <w:r>
        <w:t>9. Acceptance Criteria for the Reference Implementation</w:t>
      </w:r>
    </w:p>
    <w:p>
      <w:r>
        <w:t>The current reference implementation is acceptable as a foundation when:</w:t>
      </w:r>
    </w:p>
    <w:p>
      <w:r>
        <w:t>1. 137 imported primary Invitations remain readable and addressable.</w:t>
      </w:r>
    </w:p>
    <w:p>
      <w:r>
        <w:t>2. Reserved-seat totals are reproducible from source data.</w:t>
      </w:r>
    </w:p>
    <w:p>
      <w:r>
        <w:t>3. Secure personalized links resolve to the correct Invitation.</w:t>
      </w:r>
    </w:p>
    <w:p>
      <w:r>
        <w:t>4. A 1-seat Invitation requires no companion field.</w:t>
      </w:r>
    </w:p>
    <w:p>
      <w:r>
        <w:t>5. A multi-seat Invitation produces the correct maximum companion count.</w:t>
      </w:r>
    </w:p>
    <w:p>
      <w:r>
        <w:t>6. Submission is stored and visibly reflected in administration.</w:t>
      </w:r>
    </w:p>
    <w:p>
      <w:r>
        <w:t>7. Reopening a completed link does not silently create duplicate companion submissions.</w:t>
      </w:r>
    </w:p>
    <w:p>
      <w:r>
        <w:t>8. Event-specific wording/artwork can be moved to configuration in the next implementation phase.</w:t>
      </w:r>
    </w:p>
    <w:p>
      <w:r>
        <w:t>9. No bulk email/SMS is sent until the communications module passes controlled testing.</w:t>
      </w:r>
    </w:p>
    <w:p>
      <w:pPr>
        <w:pStyle w:val="Heading1"/>
      </w:pPr>
      <w:r>
        <w:t>10. Requirement Traceability Baseline</w:t>
      </w:r>
    </w:p>
    <w:p>
      <w:r>
        <w:t>Detailed requirement-to-design traceability will be expanded in EF-DOC-004 and EF-DOC-005.</w:t>
      </w:r>
    </w:p>
    <w:p>
      <w:pPr>
        <w:pStyle w:val="Heading1"/>
      </w:pPr>
      <w:r>
        <w:t>11. Release Roadmap</w:t>
      </w:r>
    </w:p>
    <w:p>
      <w:pPr>
        <w:pStyle w:val="ListBullet"/>
      </w:pPr>
      <w:r/>
      <w:r>
        <w:rPr>
          <w:b/>
        </w:rPr>
        <w:t>Foundation:</w:t>
      </w:r>
      <w:r>
        <w:t xml:space="preserve"> Governance, vision, ADR baseline, PRD baseline.</w:t>
      </w:r>
    </w:p>
    <w:p>
      <w:pPr>
        <w:pStyle w:val="ListBullet"/>
      </w:pPr>
      <w:r/>
      <w:r>
        <w:rPr>
          <w:b/>
        </w:rPr>
        <w:t>Next:</w:t>
      </w:r>
      <w:r>
        <w:t xml:space="preserve"> Software Architecture and Database Design.</w:t>
      </w:r>
    </w:p>
    <w:p>
      <w:pPr>
        <w:pStyle w:val="ListBullet"/>
      </w:pPr>
      <w:r/>
      <w:r>
        <w:rPr>
          <w:b/>
        </w:rPr>
        <w:t>Then:</w:t>
      </w:r>
      <w:r>
        <w:t xml:space="preserve"> Event/Invitation/Attendee core refactor and settings.</w:t>
      </w:r>
    </w:p>
    <w:p>
      <w:pPr>
        <w:pStyle w:val="ListBullet"/>
      </w:pPr>
      <w:r/>
      <w:r>
        <w:rPr>
          <w:b/>
        </w:rPr>
        <w:t>Then:</w:t>
      </w:r>
      <w:r>
        <w:t xml:space="preserve"> Communications.</w:t>
      </w:r>
    </w:p>
    <w:p>
      <w:pPr>
        <w:pStyle w:val="ListBullet"/>
      </w:pPr>
      <w:r/>
      <w:r>
        <w:rPr>
          <w:b/>
        </w:rPr>
        <w:t>Then:</w:t>
      </w:r>
      <w:r>
        <w:t xml:space="preserve"> Reception/check-in.</w:t>
      </w:r>
    </w:p>
    <w:p>
      <w:pPr>
        <w:pStyle w:val="ListBullet"/>
      </w:pPr>
      <w:r/>
      <w:r>
        <w:rPr>
          <w:b/>
        </w:rPr>
        <w:t>Then:</w:t>
      </w:r>
      <w:r>
        <w:t xml:space="preserve"> Seating once venue table/capacity information is known.</w:t>
      </w:r>
    </w:p>
    <w:p>
      <w:pPr>
        <w:pStyle w:val="ListBullet"/>
      </w:pPr>
      <w:r/>
      <w:r>
        <w:rPr>
          <w:b/>
        </w:rPr>
        <w:t>Then:</w:t>
      </w:r>
      <w:r>
        <w:t xml:space="preserve"> Reports, analytics, and hardening.</w:t>
      </w:r>
    </w:p>
    <w:p>
      <w:pPr>
        <w:pStyle w:val="ListBullet"/>
      </w:pPr>
      <w:r/>
      <w:r>
        <w:rPr>
          <w:b/>
        </w:rPr>
        <w:t>Release Candidate:</w:t>
      </w:r>
      <w:r>
        <w:t xml:space="preserve"> Full reference-event validation.</w:t>
      </w:r>
    </w:p>
    <w:p>
      <w:pPr>
        <w:pStyle w:val="ListBullet"/>
      </w:pPr>
      <w:r/>
      <w:r>
        <w:rPr>
          <w:b/>
        </w:rPr>
        <w:t>v1.0.0:</w:t>
      </w:r>
      <w:r>
        <w:t xml:space="preserve"> First production-quality EventFlow release.</w:t>
      </w:r>
    </w:p>
    <w:p>
      <w:pPr>
        <w:pStyle w:val="Heading1"/>
      </w:pPr>
      <w:r>
        <w:t>12. Open Questions Deferred Beyond Sprint 1</w:t>
      </w:r>
    </w:p>
    <w:p>
      <w:r>
        <w:t>1. Final WordPress-vs-service boundary for future SaaS stages.</w:t>
      </w:r>
    </w:p>
    <w:p>
      <w:r>
        <w:t>2. Queue technology for Tier C and beyond.</w:t>
      </w:r>
    </w:p>
    <w:p>
      <w:r>
        <w:t>3. Multi-tenant organization model.</w:t>
      </w:r>
    </w:p>
    <w:p>
      <w:r>
        <w:t>4. Exact data-retention policy.</w:t>
      </w:r>
    </w:p>
    <w:p>
      <w:r>
        <w:t>5. Final seating/floor-plan requirements.</w:t>
      </w:r>
    </w:p>
    <w:p>
      <w:r>
        <w:t>6. Whether guests ever receive reusable accounts versus token-only access.</w:t>
      </w:r>
    </w:p>
    <w:p>
      <w:r>
        <w:t>7. Formal SLA/SLO targets for hosted deployment.</w:t>
      </w:r>
    </w:p>
    <w:p>
      <w:r>
        <w:t>8. Payment/ticketing capabilities, if ever introduced.</w:t>
      </w:r>
    </w:p>
    <w:p>
      <w:r>
        <w:t>These questions require future ADRs and must not be solved implicitly inside unrelated feature work.</w:t>
      </w:r>
    </w:p>
    <w:p>
      <w:pPr>
        <w:pStyle w:val="Heading1"/>
      </w:pPr>
      <w:r>
        <w:t>Capacity &amp; Performance Reference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</w:tcPr>
          <w:p>
            <w:r>
              <w:rPr>
                <w:b/>
              </w:rPr>
              <w:t>ID</w:t>
            </w:r>
          </w:p>
        </w:tc>
        <w:tc>
          <w:tcPr>
            <w:tcW w:type="dxa" w:w="4939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4939"/>
          </w:tcPr>
          <w:p>
            <w:r>
              <w:t>NFR-CAP-001</w:t>
            </w:r>
          </w:p>
        </w:tc>
        <w:tc>
          <w:tcPr>
            <w:tcW w:type="dxa" w:w="4939"/>
          </w:tcPr>
          <w:p>
            <w:r>
              <w:t>Support Tier A-C domain scale: up to 5,000 attendees per event without fundamental schema redesign.</w:t>
            </w:r>
          </w:p>
        </w:tc>
      </w:tr>
      <w:tr>
        <w:tc>
          <w:tcPr>
            <w:tcW w:type="dxa" w:w="4939"/>
          </w:tcPr>
          <w:p>
            <w:r>
              <w:t>NFR-CAP-002</w:t>
            </w:r>
          </w:p>
        </w:tc>
        <w:tc>
          <w:tcPr>
            <w:tcW w:type="dxa" w:w="4939"/>
          </w:tcPr>
          <w:p>
            <w:r>
              <w:t>Lists expected to exceed 100 records support pagination, search, or bounded retrieval.</w:t>
            </w:r>
          </w:p>
        </w:tc>
      </w:tr>
      <w:tr>
        <w:tc>
          <w:tcPr>
            <w:tcW w:type="dxa" w:w="4939"/>
          </w:tcPr>
          <w:p>
            <w:r>
              <w:t>NFR-CAP-003</w:t>
            </w:r>
          </w:p>
        </w:tc>
        <w:tc>
          <w:tcPr>
            <w:tcW w:type="dxa" w:w="4939"/>
          </w:tcPr>
          <w:p>
            <w:r>
              <w:t>Bulk communications and large imports are batchable and suitable for asynchronous execution.</w:t>
            </w:r>
          </w:p>
        </w:tc>
      </w:tr>
      <w:tr>
        <w:tc>
          <w:tcPr>
            <w:tcW w:type="dxa" w:w="4939"/>
          </w:tcPr>
          <w:p>
            <w:r>
              <w:t>NFR-PERF-001</w:t>
            </w:r>
          </w:p>
        </w:tc>
        <w:tc>
          <w:tcPr>
            <w:tcW w:type="dxa" w:w="4939"/>
          </w:tcPr>
          <w:p>
            <w:r>
              <w:t>Common guest and receptionist interactions target responsive perceived performance under normal Tier A-B load.</w:t>
            </w:r>
          </w:p>
        </w:tc>
      </w:tr>
      <w:tr>
        <w:tc>
          <w:tcPr>
            <w:tcW w:type="dxa" w:w="4939"/>
          </w:tcPr>
          <w:p>
            <w:r>
              <w:t>NFR-PERF-002</w:t>
            </w:r>
          </w:p>
        </w:tc>
        <w:tc>
          <w:tcPr>
            <w:tcW w:type="dxa" w:w="4939"/>
          </w:tcPr>
          <w:p>
            <w:r>
              <w:t>Detailed measurable performance targets are finalized in EF-DOC-004 before production-scale claims.</w:t>
            </w:r>
          </w:p>
        </w:tc>
      </w:tr>
    </w:tbl>
    <w:p>
      <w:pPr>
        <w:pStyle w:val="Heading1"/>
      </w:pPr>
      <w:r>
        <w:t>Requirement Traceability Baseline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</w:tcPr>
          <w:p>
            <w:r>
              <w:rPr>
                <w:b/>
              </w:rPr>
              <w:t>Requirement Area</w:t>
            </w:r>
          </w:p>
        </w:tc>
        <w:tc>
          <w:tcPr>
            <w:tcW w:type="dxa" w:w="4939"/>
          </w:tcPr>
          <w:p>
            <w:r>
              <w:rPr>
                <w:b/>
              </w:rPr>
              <w:t>Primary ADRs</w:t>
            </w:r>
          </w:p>
        </w:tc>
      </w:tr>
      <w:tr>
        <w:tc>
          <w:tcPr>
            <w:tcW w:type="dxa" w:w="4939"/>
          </w:tcPr>
          <w:p>
            <w:r>
              <w:t>Product identity and event scope</w:t>
            </w:r>
          </w:p>
        </w:tc>
        <w:tc>
          <w:tcPr>
            <w:tcW w:type="dxa" w:w="4939"/>
          </w:tcPr>
          <w:p>
            <w:r>
              <w:t>ADR-001, ADR-002</w:t>
            </w:r>
          </w:p>
        </w:tc>
      </w:tr>
      <w:tr>
        <w:tc>
          <w:tcPr>
            <w:tcW w:type="dxa" w:w="4939"/>
          </w:tcPr>
          <w:p>
            <w:r>
              <w:t>Invitation / Attendee model</w:t>
            </w:r>
          </w:p>
        </w:tc>
        <w:tc>
          <w:tcPr>
            <w:tcW w:type="dxa" w:w="4939"/>
          </w:tcPr>
          <w:p>
            <w:r>
              <w:t>ADR-003, ADR-007</w:t>
            </w:r>
          </w:p>
        </w:tc>
      </w:tr>
      <w:tr>
        <w:tc>
          <w:tcPr>
            <w:tcW w:type="dxa" w:w="4939"/>
          </w:tcPr>
          <w:p>
            <w:r>
              <w:t>Configuration</w:t>
            </w:r>
          </w:p>
        </w:tc>
        <w:tc>
          <w:tcPr>
            <w:tcW w:type="dxa" w:w="4939"/>
          </w:tcPr>
          <w:p>
            <w:r>
              <w:t>ADR-004</w:t>
            </w:r>
          </w:p>
        </w:tc>
      </w:tr>
      <w:tr>
        <w:tc>
          <w:tcPr>
            <w:tcW w:type="dxa" w:w="4939"/>
          </w:tcPr>
          <w:p>
            <w:r>
              <w:t>Documentation governance</w:t>
            </w:r>
          </w:p>
        </w:tc>
        <w:tc>
          <w:tcPr>
            <w:tcW w:type="dxa" w:w="4939"/>
          </w:tcPr>
          <w:p>
            <w:r>
              <w:t>ADR-005, ADR-010, ADR-011</w:t>
            </w:r>
          </w:p>
        </w:tc>
      </w:tr>
      <w:tr>
        <w:tc>
          <w:tcPr>
            <w:tcW w:type="dxa" w:w="4939"/>
          </w:tcPr>
          <w:p>
            <w:r>
              <w:t>Guest UX</w:t>
            </w:r>
          </w:p>
        </w:tc>
        <w:tc>
          <w:tcPr>
            <w:tcW w:type="dxa" w:w="4939"/>
          </w:tcPr>
          <w:p>
            <w:r>
              <w:t>ADR-006, ADR-008</w:t>
            </w:r>
          </w:p>
        </w:tc>
      </w:tr>
      <w:tr>
        <w:tc>
          <w:tcPr>
            <w:tcW w:type="dxa" w:w="4939"/>
          </w:tcPr>
          <w:p>
            <w:r>
              <w:t>Communications</w:t>
            </w:r>
          </w:p>
        </w:tc>
        <w:tc>
          <w:tcPr>
            <w:tcW w:type="dxa" w:w="4939"/>
          </w:tcPr>
          <w:p>
            <w:r>
              <w:t>ADR-009</w:t>
            </w:r>
          </w:p>
        </w:tc>
      </w:tr>
      <w:tr>
        <w:tc>
          <w:tcPr>
            <w:tcW w:type="dxa" w:w="4939"/>
          </w:tcPr>
          <w:p>
            <w:r>
              <w:t>Capacity</w:t>
            </w:r>
          </w:p>
        </w:tc>
        <w:tc>
          <w:tcPr>
            <w:tcW w:type="dxa" w:w="4939"/>
          </w:tcPr>
          <w:p>
            <w:r>
              <w:t>ADR-012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181" w:bottom="1008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EventFlow | EF-DOC-003 | Version 1.0 | Internal Product Requirements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 Display" w:hAnsi="Aptos Display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