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jc w:val="center"/>
      </w:pPr>
      <w:r>
        <w:rPr>
          <w:b/>
          <w:sz w:val="44"/>
        </w:rPr>
        <w:t>Security, Identity &amp; Authorization Design</w:t>
      </w:r>
    </w:p>
    <w:p>
      <w:pPr>
        <w:jc w:val="center"/>
      </w:pPr>
      <w:r>
        <w:rPr>
          <w:b/>
        </w:rPr>
        <w:t>EF-DOC-007</w:t>
      </w:r>
    </w:p>
    <w:p>
      <w:pPr>
        <w:jc w:val="center"/>
      </w:pPr>
      <w:r>
        <w:t>Version 1.0 - Approved Baseline</w:t>
      </w:r>
    </w:p>
    <w:p>
      <w:pPr>
        <w:jc w:val="center"/>
      </w:pPr>
      <w:r>
        <w:t>Sprint 5</w:t>
      </w:r>
    </w:p>
    <w:p>
      <w:pPr>
        <w:jc w:val="center"/>
      </w:pPr>
      <w:r>
        <w:t>Input baseline: v0.5.0-api</w:t>
      </w:r>
    </w:p>
    <w:p>
      <w:pPr>
        <w:jc w:val="center"/>
      </w:pPr>
      <w:r>
        <w:t>Consolidated SEC-001 through SEC-010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</w:rPr>
        <w:t>Sprint 5 defines EventFlow's security enforcement architecture before implementation. The design treats Event isolation, guest bearer credentials, privileged Event membership, public/API request boundaries, external providers, imports, PII, audit history and operational resilience as explicit security domains.</w:t>
      </w:r>
    </w:p>
    <w:p>
      <w:r>
        <w:rPr>
          <w:b w:val="0"/>
        </w:rPr>
        <w:t>Consolidation verdict: DESIGN-COMPLETE / RECONCILIATION PASS. No blocking contradiction was found against the approved Sprint 3 database or Sprint 4 API/application-service baselines. S5-R01 through S5-R16 are mandatory controlled refinements. Two implementation-facing persistence extensions may require versioned migrations: a guest-link credential store (S5-R05) and tamper-evident audit integrity metadata or a companion integrity store (S5-R11).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 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10/10 design 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Threat register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22/22 covered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Security invariants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10/10 mapped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Security refinements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S5-R01 through S5-R16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Validation scenarios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SV-001 through SV-018 - 18/18 design 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Blocking baseline conflicts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None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Draft for Final Review</w:t>
            </w:r>
          </w:p>
        </w:tc>
      </w:tr>
    </w:tbl>
    <w:p>
      <w:pPr>
        <w:pStyle w:val="Heading1"/>
      </w:pPr>
      <w:r>
        <w:t>2. Scope and Security Model</w:t>
      </w:r>
    </w:p>
    <w:p>
      <w:r>
        <w:rPr>
          <w:b w:val="0"/>
        </w:rPr>
        <w:t>EventFlow uses a zero-assumed-trust request model: input remains untrusted until identity, request integrity, Event scope, authorization, lifecycle, state, concurrency/idempotency and domain rules have all passed. The UI may improve usability but is never the authorization authority.</w:t>
      </w:r>
    </w:p>
    <w:p>
      <w:pPr>
        <w:pStyle w:val="Heading2"/>
      </w:pPr>
      <w:r>
        <w:t>2.1 Core security properties</w:t>
      </w:r>
    </w:p>
    <w:p>
      <w:pPr>
        <w:pStyle w:val="ListBullet"/>
      </w:pPr>
      <w:r>
        <w:t>Confidentiality - principals see only authorized Event/resource representations.</w:t>
      </w:r>
    </w:p>
    <w:p>
      <w:pPr>
        <w:pStyle w:val="ListBullet"/>
      </w:pPr>
      <w:r>
        <w:t>Integrity - unauthorized or conflicting mutations are rejected.</w:t>
      </w:r>
    </w:p>
    <w:p>
      <w:pPr>
        <w:pStyle w:val="ListBullet"/>
      </w:pPr>
      <w:r>
        <w:t>Availability - critical event-day paths remain usable under reasonable abuse/failure conditions.</w:t>
      </w:r>
    </w:p>
    <w:p>
      <w:pPr>
        <w:pStyle w:val="ListBullet"/>
      </w:pPr>
      <w:r>
        <w:t>Authenticity - EventFlow distinguishes WordPress users, guests, jobs, providers, migrations and system actions.</w:t>
      </w:r>
    </w:p>
    <w:p>
      <w:pPr>
        <w:pStyle w:val="ListBullet"/>
      </w:pPr>
      <w:r>
        <w:t>Accountability - material actions remain attributable and auditable.</w:t>
      </w:r>
    </w:p>
    <w:p>
      <w:pPr>
        <w:pStyle w:val="ListBullet"/>
      </w:pPr>
      <w:r>
        <w:t>Isolation - each Event is a logical security boundary even inside one database.</w:t>
      </w:r>
    </w:p>
    <w:p>
      <w:pPr>
        <w:pStyle w:val="Heading2"/>
      </w:pPr>
      <w:r>
        <w:t>2.2 Trust boundaries</w:t>
      </w:r>
    </w:p>
    <w:p>
      <w:pPr>
        <w:pStyle w:val="ListBullet"/>
      </w:pPr>
      <w:r>
        <w:t>TB-01 Public Internet -&gt; WordPress/REST API</w:t>
      </w:r>
    </w:p>
    <w:p>
      <w:pPr>
        <w:pStyle w:val="ListBullet"/>
      </w:pPr>
      <w:r>
        <w:t>TB-02 Browser/UI -&gt; Server authorization</w:t>
      </w:r>
    </w:p>
    <w:p>
      <w:pPr>
        <w:pStyle w:val="ListBullet"/>
      </w:pPr>
      <w:r>
        <w:t>TB-03 WordPress identity -&gt; Event Membership/capability policy</w:t>
      </w:r>
    </w:p>
    <w:p>
      <w:pPr>
        <w:pStyle w:val="ListBullet"/>
      </w:pPr>
      <w:r>
        <w:t>TB-04 Guest credential -&gt; one Event + one Invitation scope</w:t>
      </w:r>
    </w:p>
    <w:p>
      <w:pPr>
        <w:pStyle w:val="ListBullet"/>
      </w:pPr>
      <w:r>
        <w:t>TB-05 Application services/repositories -&gt; Database</w:t>
      </w:r>
    </w:p>
    <w:p>
      <w:pPr>
        <w:pStyle w:val="ListBullet"/>
      </w:pPr>
      <w:r>
        <w:t>TB-06 EventFlow -&gt; External communications provider</w:t>
      </w:r>
    </w:p>
    <w:p>
      <w:pPr>
        <w:pStyle w:val="ListBullet"/>
      </w:pPr>
      <w:r>
        <w:t>TB-07 Provider -&gt; EventFlow webhook ingress</w:t>
      </w:r>
    </w:p>
    <w:p>
      <w:pPr>
        <w:pStyle w:val="ListBullet"/>
      </w:pPr>
      <w:r>
        <w:t>TB-08 Uploaded file -&gt; Import staging/validation pipeline</w:t>
      </w:r>
    </w:p>
    <w:p>
      <w:pPr>
        <w:pStyle w:val="ListBullet"/>
      </w:pPr>
      <w:r>
        <w:t>Background-job boundary - committed server job scope replaces user session identity during execution</w:t>
      </w:r>
    </w:p>
    <w:p>
      <w:pPr>
        <w:pStyle w:val="ListBullet"/>
      </w:pPr>
      <w:r>
        <w:t>Logical Event boundary - Event A resources remain isolated from Event B principals</w:t>
      </w:r>
    </w:p>
    <w:p>
      <w:pPr>
        <w:pStyle w:val="Heading1"/>
      </w:pPr>
      <w:r>
        <w:t>3. Threat Register - SEC-001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Threat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Impact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Primary controls / validation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Cross-Event resource access / IDOR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SEC-005; SV-001, SV-006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Event-role privilege escalation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SEC-008; SV-002, SV-003, SV-013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Invitation-token theft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SEC-004, SEC-006; SV-005, SV-015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Invitation/token enumeration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SEC-004, SEC-009; SV-004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Guest scope escape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SEC-004; SV-006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CSRF against authenticated browser sessions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SEC-005; SV-007, SV-008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Unauthorized API/request replay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SEC-004, SEC-005, SEC-006; SV-009, SV-011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Forged provider webhook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SEC-006; SV-010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Webhook replay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Medium/High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SEC-006, SEC-009; SV-011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Malicious import/file processing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SEC-005, SEC-009; SV-012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Stored/reflected script injection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SEC-005; SV-012 + implementation tests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SQL/database injection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SEC-005; SV-012 + implementation tests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Sensitive data exposure in API/secondary stores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SEC-007; SV-001, SV-013, SV-016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Secrets leaked through logs/config/history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SEC-006, SEC-008; SV-015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Unauthorized membership/ownership change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SEC-008; SV-003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Duplicate/concurrent business mutation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SEC-005; SV-009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THR-017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Audit/history tampering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SEC-008; SV-018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Reception account compromise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Medium/High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SEC-007, SEC-009; SV-013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THR-019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Resource exhaustion / abuse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Medium/High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Medium/High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SEC-005, SEC-009; SV-004, SV-012, SV-017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THR-020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Compromised/failing third-party provider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SEC-006, SEC-009; SV-017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THR-021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Vulnerable WordPress/plugin/hosting ecosystem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SEC-001, SEC-006, SEC-008, SEC-009; blast-radius controls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THR-022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Unauthorized archived-Event mutation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SEC-003, SEC-005; SV-014</w:t>
            </w:r>
          </w:p>
        </w:tc>
      </w:tr>
    </w:tbl>
    <w:p>
      <w:pPr>
        <w:pStyle w:val="Heading1"/>
      </w:pPr>
      <w:r>
        <w:t>4. Security Invariants - SEC-001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Invariant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Every Event-scoped resource operation verifies Event ownership/scope server-side.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Authentication never substitutes for authorization.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Client/UI state is never an authorization authority.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Guest access is limited to the Event and Invitation represented by validated credential/session scope.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Raw Invitation tokens and reusable application/provider secrets never appear in ordinary persistent storage or logs.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Provider callbacks are untrusted until authentication and replay/deduplication controls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Uploaded files remain untrusted throughout parsing and staging.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Sensitive state-changing operations use server authorization plus replay/concurrency controls appropriate to the operation.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Archived state cannot be bypassed by otherwise-valid role or credential.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INV-SEC-10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Security-relevant administrative actions remain attributable.</w:t>
            </w:r>
          </w:p>
        </w:tc>
      </w:tr>
    </w:tbl>
    <w:p>
      <w:pPr>
        <w:pStyle w:val="Heading1"/>
      </w:pPr>
      <w:r>
        <w:t>5. Principal &amp; Authentication Model - SEC-002</w:t>
      </w:r>
    </w:p>
    <w:p>
      <w:r>
        <w:rPr>
          <w:b w:val="0"/>
        </w:rPr>
        <w:t>EventFlow normalizes authenticated actors into a server-side PrincipalContext. Administrative identities remain WordPress identities; EventFlow does not create a parallel password system. Authorization is evaluated separately after authentication.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Principal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Authentication source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Security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WordPress 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WordPress session + REST request protection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Identity only; Event membership/capabilities checked separately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Global EventFlow 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WordPress user + dedicated global capability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Platform recovery/security/system functions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Invitation guest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High-entropy Invitation credential -&gt; server-verifiable guest session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One Event + one Invitation + current token version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Background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Server-created committed job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Defined Event/job/operation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Provider webhook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Provider-specific signature/secret verification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Provider event processing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Migration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Controlled migration runner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Defined migration operation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Internal named system operation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Explicit system capability only</w:t>
            </w:r>
          </w:p>
        </w:tc>
      </w:tr>
    </w:tbl>
    <w:p>
      <w:pPr>
        <w:pStyle w:val="Heading2"/>
      </w:pPr>
      <w:r>
        <w:t>5.1 Authentication requirements</w:t>
      </w:r>
    </w:p>
    <w:p>
      <w:pPr>
        <w:pStyle w:val="ListBullet"/>
      </w:pPr>
      <w:r>
        <w:t>Guest sessions are short-lived relative to Invitation credentials and are invalidated by Invitation rotation/revocation/current-state changes.</w:t>
      </w:r>
    </w:p>
    <w:p>
      <w:pPr>
        <w:pStyle w:val="ListBullet"/>
      </w:pPr>
      <w:r>
        <w:t>Provider verification occurs before payload normalization/business processing.</w:t>
      </w:r>
    </w:p>
    <w:p>
      <w:pPr>
        <w:pStyle w:val="ListBullet"/>
      </w:pPr>
      <w:r>
        <w:t>Background job authority derives from committed server-side job type and scope, not serialized client role claims.</w:t>
      </w:r>
    </w:p>
    <w:p>
      <w:pPr>
        <w:pStyle w:val="ListBullet"/>
      </w:pPr>
      <w:r>
        <w:t>High-risk security changes may require recent/step-up authentication where the WordPress environment supports it.</w:t>
      </w:r>
    </w:p>
    <w:p>
      <w:pPr>
        <w:pStyle w:val="ListBullet"/>
      </w:pPr>
      <w:r>
        <w:t>Raw credentials, cookies, nonces, provider secrets and authorization headers are never logged.</w:t>
      </w:r>
    </w:p>
    <w:p>
      <w:pPr>
        <w:pStyle w:val="Heading1"/>
      </w:pPr>
      <w:r>
        <w:t>6. Authorization &amp; Capability Model - SEC-003</w:t>
      </w:r>
    </w:p>
    <w:p>
      <w:r>
        <w:rPr>
          <w:b w:val="0"/>
        </w:rPr>
        <w:t>Roles are predefined capability bundles; authorization code evaluates explicit capabilities/policies rather than scattering direct role-name comparisons. Event scope, lifecycle and resource/domain state remain overlays. Authorization is default-deny.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Capability area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Primary Owner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Owner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Organizer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Coordinator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Reception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5"/>
              </w:rPr>
              <w:t>Reporting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View Event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Edit Event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Activate/Complete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Archive/Restore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staff memberships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owners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Transfer primary owner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Invitations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Rotate/Revoke token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Attendees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Seating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Override required group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Check-in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Reverse check-in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Templates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Queue Campaign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Manage Imports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View Audit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View Reports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Limited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Export PII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No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4"/>
              </w:rPr>
              <w:t>Policy</w:t>
            </w:r>
          </w:p>
        </w:tc>
      </w:tr>
    </w:tbl>
    <w:p>
      <w:pPr>
        <w:pStyle w:val="Heading2"/>
      </w:pPr>
      <w:r>
        <w:t>6.1 Privilege rules</w:t>
      </w:r>
    </w:p>
    <w:p>
      <w:pPr>
        <w:pStyle w:val="ListBullet"/>
      </w:pPr>
      <w:r>
        <w:t>Only current primary owner or authorized global recovery administrator transfers primary ownership.</w:t>
      </w:r>
    </w:p>
    <w:p>
      <w:pPr>
        <w:pStyle w:val="ListBullet"/>
      </w:pPr>
      <w:r>
        <w:t>Ordinary owner/organizer authority does not imply provider-secret or system-security access.</w:t>
      </w:r>
    </w:p>
    <w:p>
      <w:pPr>
        <w:pStyle w:val="ListBullet"/>
      </w:pPr>
      <w:r>
        <w:t>Reception is intentionally narrow: search, limited seating context and check-in; no broad PII, campaigns, seating mutation or membership management.</w:t>
      </w:r>
    </w:p>
    <w:p>
      <w:pPr>
        <w:pStyle w:val="ListBullet"/>
      </w:pPr>
      <w:r>
        <w:t>Reporting is read-only and aggregate-first; PII export requires stronger explicit capability.</w:t>
      </w:r>
    </w:p>
    <w:p>
      <w:pPr>
        <w:pStyle w:val="ListBullet"/>
      </w:pPr>
      <w:r>
        <w:t>Unknown roles, capabilities, principals, jobs and lifecycle transitions fail closed.</w:t>
      </w:r>
    </w:p>
    <w:p>
      <w:pPr>
        <w:pStyle w:val="Heading1"/>
      </w:pPr>
      <w:r>
        <w:t>7. Guest Token &amp; Session Security - SEC-004</w:t>
      </w:r>
    </w:p>
    <w:p>
      <w:pPr>
        <w:pStyle w:val="ListBullet"/>
      </w:pPr>
      <w:r>
        <w:t>Invitation credentials use cryptographically secure high-entropy opaque tokens (&gt;=128 effective bits; 192-256 preferred).</w:t>
      </w:r>
    </w:p>
    <w:p>
      <w:pPr>
        <w:pStyle w:val="ListBullet"/>
      </w:pPr>
      <w:r>
        <w:t>Raw Invitation tokens are never persisted; deterministic cryptographic digests are stored for lookup.</w:t>
      </w:r>
    </w:p>
    <w:p>
      <w:pPr>
        <w:pStyle w:val="ListBullet"/>
      </w:pPr>
      <w:r>
        <w:t>Credential-bearing URLs are consumed quickly into short-lived Secure/HttpOnly/SameSite guest sessions and redirected to clean URLs.</w:t>
      </w:r>
    </w:p>
    <w:p>
      <w:pPr>
        <w:pStyle w:val="ListBullet"/>
      </w:pPr>
      <w:r>
        <w:t>Bootstrap pages/responses use restrictive referrer/cache/logging policies and avoid unnecessary third-party resources.</w:t>
      </w:r>
    </w:p>
    <w:p>
      <w:pPr>
        <w:pStyle w:val="ListBullet"/>
      </w:pPr>
      <w:r>
        <w:t>Session authorization rechecks Invitation/Event state and token version; rotation or revocation invalidates existing guest sessions.</w:t>
      </w:r>
    </w:p>
    <w:p>
      <w:pPr>
        <w:pStyle w:val="ListBullet"/>
      </w:pPr>
      <w:r>
        <w:t>SameSite is defense-in-depth; guest mutations also require explicit CSRF/origin protection.</w:t>
      </w:r>
    </w:p>
    <w:p>
      <w:pPr>
        <w:pStyle w:val="ListBullet"/>
      </w:pPr>
      <w:r>
        <w:t>Opening an Invitation link never performs irreversible business mutation, protecting against email link scanners.</w:t>
      </w:r>
    </w:p>
    <w:p>
      <w:pPr>
        <w:pStyle w:val="Heading1"/>
      </w:pPr>
      <w:r>
        <w:t>8. API &amp; Request Security - SEC-005</w:t>
      </w:r>
    </w:p>
    <w:p>
      <w:r>
        <w:rPr>
          <w:b w:val="0"/>
        </w:rPr>
        <w:t>The request security pipeline is: HTTPS -&gt; infrastructure limits -&gt; route/method/content-type -&gt; authentication -&gt; CSRF/origin -&gt; abuse controls -&gt; schema validation -&gt; authorization/Event scope -&gt; concurrency/idempotency -&gt; application service/domain validation -&gt; persistence -&gt; safe response.</w:t>
      </w:r>
    </w:p>
    <w:p>
      <w:pPr>
        <w:pStyle w:val="ListBullet"/>
      </w:pPr>
      <w:r>
        <w:t>Production is HTTPS-only; sensitive cookies are Secure.</w:t>
      </w:r>
    </w:p>
    <w:p>
      <w:pPr>
        <w:pStyle w:val="ListBullet"/>
      </w:pPr>
      <w:r>
        <w:t>GET never performs irreversible state changes.</w:t>
      </w:r>
    </w:p>
    <w:p>
      <w:pPr>
        <w:pStyle w:val="ListBullet"/>
      </w:pPr>
      <w:r>
        <w:t>Administrative and guest browser APIs are same-origin by default; credentialed wildcard CORS is prohibited.</w:t>
      </w:r>
    </w:p>
    <w:p>
      <w:pPr>
        <w:pStyle w:val="ListBullet"/>
      </w:pPr>
      <w:r>
        <w:t>State-changing WordPress browser requests require supported REST nonce/request protection; guest cookie mutations require guest CSRF protection.</w:t>
      </w:r>
    </w:p>
    <w:p>
      <w:pPr>
        <w:pStyle w:val="ListBullet"/>
      </w:pPr>
      <w:r>
        <w:t>Request bodies, strings, arrays, collections, searches, pagination and uploads are bounded.</w:t>
      </w:r>
    </w:p>
    <w:p>
      <w:pPr>
        <w:pStyle w:val="ListBullet"/>
      </w:pPr>
      <w:r>
        <w:t>Unknown/mass-assignment fields are rejected for sensitive commands; identifiers are authoritative only after server-side Event ownership resolution.</w:t>
      </w:r>
    </w:p>
    <w:p>
      <w:pPr>
        <w:pStyle w:val="ListBullet"/>
      </w:pPr>
      <w:r>
        <w:t>Repositories use parameterized SQL; sort/filter fields are allowlisted; user content is contextually escaped and rich HTML allowlist-sanitized.</w:t>
      </w:r>
    </w:p>
    <w:p>
      <w:pPr>
        <w:pStyle w:val="ListBullet"/>
      </w:pPr>
      <w:r>
        <w:t>Security-sensitive URLs use canonical trusted configuration, not unvalidated Host headers.</w:t>
      </w:r>
    </w:p>
    <w:p>
      <w:pPr>
        <w:pStyle w:val="ListBullet"/>
      </w:pPr>
      <w:r>
        <w:t>PII-bearing exports and uploads receive dedicated controls; CSV formula injection is explicitly neutralized.</w:t>
      </w:r>
    </w:p>
    <w:p>
      <w:pPr>
        <w:pStyle w:val="Heading1"/>
      </w:pPr>
      <w:r>
        <w:t>9. Secrets &amp; Provider Security - SEC-006</w:t>
      </w:r>
    </w:p>
    <w:p>
      <w:r>
        <w:rPr>
          <w:b w:val="0"/>
        </w:rPr>
        <w:t>Reusable provider, signing, encryption and runtime secrets are credential material, not business data. Business tables store credential references/non-secret metadata; SecretProvider implementations resolve values from runtime configuration or dedicated secret stores.</w:t>
      </w:r>
    </w:p>
    <w:p>
      <w:pPr>
        <w:pStyle w:val="Heading2"/>
      </w:pPr>
      <w:r>
        <w:t>9.1 Provider adapter controls</w:t>
      </w:r>
    </w:p>
    <w:p>
      <w:pPr>
        <w:pStyle w:val="ListBullet"/>
      </w:pPr>
      <w:r>
        <w:t>Provider credentials are least-privilege and environment-specific.</w:t>
      </w:r>
    </w:p>
    <w:p>
      <w:pPr>
        <w:pStyle w:val="ListBullet"/>
      </w:pPr>
      <w:r>
        <w:t>Provider adapters declare idempotent-send, status-lookup, webhook-signature, timestamp and retry capabilities.</w:t>
      </w:r>
    </w:p>
    <w:p>
      <w:pPr>
        <w:pStyle w:val="ListBullet"/>
      </w:pPr>
      <w:r>
        <w:t>Webhook authentication precedes normalization and domain processing; replay/dedupe is layered with authentication.</w:t>
      </w:r>
    </w:p>
    <w:p>
      <w:pPr>
        <w:pStyle w:val="ListBullet"/>
      </w:pPr>
      <w:r>
        <w:t>Rotation can use bounded current/previous overlap where operationally necessary.</w:t>
      </w:r>
    </w:p>
    <w:p>
      <w:pPr>
        <w:pStyle w:val="ListBullet"/>
      </w:pPr>
      <w:r>
        <w:t>Credential changes are global-security operations, not Event-owner rights, and are audited without secret values.</w:t>
      </w:r>
    </w:p>
    <w:p>
      <w:pPr>
        <w:pStyle w:val="Heading2"/>
      </w:pPr>
      <w:r>
        <w:t>9.2 Guest-link indirection reconciliation</w:t>
      </w:r>
    </w:p>
    <w:p>
      <w:r>
        <w:rPr>
          <w:b w:val="0"/>
        </w:rPr>
        <w:t>Sprint 4 Message history remains immutable, but it must not permanently retain the underlying reusable Invitation token. Outbound invitation Messages therefore use a purpose-scoped opaque guest-link credential, preferably issued per logical Message recipient. The link credential is high entropy, stored only as a digest, resolved server-side to the Invitation, and never outlives current Invitation/Event authorization.</w:t>
      </w:r>
    </w:p>
    <w:p>
      <w:r>
        <w:rPr>
          <w:b w:val="0"/>
        </w:rPr>
        <w:t>Implementation impact: a small supporting guest-link credential store/table is likely required. This is a controlled security extension implemented through a versioned migration; it does not invalidate the Sprint 3 core PDM.</w:t>
      </w:r>
    </w:p>
    <w:p>
      <w:pPr>
        <w:pStyle w:val="Heading1"/>
      </w:pPr>
      <w:r>
        <w:t>10. Data Protection &amp; Privacy - SEC-007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Data class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Examples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5"/>
              </w:rPr>
              <w:t>Baseline handling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Public / low sensitivity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Public Event name/date/venue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Guest/public where intentionally exposed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Operational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Table number, invitation/campaign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Event-scoped authorization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PII / sensitive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Name, email, phone, dietary/accessibility, RSVP, check-in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Purpose-minimized and role/representation restricted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Critical credential/security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Tokens, sessions, provider keys, DB credentials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4"/>
              </w:rPr>
              <w:t>Dedicated credential controls; never ordinary business data</w:t>
            </w:r>
          </w:p>
        </w:tc>
      </w:tr>
    </w:tbl>
    <w:p>
      <w:pPr>
        <w:pStyle w:val="ListBullet"/>
      </w:pPr>
      <w:r>
        <w:t>Reception and reporting use privacy-minimized DTOs; field-level restrictions apply to especially sensitive data.</w:t>
      </w:r>
    </w:p>
    <w:p>
      <w:pPr>
        <w:pStyle w:val="ListBullet"/>
      </w:pPr>
      <w:r>
        <w:t>Import source files/raw staging have shorter retention than authoritative Event records.</w:t>
      </w:r>
    </w:p>
    <w:p>
      <w:pPr>
        <w:pStyle w:val="ListBullet"/>
      </w:pPr>
      <w:r>
        <w:t>Audit and logs minimize PII and do not duplicate confidential notes unnecessarily.</w:t>
      </w:r>
    </w:p>
    <w:p>
      <w:pPr>
        <w:pStyle w:val="ListBullet"/>
      </w:pPr>
      <w:r>
        <w:t>PII exports are protected temporary artifacts with authorization, expiry, no-store semantics and audit trail.</w:t>
      </w:r>
    </w:p>
    <w:p>
      <w:pPr>
        <w:pStyle w:val="ListBullet"/>
      </w:pPr>
      <w:r>
        <w:t>Archive is not purge; permanent deletion/anonymization is a separate governed process.</w:t>
      </w:r>
    </w:p>
    <w:p>
      <w:pPr>
        <w:pStyle w:val="ListBullet"/>
      </w:pPr>
      <w:r>
        <w:t>Backup restore must account for privacy-state reconciliation; production guest data should not casually be copied to development/staging.</w:t>
      </w:r>
    </w:p>
    <w:p>
      <w:pPr>
        <w:pStyle w:val="ListBullet"/>
      </w:pPr>
      <w:r>
        <w:t>Plugin uninstall and WordPress-user deletion do not implicitly purge EventFlow business/history data.</w:t>
      </w:r>
    </w:p>
    <w:p>
      <w:pPr>
        <w:pStyle w:val="Heading1"/>
      </w:pPr>
      <w:r>
        <w:t>11. Audit &amp; Security Logging - SEC-008</w:t>
      </w:r>
    </w:p>
    <w:p>
      <w:r>
        <w:rPr>
          <w:b w:val="0"/>
        </w:rPr>
        <w:t>Business/security audit and operational logs are separate channels. Audit answers who did what/where/when and preserves material accountability. Operational logs capture technical execution and diagnostics with shorter retention and stronger minimization.</w:t>
      </w:r>
    </w:p>
    <w:p>
      <w:pPr>
        <w:pStyle w:val="ListBullet"/>
      </w:pPr>
      <w:r>
        <w:t>AuditService is the sole application writer for append-only audit records; ordinary APIs cannot create/edit/delete audit history.</w:t>
      </w:r>
    </w:p>
    <w:p>
      <w:pPr>
        <w:pStyle w:val="ListBullet"/>
      </w:pPr>
      <w:r>
        <w:t>Audit attribution preserves actual principal type plus initiating user/job/provider context as applicable.</w:t>
      </w:r>
    </w:p>
    <w:p>
      <w:pPr>
        <w:pStyle w:val="ListBullet"/>
      </w:pPr>
      <w:r>
        <w:t>Material mutations normally commit required audit records in the same transaction; required audit failure rolls back the mutation.</w:t>
      </w:r>
    </w:p>
    <w:p>
      <w:pPr>
        <w:pStyle w:val="ListBullet"/>
      </w:pPr>
      <w:r>
        <w:t>Audit before/after data is field-minimized and centrally redacted for secrets/sensitive PII.</w:t>
      </w:r>
    </w:p>
    <w:p>
      <w:pPr>
        <w:pStyle w:val="ListBullet"/>
      </w:pPr>
      <w:r>
        <w:t>Structured logs prefer internal IDs over names/emails and protect against log injection.</w:t>
      </w:r>
    </w:p>
    <w:p>
      <w:pPr>
        <w:pStyle w:val="ListBullet"/>
      </w:pPr>
      <w:r>
        <w:t>Security-critical audit history should support tamper-evident chain verification; verification failure is high/critical and is not auto-repaired.</w:t>
      </w:r>
    </w:p>
    <w:p>
      <w:r>
        <w:rPr>
          <w:b w:val="0"/>
        </w:rPr>
        <w:t>Implementation impact: S5-R11 may be implemented using hash/previous-hash columns on audit records or a companion integrity store. If persisted schema changes are used, they must be introduced by versioned migration.</w:t>
      </w:r>
    </w:p>
    <w:p>
      <w:pPr>
        <w:pStyle w:val="Heading1"/>
      </w:pPr>
      <w:r>
        <w:t>12. Abuse &amp; Operational Controls - SEC-009</w:t>
      </w:r>
    </w:p>
    <w:p>
      <w:pPr>
        <w:pStyle w:val="ListBullet"/>
      </w:pPr>
      <w:r>
        <w:t>Rate limiting is risk-based per surface: bootstrap strict; RSVP moderate; reception/check-in higher burst tolerance; imports/exports low-frequency; webhooks provider-tuned.</w:t>
      </w:r>
    </w:p>
    <w:p>
      <w:pPr>
        <w:pStyle w:val="ListBullet"/>
      </w:pPr>
      <w:r>
        <w:t>Enumeration, cross-Event probing, repeated privilege denials, suspicious PII exports, webhook failures and abnormal event-day activity produce security signals.</w:t>
      </w:r>
    </w:p>
    <w:p>
      <w:pPr>
        <w:pStyle w:val="ListBullet"/>
      </w:pPr>
      <w:r>
        <w:t>Containment favors temporary/narrow controls (rate tightening, session revocation, membership suspension, provider/job pause) over global shutdown.</w:t>
      </w:r>
    </w:p>
    <w:p>
      <w:pPr>
        <w:pStyle w:val="ListBullet"/>
      </w:pPr>
      <w:r>
        <w:t>XLSX/import parsers limit uploaded and expanded content, worksheet/row/cell/string complexity.</w:t>
      </w:r>
    </w:p>
    <w:p>
      <w:pPr>
        <w:pStyle w:val="ListBullet"/>
      </w:pPr>
      <w:r>
        <w:t>External providers use bounded retry, Retry-After where available and circuit breakers to prevent retry storms.</w:t>
      </w:r>
    </w:p>
    <w:p>
      <w:pPr>
        <w:pStyle w:val="ListBullet"/>
      </w:pPr>
      <w:r>
        <w:t>Queue/job concurrency and retry caps prevent unbounded background work.</w:t>
      </w:r>
    </w:p>
    <w:p>
      <w:pPr>
        <w:pStyle w:val="ListBullet"/>
      </w:pPr>
      <w:r>
        <w:t>Event-day reception lookup/check-in receive operational priority over imports, exports, recommendation jobs and large communications workloads.</w:t>
      </w:r>
    </w:p>
    <w:p>
      <w:pPr>
        <w:pStyle w:val="ListBullet"/>
      </w:pPr>
      <w:r>
        <w:t>Failure of optional external subsystems should preserve unrelated EventFlow domains where integrity can still be maintained.</w:t>
      </w:r>
    </w:p>
    <w:p>
      <w:pPr>
        <w:pStyle w:val="Heading1"/>
      </w:pPr>
      <w:r>
        <w:t>13. Security Validation Matrix - SEC-010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Threats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Attack/failure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Expected outcome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5"/>
              </w:rPr>
              <w:t>Design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Cross-Event IDOR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THR-001, THR-013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Organizer of Event A targets Event B resource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404 resource_not_found; no disclosure/mutation; probing telemetry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Role privilege escalation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THR-002, THR-015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Coordinator attempts owner grant/self-elevation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403/default deny; repeated attempts signaled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Unauthorized primary-owner transfer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THR-002, THR-015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Organizer/ordinary owner attempts transfer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403; only current primary owner/global recovery authority; audit legitimate transfer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Invitation-token enumeration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THR-003, THR-004, THR-019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Automated random credential probing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Generic failure, throttling, enumeration signal; no validity oracle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Old token after rotation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THR-003, THR-007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Use v4 token/session after v5 rotation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401 invitation_access_invalid; prior sessions invalid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Guest scope escape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THR-001, THR-005, THR-013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Guest for one Invitation targets other resources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Deny; server-bound Event+Invitation scope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Guest CSRF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Cross-site RSVP mutation with valid guest cookie but no CSRF/origin evidence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Deny; telemetry; no mutation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Administrative CSRF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External site targets logged-in WordPress user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Deny without required REST nonce/request protection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RSVP duplicate/replay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THR-007, THR-016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Replay same key/request, then same key/different body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Replay prior outcome; conflict on fingerprint mismatch; scoped idempotency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Forged provider webhook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Valid-looking JSON with invalid/missing provider signature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Deny before domain processing; security telemetry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Valid webhook replay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THR-007, THR-009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Replay authentic provider callback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Dedupe; no duplicate transition; cheap acknowledgement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Malicious import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THR-010, THR-011, THR-012, THR-019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Malformed/oversized/formula/script/archive-bomb payloads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Bounded parser/staging; no code/SQL execution; no direct production insert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Reception account compromise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THR-002, THR-013, THR-018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Compromised Reception principal attempts broader access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Only reception search/check-in/limited seating read; broader actions denied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Archived Event mutation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THR-022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Valid owner attempts mutation on archived Event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Deny event_archived despite role capability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Secret leakage inspection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THR-014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Inspect logs/audit/errors/message history after credential operations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No reusable secrets; guest-link indirection used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PII export abuse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THR-013, THR-018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Unauthorized broad export; repeated authorized exports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403 without export_pii; authorized artifact protected/expiring/audited; anomaly signal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Provider outage/retry storm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THR-019, THR-020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Timeout/429/5xx repeatedly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Bounded backoff, Retry-After, circuit breaker; unrelated domains remain available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SV-018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Audit integrity failure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THR-017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Modify/delete/reorder test audit record then verify chain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Integrity failure and high/critical signal; no silent repair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</w:tbl>
    <w:p>
      <w:pPr>
        <w:pStyle w:val="Heading2"/>
      </w:pPr>
      <w:r>
        <w:t>13.1 Validation coverage</w:t>
      </w:r>
    </w:p>
    <w:p>
      <w:r>
        <w:rPr>
          <w:b w:val="0"/>
        </w:rPr>
        <w:t>SEC-010 maps all 10 security invariants and all 22 threats to explicit controls and adversarial validation scenarios. The scenarios are design-level PASS contracts, not evidence that unimplemented code has already passed penetration or integration testing. Before any production-ready declaration, the implemented system must execute SV-001 through SV-018 plus lower-level injection, CORS, redirect, request-boundary, parser, default-deny and domain-wide Event-isolation tests.</w:t>
      </w:r>
    </w:p>
    <w:p>
      <w:pPr>
        <w:pStyle w:val="Heading1"/>
      </w:pPr>
      <w:r>
        <w:t>14. Sprint 5 Refinement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ID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Mandatory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Message history must not permanently store the underlying long-lived Invitation token; outbound links use secure indirection.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Idempotency records are scoped by authoritative principal/operation/Event and canonical request fingerprint.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Spreadsheet-compatible import/export explicitly protects against formula injection.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Security-sensitive absolute URLs are generated from trusted canonical application configuration, not untrusted Host headers.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Outbound invitation communications use purpose-scoped high-entropy guest-link credentials, preferably per logical Message recipient, stored only as digests.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Reusable provider, signing, encryption and runtime secrets are externalized behind a SecretProvider abstraction.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Import source files and raw staging payloads receive explicit short-lived retention.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PII exports are temporary protected artifacts with authorization-controlled retrieval and expiry.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Backup/restore procedures account for privacy-state reconciliation after restoration.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Plugin uninstall and WordPress-user deletion do not implicitly purge EventFlow history.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Security-critical audit history should support tamper-evident chained integrity verification.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Operational logging uses structured encoding or equivalent log-injection protection.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If a material mutation requires an audit record, inability to persist that audit fails/rolls back the mutation.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Import parsers enforce upload and expanded/parsing complexity limits, including XLSX archive expansion.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External provider integrations support bounded backoff and circuit-breaker behavior.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S5-R16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Event-day critical paths receive operational priority over non-critical heavy workloads.</w:t>
            </w:r>
          </w:p>
        </w:tc>
      </w:tr>
    </w:tbl>
    <w:p>
      <w:pPr>
        <w:pStyle w:val="Heading1"/>
      </w:pPr>
      <w:r>
        <w:t>15. Sprint 3 / Sprint 4 Baseline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Area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Existing baseline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Sprint 5 requirement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Result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5"/>
              </w:rPr>
              <w:t>Implementation note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Guest credential storage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3 Invitation token digest + Sprint 4 return-once token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SEC-004/006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No core redesign. Adds guest-link indirection for outbound Messages.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Message immutability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immutable rendered Message snapshot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S5-R01/R05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 with refinement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Message retains indirection URL, not underlying Invitation token.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Guest-link persistence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No dedicated Sprint 3 entity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Controlled extension required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Likely supporting table/store for per-Message opaque link digest, expiry/revocation/context. Implement via versioned migration.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Idempotency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generic Idempotency-Key semantics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Implementation idempotency store must scope principal/operation/Event + request fingerprint.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3 audit model; Sprint 4 AuditService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S5-R11/R13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 with possible extension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Tamper-evident chain may require hash/previous-hash metadata or companion integrity store; versioned migration if persisted.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Imports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3 staging + Sprint 4 staged/batched apply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S5-R07/R14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Adds retention/complexity controls; no domain change.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Exports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report/export concepts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S5-R03/R08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Protected expiring artifact semantics are implementation/ops concern.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Provider adapters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provider capability-aware retries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S5-R06/R15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Externalized secrets + circuit breaker deepen existing adapter contract.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Reception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least-privilege DTO/check-in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SEC-003/007/009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Security formalizes capability and abuse limits.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Event lifecycle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Sprint 4 completed/archived overlays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SEC-003/005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Archived mutation remains server-side denied; late historical evidence still permitted.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Backup/restore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Future migration/recovery plan reserved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S5-R09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Deferred dependency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Must be carried into future migration/recovery documentation; no Sprint 3/4 contradiction.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Plugin/user deletion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Not a normal API purge operation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S5-R10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Compatible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4"/>
              </w:rPr>
              <w:t>Implementation uninstall hooks must preserve data unless explicit governed destructive action.</w:t>
            </w:r>
          </w:p>
        </w:tc>
      </w:tr>
    </w:tbl>
    <w:p>
      <w:pPr>
        <w:pStyle w:val="Heading2"/>
      </w:pPr>
      <w:r>
        <w:t>15.1 Reconciliation verdict</w:t>
      </w:r>
    </w:p>
    <w:p>
      <w:r>
        <w:rPr>
          <w:b w:val="0"/>
        </w:rPr>
        <w:t>PASS. Security decisions strengthen rather than contradict the approved domain and API baselines. S5-R05 and S5-R11 are the only refinements likely to require new persistent supporting structures. They must be introduced as controlled schema migrations; the Sprint 3 v1.0 baseline remains an immutable historical checkpoint. S5-R09 is intentionally carried forward into the future migration/upgrade/recovery documentation.</w:t>
      </w:r>
    </w:p>
    <w:p>
      <w:pPr>
        <w:pStyle w:val="Heading1"/>
      </w:pPr>
      <w:r>
        <w:t>16. Security Acceptance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Gate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5"/>
              </w:rPr>
              <w:t>Required 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Authentication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Authorization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Cross-Event isolation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Guest credential/session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CSRF/request 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Replay/idempotency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Webhook authentication/replay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Import parser 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PII/export protection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Secret leakage inspection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Audit integrity 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Abuse/resilience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SV-001 through SV-018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4"/>
              </w:rPr>
              <w:t>ALL PASS</w:t>
            </w:r>
          </w:p>
        </w:tc>
      </w:tr>
    </w:tbl>
    <w:p>
      <w:r>
        <w:rPr>
          <w:b w:val="0"/>
        </w:rPr>
        <w:t>No production-ready security declaration may be made while a Critical security scenario is failing.</w:t>
      </w:r>
    </w:p>
    <w:p>
      <w:pPr>
        <w:pStyle w:val="Heading1"/>
      </w:pPr>
      <w:r>
        <w:t>17. Open / Future Operational Dependencies</w:t>
      </w:r>
    </w:p>
    <w:p>
      <w:pPr>
        <w:pStyle w:val="ListBullet"/>
      </w:pPr>
      <w:r>
        <w:t>Detailed TLS/web-server/WordPress/OS/database hardening belongs in deployment operations documentation.</w:t>
      </w:r>
    </w:p>
    <w:p>
      <w:pPr>
        <w:pStyle w:val="ListBullet"/>
      </w:pPr>
      <w:r>
        <w:t>Migration, rollback, backup/restore and privacy-state reconciliation belong in the future Migration/Upgrade/Recovery Plan.</w:t>
      </w:r>
    </w:p>
    <w:p>
      <w:pPr>
        <w:pStyle w:val="ListBullet"/>
      </w:pPr>
      <w:r>
        <w:t>Incident response playbooks should cover compromised owner account, Invitation credential leak, provider secret leak, PII export anomaly, audit-integrity failure and database/server compromise.</w:t>
      </w:r>
    </w:p>
    <w:p>
      <w:pPr>
        <w:pStyle w:val="ListBullet"/>
      </w:pPr>
      <w:r>
        <w:t>Exact retention durations and rate-limit thresholds remain deployment/governance configuration with safe defaults.</w:t>
      </w:r>
    </w:p>
    <w:p>
      <w:pPr>
        <w:pStyle w:val="ListBullet"/>
      </w:pPr>
      <w:r>
        <w:t>Formal legal/privacy compliance requirements must be established by the deploying organization/jurisdiction rather than inferred by EventFlow engineering.</w:t>
      </w:r>
    </w:p>
    <w:p>
      <w:pPr>
        <w:pStyle w:val="Heading1"/>
      </w:pPr>
      <w:r>
        <w:t>18. Consolidation Status</w:t>
      </w:r>
    </w:p>
    <w:p>
      <w:r>
        <w:t>Sprint 5 completeness and consistency review: PASS. SEC-001 through SEC-010 are consolidated. Threat coverage is 22/22, security invariants 10/10, and validation scenarios SV-001 through SV-018 are design PASS. S5-R01 through S5-R16 are reconciled as mandatory controlled refinements. No blocking architectural contradiction remains. This document is v1.0 Approved Baseline following explicit final approval and document 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Approved Baseline | EF-DOC-007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EventFlow | EF-DOC-007 | Sprint 5 Security Design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