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EVENTFLOW</w:t>
      </w:r>
    </w:p>
    <w:p>
      <w:pPr>
        <w:pStyle w:val="Subtitle"/>
        <w:jc w:val="center"/>
      </w:pPr>
      <w:r>
        <w:t>EF-DOC-000</w:t>
      </w:r>
    </w:p>
    <w:p>
      <w:pPr>
        <w:pStyle w:val="Title"/>
        <w:jc w:val="center"/>
      </w:pPr>
      <w:r>
        <w:t>EventFlow Constitution</w:t>
      </w:r>
    </w:p>
    <w:p>
      <w:pPr>
        <w:jc w:val="center"/>
      </w:pPr>
      <w:r>
        <w:t>Version 0.2 | Draft for Product Owner Review</w:t>
      </w:r>
    </w:p>
    <w:p>
      <w:pPr>
        <w:jc w:val="center"/>
      </w:pPr>
      <w:r>
        <w:rPr>
          <w:i/>
        </w:rPr>
        <w:br/>
        <w:t>Every Guest Matters. Every Event Flows.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896"/>
          </w:tcPr>
          <w:p>
            <w:r>
              <w:t>EF-DOC-000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896"/>
          </w:tcPr>
          <w:p>
            <w:r>
              <w:t>EventFlow Constitution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96"/>
          </w:tcPr>
          <w:p>
            <w:r>
              <w:t>0.2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96"/>
          </w:tcPr>
          <w:p>
            <w:r>
              <w:t>Draft for Product Owner Review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896"/>
          </w:tcPr>
          <w:p>
            <w:r>
              <w:t>EventFlow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96"/>
          </w:tcPr>
          <w:p>
            <w:r>
              <w:t>Product Owner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Technical Owner</w:t>
            </w:r>
          </w:p>
        </w:tc>
        <w:tc>
          <w:tcPr>
            <w:tcW w:type="dxa" w:w="4896"/>
          </w:tcPr>
          <w:p>
            <w:r>
              <w:t>Solution Architect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Created</w:t>
            </w:r>
          </w:p>
        </w:tc>
        <w:tc>
          <w:tcPr>
            <w:tcW w:type="dxa" w:w="4896"/>
          </w:tcPr>
          <w:p>
            <w:r>
              <w:t>2026-08-06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896"/>
          </w:tcPr>
          <w:p>
            <w:r>
              <w:t>2026-08-06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Review Frequency</w:t>
            </w:r>
          </w:p>
        </w:tc>
        <w:tc>
          <w:tcPr>
            <w:tcW w:type="dxa" w:w="4896"/>
          </w:tcPr>
          <w:p>
            <w:r>
              <w:t>At major product-governance changes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96"/>
          </w:tcPr>
          <w:p>
            <w:r>
              <w:t>Internal Product Governance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Related Documents</w:t>
            </w:r>
          </w:p>
        </w:tc>
        <w:tc>
          <w:tcPr>
            <w:tcW w:type="dxa" w:w="4896"/>
          </w:tcPr>
          <w:p>
            <w:r>
              <w:t>EF-DOC-001, EF-DOC-002, EF-DOC-003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2026-08-06</w:t>
            </w:r>
          </w:p>
        </w:tc>
        <w:tc>
          <w:tcPr>
            <w:tcW w:type="dxa" w:w="2448"/>
          </w:tcPr>
          <w:p>
            <w:r>
              <w:t>Draft</w:t>
            </w:r>
          </w:p>
        </w:tc>
        <w:tc>
          <w:tcPr>
            <w:tcW w:type="dxa" w:w="2448"/>
          </w:tcPr>
          <w:p>
            <w:r>
              <w:t>Initial constitutional principles established.</w:t>
            </w:r>
          </w:p>
        </w:tc>
      </w:tr>
      <w:tr>
        <w:tc>
          <w:tcPr>
            <w:tcW w:type="dxa" w:w="2448"/>
          </w:tcPr>
          <w:p>
            <w:r>
              <w:t>0.2</w:t>
            </w:r>
          </w:p>
        </w:tc>
        <w:tc>
          <w:tcPr>
            <w:tcW w:type="dxa" w:w="2448"/>
          </w:tcPr>
          <w:p>
            <w:r>
              <w:t>2026-08-06</w:t>
            </w:r>
          </w:p>
        </w:tc>
        <w:tc>
          <w:tcPr>
            <w:tcW w:type="dxa" w:w="2448"/>
          </w:tcPr>
          <w:p>
            <w:r>
              <w:t>Draft for Review</w:t>
            </w:r>
          </w:p>
        </w:tc>
        <w:tc>
          <w:tcPr>
            <w:tcW w:type="dxa" w:w="2448"/>
          </w:tcPr>
          <w:p>
            <w:r>
              <w:t>Formalized governance, decision gates, terminology, release obligations, scalability, security, and amendment rules.</w:t>
            </w:r>
          </w:p>
        </w:tc>
      </w:tr>
    </w:tbl>
    <w:p>
      <w:pPr>
        <w:pStyle w:val="Heading1"/>
      </w:pPr>
      <w:r>
        <w:t>Approval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264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264"/>
          </w:tcPr>
          <w:p>
            <w:r>
              <w:t>Product Owner</w:t>
            </w:r>
          </w:p>
        </w:tc>
        <w:tc>
          <w:tcPr>
            <w:tcW w:type="dxa" w:w="3264"/>
          </w:tcPr>
          <w:p>
            <w:r>
              <w:t>Pending</w:t>
            </w:r>
          </w:p>
        </w:tc>
        <w:tc>
          <w:tcPr>
            <w:tcW w:type="dxa" w:w="3264"/>
          </w:tcPr>
          <w:p>
            <w:r>
              <w:t>-</w:t>
            </w:r>
          </w:p>
        </w:tc>
      </w:tr>
      <w:tr>
        <w:tc>
          <w:tcPr>
            <w:tcW w:type="dxa" w:w="3264"/>
          </w:tcPr>
          <w:p>
            <w:r>
              <w:t>Solution Architect</w:t>
            </w:r>
          </w:p>
        </w:tc>
        <w:tc>
          <w:tcPr>
            <w:tcW w:type="dxa" w:w="3264"/>
          </w:tcPr>
          <w:p>
            <w:r>
              <w:t>Prepared</w:t>
            </w:r>
          </w:p>
        </w:tc>
        <w:tc>
          <w:tcPr>
            <w:tcW w:type="dxa" w:w="3264"/>
          </w:tcPr>
          <w:p>
            <w:r>
              <w:t>2026-08-06</w:t>
            </w:r>
          </w:p>
        </w:tc>
      </w:tr>
    </w:tbl>
    <w:p>
      <w:pPr>
        <w:pStyle w:val="Heading1"/>
      </w:pPr>
      <w:r>
        <w:t>Preamble</w:t>
      </w:r>
    </w:p>
    <w:p>
      <w:r>
        <w:t>EventFlow is a professional Event Operations Platform intended to manage the complete operational lifecycle of events, from event configuration and invitations through attendee management, communications, seating, reception, check-in, reporting, and future extensions.</w:t>
      </w:r>
    </w:p>
    <w:p>
      <w:r>
        <w:t>This Constitution defines the highest-level, non-negotiable product and engineering principles governing EventFlow. Product requirements, architecture, database design, interfaces, implementation, testing, operations, and documentation must conform to this Constitution unless a formal amendment is approved and recorded.</w:t>
      </w:r>
    </w:p>
    <w:p>
      <w:r>
        <w:t>The Constitution is intentionally stable. Detailed implementation decisions belong in Architecture Decision Records (ADRs), the Product Requirements Document (PRD), architecture specifications, database specifications, and other controlled documents.</w:t>
      </w:r>
    </w:p>
    <w:p>
      <w:pPr>
        <w:pStyle w:val="Heading1"/>
      </w:pPr>
      <w:r>
        <w:t>Article I - Product Identity and Purpose</w:t>
      </w:r>
    </w:p>
    <w:p>
      <w:pPr>
        <w:ind w:left="288" w:hanging="288"/>
      </w:pPr>
      <w:r>
        <w:t>1. EventFlow shall be developed as a reusable Event Operations Platform, not as a single-event website, RSVP form, invitation plugin, or event-specific codebase.</w:t>
      </w:r>
    </w:p>
    <w:p>
      <w:pPr>
        <w:ind w:left="288" w:hanging="288"/>
      </w:pPr>
      <w:r>
        <w:t>2. The platform shall support multiple event categories through configuration and extension rather than event-specific source-code changes.</w:t>
      </w:r>
    </w:p>
    <w:p>
      <w:pPr>
        <w:ind w:left="288" w:hanging="288"/>
      </w:pPr>
      <w:r>
        <w:t>3. The initial Lui @ 60 implementation is the first production use case and proving ground for EventFlow, but it shall not define or constrain the platform's long-term architecture.</w:t>
      </w:r>
    </w:p>
    <w:p>
      <w:pPr>
        <w:ind w:left="288" w:hanging="288"/>
      </w:pPr>
      <w:r>
        <w:t>4. EventFlow's product motto is: Every Guest Matters. Every Event Flows.</w:t>
      </w:r>
    </w:p>
    <w:p>
      <w:pPr>
        <w:pStyle w:val="Heading1"/>
      </w:pPr>
      <w:r>
        <w:t>Article II - Event-Centric Domain Model</w:t>
      </w:r>
    </w:p>
    <w:p>
      <w:pPr>
        <w:ind w:left="288" w:hanging="288"/>
      </w:pPr>
      <w:r>
        <w:t>1. The Event is the root business entity.</w:t>
      </w:r>
    </w:p>
    <w:p>
      <w:pPr>
        <w:ind w:left="288" w:hanging="288"/>
      </w:pPr>
      <w:r>
        <w:t>2. Invitations, attendees, communications, venue configurations, tables, seating assignments, check-ins, reports, audit records, and event-scoped settings shall be associated with an Event.</w:t>
      </w:r>
    </w:p>
    <w:p>
      <w:pPr>
        <w:ind w:left="288" w:hanging="288"/>
      </w:pPr>
      <w:r>
        <w:t>3. Event ownership shall be explicit in the data model to support future multi-event operation without fundamental redesign.</w:t>
      </w:r>
    </w:p>
    <w:p>
      <w:pPr>
        <w:ind w:left="288" w:hanging="288"/>
      </w:pPr>
      <w:r>
        <w:t>4. Cross-event data access shall be controlled and intentional.</w:t>
      </w:r>
    </w:p>
    <w:p>
      <w:pPr>
        <w:pStyle w:val="Heading1"/>
      </w:pPr>
      <w:r>
        <w:t>Article III - Invitations and Attendees</w:t>
      </w:r>
    </w:p>
    <w:p>
      <w:pPr>
        <w:ind w:left="288" w:hanging="288"/>
      </w:pPr>
      <w:r>
        <w:t>1. An Invitation represents the organizer's invitation relationship with a primary guest or invitee group.</w:t>
      </w:r>
    </w:p>
    <w:p>
      <w:pPr>
        <w:ind w:left="288" w:hanging="288"/>
      </w:pPr>
      <w:r>
        <w:t>2. An Invitation may authorize one or more attendee places.</w:t>
      </w:r>
    </w:p>
    <w:p>
      <w:pPr>
        <w:ind w:left="288" w:hanging="288"/>
      </w:pPr>
      <w:r>
        <w:t>3. The primary guest and confirmed companions shall be represented as Attendee records when individual identity becomes operationally relevant.</w:t>
      </w:r>
    </w:p>
    <w:p>
      <w:pPr>
        <w:ind w:left="288" w:hanging="288"/>
      </w:pPr>
      <w:r>
        <w:t>4. Companion names shall not remain permanently embedded only as unstructured text or JSON when seating, check-in, badge generation, reporting, or other attendee-level operations require individual records.</w:t>
      </w:r>
    </w:p>
    <w:p>
      <w:pPr>
        <w:ind w:left="288" w:hanging="288"/>
      </w:pPr>
      <w:r>
        <w:t>5. Invitation-level and attendee-level responsibilities shall remain distinct.</w:t>
      </w:r>
    </w:p>
    <w:p>
      <w:pPr>
        <w:pStyle w:val="Heading1"/>
      </w:pPr>
      <w:r>
        <w:t>Article IV - Configuration Over Hard-Coding</w:t>
      </w:r>
    </w:p>
    <w:p>
      <w:pPr>
        <w:ind w:left="288" w:hanging="288"/>
      </w:pPr>
      <w:r>
        <w:t>1. Event-specific information shall be data or configuration, not source code.</w:t>
      </w:r>
    </w:p>
    <w:p>
      <w:pPr>
        <w:ind w:left="288" w:hanging="288"/>
      </w:pPr>
      <w:r>
        <w:t>2. Configurable information includes, at minimum, event name, venue, dates, schedules, branding, invitation artwork, theme, organizer contact details, guest-facing wording, deadlines, communication templates, and integration settings.</w:t>
      </w:r>
    </w:p>
    <w:p>
      <w:pPr>
        <w:ind w:left="288" w:hanging="288"/>
      </w:pPr>
      <w:r>
        <w:t>3. Features that require code edits to change ordinary event information shall be considered architectural defects unless explicitly justified by an ADR.</w:t>
      </w:r>
    </w:p>
    <w:p>
      <w:pPr>
        <w:ind w:left="288" w:hanging="288"/>
      </w:pPr>
      <w:r>
        <w:t>4. Reusing EventFlow for a new event should primarily require configuration and data import, not software modification.</w:t>
      </w:r>
    </w:p>
    <w:p>
      <w:pPr>
        <w:pStyle w:val="Heading1"/>
      </w:pPr>
      <w:r>
        <w:t>Article V - Single Source of Truth and Data Ownership</w:t>
      </w:r>
    </w:p>
    <w:p>
      <w:pPr>
        <w:ind w:left="288" w:hanging="288"/>
      </w:pPr>
      <w:r>
        <w:t>1. Every business fact shall have a defined authoritative owner.</w:t>
      </w:r>
    </w:p>
    <w:p>
      <w:pPr>
        <w:ind w:left="288" w:hanging="288"/>
      </w:pPr>
      <w:r>
        <w:t>2. Derived data, cached data, dashboards, exports, and reports may reproduce information for presentation or performance but shall not become conflicting sources of truth.</w:t>
      </w:r>
    </w:p>
    <w:p>
      <w:pPr>
        <w:ind w:left="288" w:hanging="288"/>
      </w:pPr>
      <w:r>
        <w:t>3. Data ownership shall be documented in the Database Design Specification.</w:t>
      </w:r>
    </w:p>
    <w:p>
      <w:pPr>
        <w:ind w:left="288" w:hanging="288"/>
      </w:pPr>
      <w:r>
        <w:t>4. Database duplication shall be justified by performance, audit, historical, or integration requirements and documented where material.</w:t>
      </w:r>
    </w:p>
    <w:p>
      <w:pPr>
        <w:ind w:left="288" w:hanging="288"/>
      </w:pPr>
      <w:r>
        <w:t>5. Data migrations shall preserve lineage and existing event data whenever practical.</w:t>
      </w:r>
    </w:p>
    <w:p>
      <w:pPr>
        <w:pStyle w:val="Heading1"/>
      </w:pPr>
      <w:r>
        <w:t>Article VI - Modular Architecture and Defined Boundaries</w:t>
      </w:r>
    </w:p>
    <w:p>
      <w:pPr>
        <w:ind w:left="288" w:hanging="288"/>
      </w:pPr>
      <w:r>
        <w:t>1. EventFlow shall be modular.</w:t>
      </w:r>
    </w:p>
    <w:p>
      <w:pPr>
        <w:ind w:left="288" w:hanging="288"/>
      </w:pPr>
      <w:r>
        <w:t>2. Modules shall have clearly defined responsibilities, interfaces, and dependencies.</w:t>
      </w:r>
    </w:p>
    <w:p>
      <w:pPr>
        <w:ind w:left="288" w:hanging="288"/>
      </w:pPr>
      <w:r>
        <w:t>3. Communications shall not own seating rules; seating shall not own invitation delivery; reception shall not own event configuration; reporting shall generally read operational data rather than silently mutate it.</w:t>
      </w:r>
    </w:p>
    <w:p>
      <w:pPr>
        <w:ind w:left="288" w:hanging="288"/>
      </w:pPr>
      <w:r>
        <w:t>4. Shared capabilities shall be implemented as shared services rather than duplicated module logic.</w:t>
      </w:r>
    </w:p>
    <w:p>
      <w:pPr>
        <w:ind w:left="288" w:hanging="288"/>
      </w:pPr>
      <w:r>
        <w:t>5. Module boundaries shall be documented in the Software Architecture Document.</w:t>
      </w:r>
    </w:p>
    <w:p>
      <w:pPr>
        <w:pStyle w:val="Heading1"/>
      </w:pPr>
      <w:r>
        <w:t>Article VII - Security, Privacy, and Least Privilege</w:t>
      </w:r>
    </w:p>
    <w:p>
      <w:pPr>
        <w:ind w:left="288" w:hanging="288"/>
      </w:pPr>
      <w:r>
        <w:t>1. Security and privacy are product requirements, not optional enhancements.</w:t>
      </w:r>
    </w:p>
    <w:p>
      <w:pPr>
        <w:ind w:left="288" w:hanging="288"/>
      </w:pPr>
      <w:r>
        <w:t>2. EventFlow shall apply least-privilege access controls.</w:t>
      </w:r>
    </w:p>
    <w:p>
      <w:pPr>
        <w:ind w:left="288" w:hanging="288"/>
      </w:pPr>
      <w:r>
        <w:t>3. Administrative actions shall require appropriate authorization and, where applicable, anti-CSRF protections.</w:t>
      </w:r>
    </w:p>
    <w:p>
      <w:pPr>
        <w:ind w:left="288" w:hanging="288"/>
      </w:pPr>
      <w:r>
        <w:t>4. External input shall be validated and normalized; rendered output shall be appropriately escaped.</w:t>
      </w:r>
    </w:p>
    <w:p>
      <w:pPr>
        <w:ind w:left="288" w:hanging="288"/>
      </w:pPr>
      <w:r>
        <w:t>5. Credentials and integration secrets shall not be exposed in source repositories, public pages, logs, or client-side code.</w:t>
      </w:r>
    </w:p>
    <w:p>
      <w:pPr>
        <w:ind w:left="288" w:hanging="288"/>
      </w:pPr>
      <w:r>
        <w:t>6. Public invitation URLs shall minimize personally identifiable information and use high-entropy, non-guessable tokens or an equivalent secure mechanism.</w:t>
      </w:r>
    </w:p>
    <w:p>
      <w:pPr>
        <w:ind w:left="288" w:hanging="288"/>
      </w:pPr>
      <w:r>
        <w:t>7. Sensitive operations shall be auditable.</w:t>
      </w:r>
    </w:p>
    <w:p>
      <w:pPr>
        <w:ind w:left="288" w:hanging="288"/>
      </w:pPr>
      <w:r>
        <w:t>8. Data retention and deletion capabilities shall evolve with product maturity and applicable privacy obligations.</w:t>
      </w:r>
    </w:p>
    <w:p>
      <w:pPr>
        <w:pStyle w:val="Heading1"/>
      </w:pPr>
      <w:r>
        <w:t>Article VIII - Mobile-First and Accessible User Experience</w:t>
      </w:r>
    </w:p>
    <w:p>
      <w:pPr>
        <w:ind w:left="288" w:hanging="288"/>
      </w:pPr>
      <w:r>
        <w:t>1. Guest-facing experiences shall be designed mobile-first.</w:t>
      </w:r>
    </w:p>
    <w:p>
      <w:pPr>
        <w:ind w:left="288" w:hanging="288"/>
      </w:pPr>
      <w:r>
        <w:t>2. Administrative interfaces shall be responsive and optimized for operational efficiency.</w:t>
      </w:r>
    </w:p>
    <w:p>
      <w:pPr>
        <w:ind w:left="288" w:hanging="288"/>
      </w:pPr>
      <w:r>
        <w:t>3. Public interfaces shall target WCAG-aligned accessibility practices appropriate to the supported platform, including keyboard usability, semantic structure, sufficient contrast, form labels, readable typography, and assistive-technology compatibility.</w:t>
      </w:r>
    </w:p>
    <w:p>
      <w:pPr>
        <w:ind w:left="288" w:hanging="288"/>
      </w:pPr>
      <w:r>
        <w:t>4. Critical workflows shall minimize unnecessary steps and avoid requiring technical knowledge from guests.</w:t>
      </w:r>
    </w:p>
    <w:p>
      <w:pPr>
        <w:ind w:left="288" w:hanging="288"/>
      </w:pPr>
      <w:r>
        <w:t>5. Guest-facing errors shall be understandable and recoverable without exposing sensitive internal details.</w:t>
      </w:r>
    </w:p>
    <w:p>
      <w:pPr>
        <w:pStyle w:val="Heading1"/>
      </w:pPr>
      <w:r>
        <w:t>Article IX - Scalability, Capacity, and Performance</w:t>
      </w:r>
    </w:p>
    <w:p>
      <w:pPr>
        <w:ind w:left="288" w:hanging="288"/>
      </w:pPr>
      <w:r>
        <w:t>1. Architecture shall be designed to scale from small private events to events with at least several thousand attendees without fundamental redesign of core entity relationships or module boundaries.</w:t>
      </w:r>
    </w:p>
    <w:p>
      <w:pPr>
        <w:ind w:left="288" w:hanging="288"/>
      </w:pPr>
      <w:r>
        <w:t>2. Capacity assumptions and measurable service targets shall be defined in the PRD and Architecture documents rather than left implicit.</w:t>
      </w:r>
    </w:p>
    <w:p>
      <w:pPr>
        <w:ind w:left="288" w:hanging="288"/>
      </w:pPr>
      <w:r>
        <w:t>3. Bulk operations shall be designed for batching, idempotency, retryability, and failure isolation where applicable.</w:t>
      </w:r>
    </w:p>
    <w:p>
      <w:pPr>
        <w:ind w:left="288" w:hanging="288"/>
      </w:pPr>
      <w:r>
        <w:t>4. Database access shall favor indexed, bounded, and paginated queries for growing datasets.</w:t>
      </w:r>
    </w:p>
    <w:p>
      <w:pPr>
        <w:ind w:left="288" w:hanging="288"/>
      </w:pPr>
      <w:r>
        <w:t>5. Expensive operations such as bulk communications, report generation, imports, and exports should support asynchronous or queued execution when scale justifies it.</w:t>
      </w:r>
    </w:p>
    <w:p>
      <w:pPr>
        <w:ind w:left="288" w:hanging="288"/>
      </w:pPr>
      <w:r>
        <w:t>6. Performance optimizations shall not compromise correctness, security, or auditability without an explicit accepted trade-off.</w:t>
      </w:r>
    </w:p>
    <w:p>
      <w:pPr>
        <w:pStyle w:val="Heading1"/>
      </w:pPr>
      <w:r>
        <w:t>Article X - Reliability and Operational Resilience</w:t>
      </w:r>
    </w:p>
    <w:p>
      <w:pPr>
        <w:ind w:left="288" w:hanging="288"/>
      </w:pPr>
      <w:r>
        <w:t>1. Event-day operations shall prioritize reliability over novelty.</w:t>
      </w:r>
    </w:p>
    <w:p>
      <w:pPr>
        <w:ind w:left="288" w:hanging="288"/>
      </w:pPr>
      <w:r>
        <w:t>2. Critical workflows such as guest lookup and check-in should degrade gracefully when external integrations are unavailable.</w:t>
      </w:r>
    </w:p>
    <w:p>
      <w:pPr>
        <w:ind w:left="288" w:hanging="288"/>
      </w:pPr>
      <w:r>
        <w:t>3. Integrations with email, SMS, payment, or other external services shall not become single points of failure for unrelated core operations.</w:t>
      </w:r>
    </w:p>
    <w:p>
      <w:pPr>
        <w:ind w:left="288" w:hanging="288"/>
      </w:pPr>
      <w:r>
        <w:t>4. Failed external operations shall expose actionable status and support retry where appropriate.</w:t>
      </w:r>
    </w:p>
    <w:p>
      <w:pPr>
        <w:ind w:left="288" w:hanging="288"/>
      </w:pPr>
      <w:r>
        <w:t>5. Backups, migration safety, and rollback mechanisms shall be part of the release and deployment strategy.</w:t>
      </w:r>
    </w:p>
    <w:p>
      <w:pPr>
        <w:pStyle w:val="Heading1"/>
      </w:pPr>
      <w:r>
        <w:t>Article XI - Auditability and Observability</w:t>
      </w:r>
    </w:p>
    <w:p>
      <w:pPr>
        <w:ind w:left="288" w:hanging="288"/>
      </w:pPr>
      <w:r>
        <w:t>1. Material actions should be attributable to an actor, timestamp, event, and relevant business object.</w:t>
      </w:r>
    </w:p>
    <w:p>
      <w:pPr>
        <w:ind w:left="288" w:hanging="288"/>
      </w:pPr>
      <w:r>
        <w:t>2. Audit-worthy actions include, at minimum, invitation sending, invitation-status changes, attendee changes, table assignments, check-ins, role/permission changes, integration configuration changes, and significant event-setting changes.</w:t>
      </w:r>
    </w:p>
    <w:p>
      <w:pPr>
        <w:ind w:left="288" w:hanging="288"/>
      </w:pPr>
      <w:r>
        <w:t>3. Operational logs and audit logs shall serve distinct purposes.</w:t>
      </w:r>
    </w:p>
    <w:p>
      <w:pPr>
        <w:ind w:left="288" w:hanging="288"/>
      </w:pPr>
      <w:r>
        <w:t>4. Logging shall avoid unnecessary storage of secrets or sensitive personal data.</w:t>
      </w:r>
    </w:p>
    <w:p>
      <w:pPr>
        <w:ind w:left="288" w:hanging="288"/>
      </w:pPr>
      <w:r>
        <w:t>5. Future observability capabilities may include structured logs, health checks, metrics, and error reporting as product maturity requires.</w:t>
      </w:r>
    </w:p>
    <w:p>
      <w:pPr>
        <w:pStyle w:val="Heading1"/>
      </w:pPr>
      <w:r>
        <w:t>Article XII - Documentation as a Product Deliverable</w:t>
      </w:r>
    </w:p>
    <w:p>
      <w:pPr>
        <w:ind w:left="288" w:hanging="288"/>
      </w:pPr>
      <w:r>
        <w:t>1. Documentation is part of EventFlow.</w:t>
      </w:r>
    </w:p>
    <w:p>
      <w:pPr>
        <w:ind w:left="288" w:hanging="288"/>
      </w:pPr>
      <w:r>
        <w:t>2. A release is not complete until applicable documentation is current.</w:t>
      </w:r>
    </w:p>
    <w:p>
      <w:pPr>
        <w:ind w:left="288" w:hanging="288"/>
      </w:pPr>
      <w:r>
        <w:t>3. Controlled documents include the Constitution, Vision &amp; Design Principles, ADR Register, PRD, Architecture, Database Design, API/Integration Specification, UI/UX Guide, Security Guide, Developer Guide, Testing Strategy, Release Notes, Changelog, migration guidance, and the EventFlow Bible.</w:t>
      </w:r>
    </w:p>
    <w:p>
      <w:pPr>
        <w:ind w:left="288" w:hanging="288"/>
      </w:pPr>
      <w:r>
        <w:t>4. ADRs shall preserve historical decisions. Accepted ADRs shall not be silently rewritten to conceal subsequent architectural change.</w:t>
      </w:r>
    </w:p>
    <w:p>
      <w:pPr>
        <w:ind w:left="288" w:hanging="288"/>
      </w:pPr>
      <w:r>
        <w:t>5. A superseded decision shall be documented by a new ADR that references the superseded ADR.</w:t>
      </w:r>
    </w:p>
    <w:p>
      <w:pPr>
        <w:ind w:left="288" w:hanging="288"/>
      </w:pPr>
      <w:r>
        <w:t>6. Versioned documentation packages shall be archived at defined release milestones.</w:t>
      </w:r>
    </w:p>
    <w:p>
      <w:pPr>
        <w:pStyle w:val="Heading1"/>
      </w:pPr>
      <w:r>
        <w:t>Article XIII - Requirements and Decision Gates</w:t>
      </w:r>
    </w:p>
    <w:p>
      <w:r>
        <w:t>Before implementation of a material feature, the team shall determine:</w:t>
      </w:r>
    </w:p>
    <w:p>
      <w:pPr>
        <w:ind w:left="288" w:hanging="288"/>
      </w:pPr>
      <w:r>
        <w:t>1. Whether the feature is covered by an approved or draft PRD requirement.</w:t>
      </w:r>
    </w:p>
    <w:p>
      <w:pPr>
        <w:ind w:left="288" w:hanging="288"/>
      </w:pPr>
      <w:r>
        <w:t>2. Whether it introduces or changes a significant architectural decision requiring an ADR.</w:t>
      </w:r>
    </w:p>
    <w:p>
      <w:pPr>
        <w:ind w:left="288" w:hanging="288"/>
      </w:pPr>
      <w:r>
        <w:t>3. Whether it changes the database schema, integration contracts, security posture, capacity assumptions, or user experience standards.</w:t>
      </w:r>
    </w:p>
    <w:p>
      <w:pPr>
        <w:ind w:left="288" w:hanging="288"/>
      </w:pPr>
      <w:r>
        <w:t>4. Which controlled documents require revision.</w:t>
      </w:r>
    </w:p>
    <w:p>
      <w:pPr>
        <w:ind w:left="288" w:hanging="288"/>
      </w:pPr>
      <w:r>
        <w:t>5. What acceptance criteria and tests demonstrate completion.</w:t>
      </w:r>
    </w:p>
    <w:p>
      <w:r>
        <w:t>Material work should not bypass these gates merely for short-term convenience.</w:t>
      </w:r>
    </w:p>
    <w:p>
      <w:pPr>
        <w:pStyle w:val="Heading1"/>
      </w:pPr>
      <w:r>
        <w:t>Article XIV - Versioning, Releases, and Backward Compatibility</w:t>
      </w:r>
    </w:p>
    <w:p>
      <w:pPr>
        <w:ind w:left="288" w:hanging="288"/>
      </w:pPr>
      <w:r>
        <w:t>1. EventFlow shall use semantic versioning unless superseded by an ADR.</w:t>
      </w:r>
    </w:p>
    <w:p>
      <w:pPr>
        <w:ind w:left="288" w:hanging="288"/>
      </w:pPr>
      <w:r>
        <w:t>2. Releases shall distinguish major, minor, and patch changes.</w:t>
      </w:r>
    </w:p>
    <w:p>
      <w:pPr>
        <w:ind w:left="288" w:hanging="288"/>
      </w:pPr>
      <w:r>
        <w:t>3. Breaking changes shall be intentional, documented, migration-aware, and appropriately versioned.</w:t>
      </w:r>
    </w:p>
    <w:p>
      <w:pPr>
        <w:ind w:left="288" w:hanging="288"/>
      </w:pPr>
      <w:r>
        <w:t>4. Existing event data shall be preserved through upgrades whenever practical.</w:t>
      </w:r>
    </w:p>
    <w:p>
      <w:pPr>
        <w:ind w:left="288" w:hanging="288"/>
      </w:pPr>
      <w:r>
        <w:t>5. Database schema changes shall use controlled migrations rather than ad hoc manual changes.</w:t>
      </w:r>
    </w:p>
    <w:p>
      <w:pPr>
        <w:ind w:left="288" w:hanging="288"/>
      </w:pPr>
      <w:r>
        <w:t>6. Each release shall include release notes, a changelog update, applicable migration guidance, and an identified rollback or recovery approach.</w:t>
      </w:r>
    </w:p>
    <w:p>
      <w:pPr>
        <w:pStyle w:val="Heading1"/>
      </w:pPr>
      <w:r>
        <w:t>Article XV - Engineering Quality</w:t>
      </w:r>
    </w:p>
    <w:p>
      <w:pPr>
        <w:ind w:left="288" w:hanging="288"/>
      </w:pPr>
      <w:r>
        <w:t>1. Code shall favor clarity, maintainability, testability, and predictable behavior over cleverness.</w:t>
      </w:r>
    </w:p>
    <w:p>
      <w:pPr>
        <w:ind w:left="288" w:hanging="288"/>
      </w:pPr>
      <w:r>
        <w:t>2. New development shall avoid unnecessary dependencies.</w:t>
      </w:r>
    </w:p>
    <w:p>
      <w:pPr>
        <w:ind w:left="288" w:hanging="288"/>
      </w:pPr>
      <w:r>
        <w:t>3. Shared logic shall be reused rather than copied.</w:t>
      </w:r>
    </w:p>
    <w:p>
      <w:pPr>
        <w:ind w:left="288" w:hanging="288"/>
      </w:pPr>
      <w:r>
        <w:t>4. Security-sensitive and business-critical code shall receive proportionate testing.</w:t>
      </w:r>
    </w:p>
    <w:p>
      <w:pPr>
        <w:ind w:left="288" w:hanging="288"/>
      </w:pPr>
      <w:r>
        <w:t>5. Technical debt may be accepted consciously but shall be documented when it materially affects the roadmap, reliability, security, or maintainability.</w:t>
      </w:r>
    </w:p>
    <w:p>
      <w:pPr>
        <w:ind w:left="288" w:hanging="288"/>
      </w:pPr>
      <w:r>
        <w:t>6. The codebase should be left in a better state after each release.</w:t>
      </w:r>
    </w:p>
    <w:p>
      <w:pPr>
        <w:pStyle w:val="Heading1"/>
      </w:pPr>
      <w:r>
        <w:t>Article XVI - Product Governance and Roles</w:t>
      </w:r>
    </w:p>
    <w:p>
      <w:pPr>
        <w:ind w:left="288" w:hanging="288"/>
      </w:pPr>
      <w:r>
        <w:t>1. The Product Owner owns business priorities, product direction, acceptance, and final product decisions.</w:t>
      </w:r>
    </w:p>
    <w:p>
      <w:pPr>
        <w:ind w:left="288" w:hanging="288"/>
      </w:pPr>
      <w:r>
        <w:t>2. The Solution Architect owns architectural integrity, technical trade-off analysis, technical documentation, and alignment between product requirements and implementation.</w:t>
      </w:r>
    </w:p>
    <w:p>
      <w:pPr>
        <w:ind w:left="288" w:hanging="288"/>
      </w:pPr>
      <w:r>
        <w:t>3. Contributors shall follow documented development, review, testing, and release practices.</w:t>
      </w:r>
    </w:p>
    <w:p>
      <w:pPr>
        <w:ind w:left="288" w:hanging="288"/>
      </w:pPr>
      <w:r>
        <w:t>4. Conflicts between short-term feature delivery and constitutional principles shall be surfaced explicitly rather than resolved silently.</w:t>
      </w:r>
    </w:p>
    <w:p>
      <w:pPr>
        <w:ind w:left="288" w:hanging="288"/>
      </w:pPr>
      <w:r>
        <w:t>5. Product decisions and architecture decisions shall be recorded in the appropriate controlled documents.</w:t>
      </w:r>
    </w:p>
    <w:p>
      <w:pPr>
        <w:pStyle w:val="Heading1"/>
      </w:pPr>
      <w:r>
        <w:t>Article XVII - Amendment and Exception Process</w:t>
      </w:r>
    </w:p>
    <w:p>
      <w:pPr>
        <w:ind w:left="288" w:hanging="288"/>
      </w:pPr>
      <w:r>
        <w:t>1. This Constitution may be amended only when EventFlow's governing principles genuinely need to change.</w:t>
      </w:r>
    </w:p>
    <w:p>
      <w:pPr>
        <w:ind w:left="288" w:hanging="288"/>
      </w:pPr>
      <w:r>
        <w:t>2. An amendment requires:</w:t>
      </w:r>
    </w:p>
    <w:p>
      <w:pPr>
        <w:pStyle w:val="ListBullet"/>
      </w:pPr>
      <w:r>
        <w:t>a documented rationale;</w:t>
      </w:r>
    </w:p>
    <w:p>
      <w:pPr>
        <w:pStyle w:val="ListBullet"/>
      </w:pPr>
      <w:r>
        <w:t>impact analysis;</w:t>
      </w:r>
    </w:p>
    <w:p>
      <w:pPr>
        <w:pStyle w:val="ListBullet"/>
      </w:pPr>
      <w:r>
        <w:t>Product Owner approval;</w:t>
      </w:r>
    </w:p>
    <w:p>
      <w:pPr>
        <w:pStyle w:val="ListBullet"/>
      </w:pPr>
      <w:r>
        <w:t>Solution Architect review;</w:t>
      </w:r>
    </w:p>
    <w:p>
      <w:pPr>
        <w:pStyle w:val="ListBullet"/>
      </w:pPr>
      <w:r>
        <w:t>an ADR when the amendment reflects a material architectural decision;</w:t>
      </w:r>
    </w:p>
    <w:p>
      <w:pPr>
        <w:pStyle w:val="ListBullet"/>
      </w:pPr>
      <w:r>
        <w:t>an incremented Constitution version.</w:t>
      </w:r>
    </w:p>
    <w:p>
      <w:pPr>
        <w:ind w:left="288" w:hanging="288"/>
      </w:pPr>
      <w:r>
        <w:t>3. Temporary exceptions shall be documented with scope, rationale, risk, owner, and planned resolution.</w:t>
      </w:r>
    </w:p>
    <w:p>
      <w:pPr>
        <w:ind w:left="288" w:hanging="288"/>
      </w:pPr>
      <w:r>
        <w:t>4. Convenience alone is insufficient justification for permanent constitutional exceptions.</w:t>
      </w:r>
    </w:p>
    <w:p>
      <w:pPr>
        <w:pStyle w:val="Heading1"/>
      </w:pPr>
      <w:r>
        <w:t>Article XVIII - Product Motto and Guiding Standard</w:t>
      </w:r>
    </w:p>
    <w:p>
      <w:r>
        <w:rPr>
          <w:b/>
        </w:rPr>
        <w:t>Every Guest Matters. Every Event Flows.</w:t>
      </w:r>
    </w:p>
    <w:p>
      <w:r>
        <w:t>The motto expresses EventFlow's commitment to both human experience and operational excellence. Product decisions should improve the experience of guests while helping organizers execute events predictably, securely, and efficiently.</w:t>
      </w:r>
    </w:p>
    <w:p>
      <w:pPr>
        <w:pStyle w:val="Heading1"/>
      </w:pPr>
      <w:r>
        <w:t>Constitutional Interpretation</w:t>
      </w:r>
    </w:p>
    <w:p>
      <w:r>
        <w:t>Where a lower-level document conflicts with this Constitution, the Constitution prevails until the conflict is resolved through an approved amendment or correction.</w:t>
      </w:r>
    </w:p>
    <w:p>
      <w:r>
        <w:t>Where the Constitution is silent, the PRD, accepted ADRs, Architecture Document, and other controlled specifications govern according to their scope.</w:t>
      </w:r>
    </w:p>
    <w:p>
      <w:pPr>
        <w:pStyle w:val="Heading1"/>
      </w:pPr>
      <w:r>
        <w:t>Next Review</w:t>
      </w:r>
    </w:p>
    <w:p>
      <w:r>
        <w:t>This Constitution shall be reviewed before the first approved EventFlow 1.0 product release and whenever a proposed change materially alters the product's identity, governance, security model, data ownership, or architectural principles.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EventFlow | EF-DOC-000 | Version 0.2 | Internal Product Governance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