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AF871" w14:textId="77777777" w:rsidR="00B814F9" w:rsidRPr="00B814F9" w:rsidRDefault="00B814F9" w:rsidP="00B814F9">
      <w:pPr>
        <w:pStyle w:val="Header"/>
        <w:jc w:val="center"/>
        <w:rPr>
          <w:b/>
          <w:bCs/>
          <w:sz w:val="24"/>
          <w:szCs w:val="24"/>
        </w:rPr>
      </w:pPr>
      <w:r w:rsidRPr="00B814F9">
        <w:rPr>
          <w:b/>
          <w:bCs/>
          <w:sz w:val="24"/>
          <w:szCs w:val="24"/>
        </w:rPr>
        <w:t>Kickstart My Chart Analysis</w:t>
      </w:r>
    </w:p>
    <w:p w14:paraId="5873FB73" w14:textId="1E9EF8C5" w:rsidR="00B00FD8" w:rsidRPr="00B814F9" w:rsidRDefault="00B00FD8" w:rsidP="00B00FD8">
      <w:pPr>
        <w:tabs>
          <w:tab w:val="num" w:pos="720"/>
        </w:tabs>
        <w:spacing w:before="100" w:beforeAutospacing="1" w:after="100" w:afterAutospacing="1" w:line="240" w:lineRule="auto"/>
        <w:rPr>
          <w:b/>
          <w:bCs/>
        </w:rPr>
      </w:pPr>
      <w:r w:rsidRPr="00B814F9">
        <w:rPr>
          <w:b/>
          <w:bCs/>
        </w:rPr>
        <w:t>Required Report</w:t>
      </w:r>
    </w:p>
    <w:p w14:paraId="1DCC513D" w14:textId="0DC79837" w:rsidR="00B00FD8" w:rsidRDefault="00B00FD8" w:rsidP="00B00FD8">
      <w:pPr>
        <w:numPr>
          <w:ilvl w:val="0"/>
          <w:numId w:val="1"/>
        </w:numPr>
        <w:spacing w:before="100" w:beforeAutospacing="1" w:after="100" w:afterAutospacing="1" w:line="240" w:lineRule="auto"/>
        <w:rPr>
          <w:rFonts w:eastAsia="Times New Roman" w:cstheme="minorHAnsi"/>
          <w:color w:val="24292E"/>
        </w:rPr>
      </w:pPr>
      <w:r w:rsidRPr="00B00FD8">
        <w:rPr>
          <w:rFonts w:eastAsia="Times New Roman" w:cstheme="minorHAnsi"/>
          <w:color w:val="24292E"/>
        </w:rPr>
        <w:t>Given the provided data, what are three conclusions we can draw about Kickstarter campaigns?</w:t>
      </w:r>
    </w:p>
    <w:p w14:paraId="3D273FB6" w14:textId="78EA62A5" w:rsidR="00B00FD8" w:rsidRDefault="00B00FD8" w:rsidP="00393851">
      <w:pPr>
        <w:spacing w:before="100" w:beforeAutospacing="1" w:after="100" w:afterAutospacing="1" w:line="240" w:lineRule="auto"/>
        <w:rPr>
          <w:rFonts w:eastAsia="Times New Roman" w:cstheme="minorHAnsi"/>
          <w:color w:val="24292E"/>
        </w:rPr>
      </w:pPr>
      <w:r>
        <w:rPr>
          <w:rFonts w:eastAsia="Times New Roman" w:cstheme="minorHAnsi"/>
          <w:color w:val="24292E"/>
        </w:rPr>
        <w:t>Theatre</w:t>
      </w:r>
      <w:r w:rsidR="00393851">
        <w:rPr>
          <w:rFonts w:eastAsia="Times New Roman" w:cstheme="minorHAnsi"/>
          <w:color w:val="24292E"/>
        </w:rPr>
        <w:t xml:space="preserve"> (839)</w:t>
      </w:r>
      <w:r>
        <w:rPr>
          <w:rFonts w:eastAsia="Times New Roman" w:cstheme="minorHAnsi"/>
          <w:color w:val="24292E"/>
        </w:rPr>
        <w:t xml:space="preserve">, </w:t>
      </w:r>
      <w:r w:rsidR="00393851">
        <w:rPr>
          <w:rFonts w:eastAsia="Times New Roman" w:cstheme="minorHAnsi"/>
          <w:color w:val="24292E"/>
        </w:rPr>
        <w:t>Music (540)</w:t>
      </w:r>
      <w:r w:rsidR="00393851">
        <w:rPr>
          <w:rFonts w:eastAsia="Times New Roman" w:cstheme="minorHAnsi"/>
          <w:color w:val="24292E"/>
        </w:rPr>
        <w:t>, and Film &amp; Video (300) had the highest number of successful campaigns</w:t>
      </w:r>
      <w:r w:rsidR="006015BF">
        <w:rPr>
          <w:rFonts w:eastAsia="Times New Roman" w:cstheme="minorHAnsi"/>
          <w:color w:val="24292E"/>
        </w:rPr>
        <w:t>.</w:t>
      </w:r>
      <w:r w:rsidR="00393851">
        <w:rPr>
          <w:rFonts w:eastAsia="Times New Roman" w:cstheme="minorHAnsi"/>
          <w:color w:val="24292E"/>
        </w:rPr>
        <w:t xml:space="preserve"> </w:t>
      </w:r>
    </w:p>
    <w:p w14:paraId="6E28AC57" w14:textId="52D73C8A" w:rsidR="00F91F30" w:rsidRDefault="00F91F30" w:rsidP="00B814F9">
      <w:pPr>
        <w:spacing w:before="100" w:beforeAutospacing="1" w:after="100" w:afterAutospacing="1" w:line="240" w:lineRule="auto"/>
        <w:jc w:val="center"/>
        <w:rPr>
          <w:rFonts w:eastAsia="Times New Roman" w:cstheme="minorHAnsi"/>
          <w:color w:val="24292E"/>
        </w:rPr>
      </w:pPr>
      <w:r>
        <w:rPr>
          <w:noProof/>
        </w:rPr>
        <w:drawing>
          <wp:inline distT="0" distB="0" distL="0" distR="0" wp14:anchorId="657A8B54" wp14:editId="053BDB3F">
            <wp:extent cx="3853543" cy="2368732"/>
            <wp:effectExtent l="0" t="0" r="13970" b="12700"/>
            <wp:docPr id="2" name="Chart 2">
              <a:extLst xmlns:a="http://schemas.openxmlformats.org/drawingml/2006/main">
                <a:ext uri="{FF2B5EF4-FFF2-40B4-BE49-F238E27FC236}">
                  <a16:creationId xmlns:a16="http://schemas.microsoft.com/office/drawing/2014/main" id="{15C05974-B75B-4B0E-A9F3-DCFDF179C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3A69DA" w14:textId="4D8AA6D6" w:rsidR="006015BF" w:rsidRDefault="006015BF" w:rsidP="00393851">
      <w:pPr>
        <w:spacing w:before="100" w:beforeAutospacing="1" w:after="100" w:afterAutospacing="1" w:line="240" w:lineRule="auto"/>
        <w:rPr>
          <w:rFonts w:eastAsia="Times New Roman" w:cstheme="minorHAnsi"/>
          <w:color w:val="24292E"/>
        </w:rPr>
      </w:pPr>
      <w:r>
        <w:rPr>
          <w:rFonts w:eastAsia="Times New Roman" w:cstheme="minorHAnsi"/>
          <w:color w:val="24292E"/>
        </w:rPr>
        <w:t xml:space="preserve">The sub-category of </w:t>
      </w:r>
      <w:r>
        <w:rPr>
          <w:rFonts w:eastAsia="Times New Roman" w:cstheme="minorHAnsi"/>
          <w:color w:val="24292E"/>
        </w:rPr>
        <w:t xml:space="preserve">Plays (694) </w:t>
      </w:r>
      <w:r>
        <w:rPr>
          <w:rFonts w:eastAsia="Times New Roman" w:cstheme="minorHAnsi"/>
          <w:color w:val="24292E"/>
        </w:rPr>
        <w:t>had the highest number of successful campaigns</w:t>
      </w:r>
      <w:r>
        <w:rPr>
          <w:rFonts w:eastAsia="Times New Roman" w:cstheme="minorHAnsi"/>
          <w:color w:val="24292E"/>
        </w:rPr>
        <w:t xml:space="preserve">. </w:t>
      </w:r>
      <w:r>
        <w:rPr>
          <w:rFonts w:eastAsia="Times New Roman" w:cstheme="minorHAnsi"/>
          <w:color w:val="24292E"/>
        </w:rPr>
        <w:t xml:space="preserve">There were several sub-categories in the top three categories that only had successful campaigns. These were the sub-categories of Rock, Documentary, Shorts, Television, Classical Music, Electronic Music, Pop, and Metal. </w:t>
      </w:r>
    </w:p>
    <w:p w14:paraId="18A7628A" w14:textId="1E8A02D5" w:rsidR="00F91F30" w:rsidRDefault="00F91F30" w:rsidP="00B814F9">
      <w:pPr>
        <w:spacing w:before="100" w:beforeAutospacing="1" w:after="100" w:afterAutospacing="1" w:line="240" w:lineRule="auto"/>
        <w:jc w:val="center"/>
        <w:rPr>
          <w:rFonts w:eastAsia="Times New Roman" w:cstheme="minorHAnsi"/>
          <w:color w:val="24292E"/>
        </w:rPr>
      </w:pPr>
      <w:r>
        <w:rPr>
          <w:noProof/>
        </w:rPr>
        <w:drawing>
          <wp:inline distT="0" distB="0" distL="0" distR="0" wp14:anchorId="2F9B5A34" wp14:editId="40E5B697">
            <wp:extent cx="5495109" cy="2712720"/>
            <wp:effectExtent l="0" t="0" r="10795" b="11430"/>
            <wp:docPr id="1" name="Chart 1">
              <a:extLst xmlns:a="http://schemas.openxmlformats.org/drawingml/2006/main">
                <a:ext uri="{FF2B5EF4-FFF2-40B4-BE49-F238E27FC236}">
                  <a16:creationId xmlns:a16="http://schemas.microsoft.com/office/drawing/2014/main" id="{EE541A8A-6AD4-45D2-A21A-128073FCAF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50C3F8" w14:textId="676C998A" w:rsidR="006015BF" w:rsidRDefault="00F91F30" w:rsidP="00393851">
      <w:pPr>
        <w:spacing w:before="100" w:beforeAutospacing="1" w:after="100" w:afterAutospacing="1" w:line="240" w:lineRule="auto"/>
        <w:rPr>
          <w:rFonts w:eastAsia="Times New Roman" w:cstheme="minorHAnsi"/>
          <w:color w:val="24292E"/>
        </w:rPr>
      </w:pPr>
      <w:r>
        <w:rPr>
          <w:rFonts w:eastAsia="Times New Roman" w:cstheme="minorHAnsi"/>
          <w:color w:val="24292E"/>
        </w:rPr>
        <w:t>Most of the campaigns (3038 out of 4114) were in the United States</w:t>
      </w:r>
      <w:r w:rsidR="00017E5D">
        <w:rPr>
          <w:rFonts w:eastAsia="Times New Roman" w:cstheme="minorHAnsi"/>
          <w:color w:val="24292E"/>
        </w:rPr>
        <w:t xml:space="preserve"> a</w:t>
      </w:r>
      <w:r w:rsidR="006015BF">
        <w:rPr>
          <w:rFonts w:eastAsia="Times New Roman" w:cstheme="minorHAnsi"/>
          <w:color w:val="24292E"/>
        </w:rPr>
        <w:t>nd most successful campaigns launched in May.</w:t>
      </w:r>
    </w:p>
    <w:p w14:paraId="400E616E" w14:textId="24370270" w:rsidR="006015BF" w:rsidRDefault="006015BF" w:rsidP="00B814F9">
      <w:pPr>
        <w:spacing w:before="100" w:beforeAutospacing="1" w:after="100" w:afterAutospacing="1" w:line="240" w:lineRule="auto"/>
        <w:jc w:val="center"/>
        <w:rPr>
          <w:rFonts w:eastAsia="Times New Roman" w:cstheme="minorHAnsi"/>
          <w:color w:val="24292E"/>
        </w:rPr>
      </w:pPr>
      <w:r>
        <w:rPr>
          <w:noProof/>
        </w:rPr>
        <w:lastRenderedPageBreak/>
        <w:drawing>
          <wp:inline distT="0" distB="0" distL="0" distR="0" wp14:anchorId="6D655422" wp14:editId="186243EA">
            <wp:extent cx="4800600" cy="2743200"/>
            <wp:effectExtent l="0" t="0" r="0" b="0"/>
            <wp:docPr id="3" name="Chart 3">
              <a:extLst xmlns:a="http://schemas.openxmlformats.org/drawingml/2006/main">
                <a:ext uri="{FF2B5EF4-FFF2-40B4-BE49-F238E27FC236}">
                  <a16:creationId xmlns:a16="http://schemas.microsoft.com/office/drawing/2014/main" id="{0243538D-343F-4EFC-8D5D-0B4215764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79C2C4" w14:textId="2A090CA5" w:rsidR="00017E5D" w:rsidRDefault="006015BF" w:rsidP="00017E5D">
      <w:pPr>
        <w:spacing w:before="100" w:beforeAutospacing="1" w:after="0" w:line="240" w:lineRule="auto"/>
        <w:rPr>
          <w:rFonts w:eastAsia="Times New Roman" w:cstheme="minorHAnsi"/>
          <w:color w:val="24292E"/>
        </w:rPr>
      </w:pPr>
      <w:r>
        <w:rPr>
          <w:rFonts w:eastAsia="Times New Roman" w:cstheme="minorHAnsi"/>
          <w:color w:val="24292E"/>
        </w:rPr>
        <w:t>Some conclusions you can draw from this are that for a campaign to be successful</w:t>
      </w:r>
      <w:r w:rsidR="00017E5D">
        <w:rPr>
          <w:rFonts w:eastAsia="Times New Roman" w:cstheme="minorHAnsi"/>
          <w:color w:val="24292E"/>
        </w:rPr>
        <w:t>:</w:t>
      </w:r>
    </w:p>
    <w:p w14:paraId="282E8B09" w14:textId="77777777" w:rsidR="00017E5D" w:rsidRDefault="006015BF" w:rsidP="00017E5D">
      <w:pPr>
        <w:pStyle w:val="ListParagraph"/>
        <w:numPr>
          <w:ilvl w:val="0"/>
          <w:numId w:val="4"/>
        </w:numPr>
        <w:spacing w:before="100" w:beforeAutospacing="1" w:after="100" w:afterAutospacing="1" w:line="240" w:lineRule="auto"/>
        <w:rPr>
          <w:rFonts w:eastAsia="Times New Roman" w:cstheme="minorHAnsi"/>
          <w:color w:val="24292E"/>
        </w:rPr>
      </w:pPr>
      <w:r w:rsidRPr="00017E5D">
        <w:rPr>
          <w:rFonts w:eastAsia="Times New Roman" w:cstheme="minorHAnsi"/>
          <w:color w:val="24292E"/>
        </w:rPr>
        <w:t>it should be in theatre, music, or film &amp; video</w:t>
      </w:r>
    </w:p>
    <w:p w14:paraId="0C0C8A01" w14:textId="77777777" w:rsidR="00017E5D" w:rsidRDefault="006015BF" w:rsidP="00017E5D">
      <w:pPr>
        <w:pStyle w:val="ListParagraph"/>
        <w:numPr>
          <w:ilvl w:val="0"/>
          <w:numId w:val="4"/>
        </w:numPr>
        <w:spacing w:before="100" w:beforeAutospacing="1" w:after="100" w:afterAutospacing="1" w:line="240" w:lineRule="auto"/>
        <w:rPr>
          <w:rFonts w:eastAsia="Times New Roman" w:cstheme="minorHAnsi"/>
          <w:color w:val="24292E"/>
        </w:rPr>
      </w:pPr>
      <w:r w:rsidRPr="00017E5D">
        <w:rPr>
          <w:rFonts w:eastAsia="Times New Roman" w:cstheme="minorHAnsi"/>
          <w:color w:val="24292E"/>
        </w:rPr>
        <w:t xml:space="preserve">it should be in the US </w:t>
      </w:r>
    </w:p>
    <w:p w14:paraId="3ED328E3" w14:textId="296886D3" w:rsidR="00F91F30" w:rsidRDefault="00017E5D" w:rsidP="00017E5D">
      <w:pPr>
        <w:pStyle w:val="ListParagraph"/>
        <w:numPr>
          <w:ilvl w:val="0"/>
          <w:numId w:val="4"/>
        </w:numPr>
        <w:spacing w:before="100" w:beforeAutospacing="1" w:after="100" w:afterAutospacing="1" w:line="480" w:lineRule="auto"/>
        <w:rPr>
          <w:rFonts w:eastAsia="Times New Roman" w:cstheme="minorHAnsi"/>
          <w:color w:val="24292E"/>
        </w:rPr>
      </w:pPr>
      <w:r>
        <w:rPr>
          <w:rFonts w:eastAsia="Times New Roman" w:cstheme="minorHAnsi"/>
          <w:color w:val="24292E"/>
        </w:rPr>
        <w:t xml:space="preserve">it should start </w:t>
      </w:r>
      <w:r w:rsidR="006015BF" w:rsidRPr="00017E5D">
        <w:rPr>
          <w:rFonts w:eastAsia="Times New Roman" w:cstheme="minorHAnsi"/>
          <w:color w:val="24292E"/>
        </w:rPr>
        <w:t>in May</w:t>
      </w:r>
    </w:p>
    <w:p w14:paraId="4255429D" w14:textId="0B553392" w:rsidR="00B00FD8" w:rsidRDefault="00B00FD8" w:rsidP="00017E5D">
      <w:pPr>
        <w:pStyle w:val="ListParagraph"/>
        <w:numPr>
          <w:ilvl w:val="0"/>
          <w:numId w:val="1"/>
        </w:numPr>
        <w:spacing w:before="60" w:after="100" w:afterAutospacing="1" w:line="240" w:lineRule="auto"/>
        <w:rPr>
          <w:rFonts w:eastAsia="Times New Roman" w:cstheme="minorHAnsi"/>
          <w:color w:val="24292E"/>
        </w:rPr>
      </w:pPr>
      <w:r w:rsidRPr="00017E5D">
        <w:rPr>
          <w:rFonts w:eastAsia="Times New Roman" w:cstheme="minorHAnsi"/>
          <w:color w:val="24292E"/>
        </w:rPr>
        <w:t>What are some limitations of this dataset?</w:t>
      </w:r>
    </w:p>
    <w:p w14:paraId="3DB9FF3B" w14:textId="77777777" w:rsidR="006E4C80" w:rsidRDefault="00017E5D" w:rsidP="00017E5D">
      <w:pPr>
        <w:spacing w:before="60" w:after="100" w:afterAutospacing="1" w:line="240" w:lineRule="auto"/>
        <w:ind w:left="360"/>
        <w:rPr>
          <w:rFonts w:eastAsia="Times New Roman" w:cstheme="minorHAnsi"/>
          <w:color w:val="24292E"/>
        </w:rPr>
      </w:pPr>
      <w:r>
        <w:rPr>
          <w:rFonts w:eastAsia="Times New Roman" w:cstheme="minorHAnsi"/>
          <w:color w:val="24292E"/>
        </w:rPr>
        <w:t xml:space="preserve">This dataset is limited in that we do not see as much information about the people that back the successful projects. Some interesting information might be the residency and demographics of the backers. It might also be informative to look at more details on campaigns – the number of initial pledge levels, how complete the campaign page was, if it included a video, and if there were any stretch goals. </w:t>
      </w:r>
    </w:p>
    <w:p w14:paraId="5EA830CB" w14:textId="540856AD" w:rsidR="00017E5D" w:rsidRPr="00017E5D" w:rsidRDefault="006E4C80" w:rsidP="00017E5D">
      <w:pPr>
        <w:spacing w:before="60" w:after="100" w:afterAutospacing="1" w:line="240" w:lineRule="auto"/>
        <w:ind w:left="360"/>
        <w:rPr>
          <w:rFonts w:eastAsia="Times New Roman" w:cstheme="minorHAnsi"/>
          <w:color w:val="24292E"/>
        </w:rPr>
      </w:pPr>
      <w:r>
        <w:rPr>
          <w:rFonts w:eastAsia="Times New Roman" w:cstheme="minorHAnsi"/>
          <w:color w:val="24292E"/>
        </w:rPr>
        <w:t xml:space="preserve">The raw data also only goes through 2017. If we included data from more recent years, the most successful campaign categories might differ. In more recent years, </w:t>
      </w:r>
      <w:r w:rsidR="00017E5D">
        <w:rPr>
          <w:rFonts w:eastAsia="Times New Roman" w:cstheme="minorHAnsi"/>
          <w:color w:val="24292E"/>
        </w:rPr>
        <w:t>Kickstarter has become a place where companies try out new products in a lower risk environment. It might be worthwhile to investigate the people that started the campaigns – were they start ups or established companies with successful products already in their catalogue?</w:t>
      </w:r>
    </w:p>
    <w:p w14:paraId="5BE95661" w14:textId="222BFEF4" w:rsidR="00B00FD8" w:rsidRDefault="00B00FD8" w:rsidP="00017E5D">
      <w:pPr>
        <w:pStyle w:val="ListParagraph"/>
        <w:numPr>
          <w:ilvl w:val="0"/>
          <w:numId w:val="1"/>
        </w:numPr>
        <w:spacing w:before="60" w:after="100" w:afterAutospacing="1" w:line="240" w:lineRule="auto"/>
        <w:rPr>
          <w:rFonts w:eastAsia="Times New Roman" w:cstheme="minorHAnsi"/>
          <w:color w:val="24292E"/>
        </w:rPr>
      </w:pPr>
      <w:r w:rsidRPr="00017E5D">
        <w:rPr>
          <w:rFonts w:eastAsia="Times New Roman" w:cstheme="minorHAnsi"/>
          <w:color w:val="24292E"/>
        </w:rPr>
        <w:t>What are some other possible tables and/or graphs that we could create?</w:t>
      </w:r>
    </w:p>
    <w:p w14:paraId="4CFE2F66" w14:textId="1975C8DF" w:rsidR="006E4C80" w:rsidRPr="00017E5D" w:rsidRDefault="00017E5D" w:rsidP="006E4C80">
      <w:pPr>
        <w:spacing w:before="60" w:after="100" w:afterAutospacing="1" w:line="240" w:lineRule="auto"/>
        <w:ind w:left="360"/>
        <w:rPr>
          <w:rFonts w:eastAsia="Times New Roman" w:cstheme="minorHAnsi"/>
          <w:color w:val="24292E"/>
        </w:rPr>
      </w:pPr>
      <w:r>
        <w:rPr>
          <w:rFonts w:eastAsia="Times New Roman" w:cstheme="minorHAnsi"/>
          <w:color w:val="24292E"/>
        </w:rPr>
        <w:t xml:space="preserve">We could create pivot tables and charts with the data that we are given that would assess </w:t>
      </w:r>
      <w:r w:rsidR="006E4C80">
        <w:rPr>
          <w:rFonts w:eastAsia="Times New Roman" w:cstheme="minorHAnsi"/>
          <w:color w:val="24292E"/>
        </w:rPr>
        <w:t xml:space="preserve">the percentage of </w:t>
      </w:r>
      <w:r>
        <w:rPr>
          <w:rFonts w:eastAsia="Times New Roman" w:cstheme="minorHAnsi"/>
          <w:color w:val="24292E"/>
        </w:rPr>
        <w:t xml:space="preserve">outcomes by </w:t>
      </w:r>
      <w:r w:rsidR="006E4C80">
        <w:rPr>
          <w:rFonts w:eastAsia="Times New Roman" w:cstheme="minorHAnsi"/>
          <w:color w:val="24292E"/>
        </w:rPr>
        <w:t>country</w:t>
      </w:r>
      <w:r>
        <w:rPr>
          <w:rFonts w:eastAsia="Times New Roman" w:cstheme="minorHAnsi"/>
          <w:color w:val="24292E"/>
        </w:rPr>
        <w:t xml:space="preserve">. </w:t>
      </w:r>
      <w:r w:rsidR="006E4C80">
        <w:rPr>
          <w:rFonts w:eastAsia="Times New Roman" w:cstheme="minorHAnsi"/>
          <w:color w:val="24292E"/>
        </w:rPr>
        <w:t xml:space="preserve">We could also look deeper at the unsuccessful campaigns and break down the campaign categories that have higher failure or cancellation rates. It could also be enlightening to look at the success of campaigns in a category over time and see if we can find any trends. </w:t>
      </w:r>
    </w:p>
    <w:p w14:paraId="1622803D" w14:textId="77777777" w:rsidR="00B814F9" w:rsidRDefault="00B814F9">
      <w:pPr>
        <w:rPr>
          <w:rFonts w:cstheme="minorHAnsi"/>
        </w:rPr>
      </w:pPr>
      <w:r>
        <w:rPr>
          <w:rFonts w:cstheme="minorHAnsi"/>
        </w:rPr>
        <w:br w:type="page"/>
      </w:r>
    </w:p>
    <w:p w14:paraId="15235699" w14:textId="242AB9B1" w:rsidR="0068414F" w:rsidRPr="00B814F9" w:rsidRDefault="00B00FD8">
      <w:pPr>
        <w:rPr>
          <w:rFonts w:cstheme="minorHAnsi"/>
          <w:b/>
          <w:bCs/>
        </w:rPr>
      </w:pPr>
      <w:r w:rsidRPr="00B814F9">
        <w:rPr>
          <w:rFonts w:cstheme="minorHAnsi"/>
          <w:b/>
          <w:bCs/>
        </w:rPr>
        <w:lastRenderedPageBreak/>
        <w:t>Bonus Statistical Analysis</w:t>
      </w:r>
    </w:p>
    <w:tbl>
      <w:tblPr>
        <w:tblStyle w:val="TableGrid"/>
        <w:tblW w:w="0" w:type="auto"/>
        <w:jc w:val="center"/>
        <w:tblLook w:val="04A0" w:firstRow="1" w:lastRow="0" w:firstColumn="1" w:lastColumn="0" w:noHBand="0" w:noVBand="1"/>
      </w:tblPr>
      <w:tblGrid>
        <w:gridCol w:w="1360"/>
        <w:gridCol w:w="2140"/>
        <w:gridCol w:w="995"/>
        <w:gridCol w:w="1131"/>
        <w:gridCol w:w="994"/>
      </w:tblGrid>
      <w:tr w:rsidR="00B814F9" w:rsidRPr="00B814F9" w14:paraId="17F85831" w14:textId="77777777" w:rsidTr="00B814F9">
        <w:trPr>
          <w:trHeight w:val="300"/>
          <w:jc w:val="center"/>
        </w:trPr>
        <w:tc>
          <w:tcPr>
            <w:tcW w:w="1360" w:type="dxa"/>
            <w:noWrap/>
            <w:hideMark/>
          </w:tcPr>
          <w:p w14:paraId="3B4284B5" w14:textId="77777777" w:rsidR="00B814F9" w:rsidRPr="00B814F9" w:rsidRDefault="00B814F9">
            <w:pPr>
              <w:rPr>
                <w:rFonts w:cstheme="minorHAnsi"/>
              </w:rPr>
            </w:pPr>
          </w:p>
        </w:tc>
        <w:tc>
          <w:tcPr>
            <w:tcW w:w="2140" w:type="dxa"/>
            <w:vMerge w:val="restart"/>
            <w:noWrap/>
            <w:hideMark/>
          </w:tcPr>
          <w:p w14:paraId="01E9F10B" w14:textId="77777777" w:rsidR="00B814F9" w:rsidRPr="00B814F9" w:rsidRDefault="00B814F9" w:rsidP="00B814F9">
            <w:pPr>
              <w:rPr>
                <w:rFonts w:cstheme="minorHAnsi"/>
                <w:b/>
                <w:bCs/>
              </w:rPr>
            </w:pPr>
            <w:r w:rsidRPr="00B814F9">
              <w:rPr>
                <w:rFonts w:cstheme="minorHAnsi"/>
                <w:b/>
                <w:bCs/>
              </w:rPr>
              <w:t>Successful Campaigns</w:t>
            </w:r>
          </w:p>
        </w:tc>
        <w:tc>
          <w:tcPr>
            <w:tcW w:w="3120" w:type="dxa"/>
            <w:gridSpan w:val="3"/>
            <w:noWrap/>
            <w:hideMark/>
          </w:tcPr>
          <w:p w14:paraId="06D0EBF2" w14:textId="77777777" w:rsidR="00B814F9" w:rsidRPr="00B814F9" w:rsidRDefault="00B814F9" w:rsidP="00B814F9">
            <w:pPr>
              <w:rPr>
                <w:rFonts w:cstheme="minorHAnsi"/>
                <w:b/>
                <w:bCs/>
              </w:rPr>
            </w:pPr>
            <w:r w:rsidRPr="00B814F9">
              <w:rPr>
                <w:rFonts w:cstheme="minorHAnsi"/>
                <w:b/>
                <w:bCs/>
              </w:rPr>
              <w:t>Unsuccessful Campaigns</w:t>
            </w:r>
          </w:p>
        </w:tc>
      </w:tr>
      <w:tr w:rsidR="00B814F9" w:rsidRPr="00B814F9" w14:paraId="3871159C" w14:textId="77777777" w:rsidTr="00B814F9">
        <w:trPr>
          <w:trHeight w:val="300"/>
          <w:jc w:val="center"/>
        </w:trPr>
        <w:tc>
          <w:tcPr>
            <w:tcW w:w="1360" w:type="dxa"/>
            <w:noWrap/>
            <w:hideMark/>
          </w:tcPr>
          <w:p w14:paraId="2D5C1FE4" w14:textId="77777777" w:rsidR="00B814F9" w:rsidRPr="00B814F9" w:rsidRDefault="00B814F9" w:rsidP="00B814F9">
            <w:pPr>
              <w:rPr>
                <w:rFonts w:cstheme="minorHAnsi"/>
                <w:b/>
                <w:bCs/>
              </w:rPr>
            </w:pPr>
          </w:p>
        </w:tc>
        <w:tc>
          <w:tcPr>
            <w:tcW w:w="2140" w:type="dxa"/>
            <w:vMerge/>
            <w:hideMark/>
          </w:tcPr>
          <w:p w14:paraId="42403F17" w14:textId="77777777" w:rsidR="00B814F9" w:rsidRPr="00B814F9" w:rsidRDefault="00B814F9">
            <w:pPr>
              <w:rPr>
                <w:rFonts w:cstheme="minorHAnsi"/>
                <w:b/>
                <w:bCs/>
              </w:rPr>
            </w:pPr>
          </w:p>
        </w:tc>
        <w:tc>
          <w:tcPr>
            <w:tcW w:w="995" w:type="dxa"/>
            <w:noWrap/>
            <w:hideMark/>
          </w:tcPr>
          <w:p w14:paraId="35C11B9A" w14:textId="77777777" w:rsidR="00B814F9" w:rsidRPr="00B814F9" w:rsidRDefault="00B814F9" w:rsidP="00B814F9">
            <w:pPr>
              <w:rPr>
                <w:rFonts w:cstheme="minorHAnsi"/>
                <w:b/>
                <w:bCs/>
              </w:rPr>
            </w:pPr>
            <w:r w:rsidRPr="00B814F9">
              <w:rPr>
                <w:rFonts w:cstheme="minorHAnsi"/>
                <w:b/>
                <w:bCs/>
              </w:rPr>
              <w:t>Failed</w:t>
            </w:r>
          </w:p>
        </w:tc>
        <w:tc>
          <w:tcPr>
            <w:tcW w:w="1131" w:type="dxa"/>
            <w:noWrap/>
            <w:hideMark/>
          </w:tcPr>
          <w:p w14:paraId="4C4CB49E" w14:textId="77777777" w:rsidR="00B814F9" w:rsidRPr="00B814F9" w:rsidRDefault="00B814F9" w:rsidP="00B814F9">
            <w:pPr>
              <w:rPr>
                <w:rFonts w:cstheme="minorHAnsi"/>
                <w:b/>
                <w:bCs/>
              </w:rPr>
            </w:pPr>
            <w:r w:rsidRPr="00B814F9">
              <w:rPr>
                <w:rFonts w:cstheme="minorHAnsi"/>
                <w:b/>
                <w:bCs/>
              </w:rPr>
              <w:t>Canceled</w:t>
            </w:r>
          </w:p>
        </w:tc>
        <w:tc>
          <w:tcPr>
            <w:tcW w:w="994" w:type="dxa"/>
            <w:noWrap/>
            <w:hideMark/>
          </w:tcPr>
          <w:p w14:paraId="35B9EACA" w14:textId="77777777" w:rsidR="00B814F9" w:rsidRPr="00B814F9" w:rsidRDefault="00B814F9" w:rsidP="00B814F9">
            <w:pPr>
              <w:rPr>
                <w:rFonts w:cstheme="minorHAnsi"/>
                <w:b/>
                <w:bCs/>
              </w:rPr>
            </w:pPr>
            <w:r w:rsidRPr="00B814F9">
              <w:rPr>
                <w:rFonts w:cstheme="minorHAnsi"/>
                <w:b/>
                <w:bCs/>
              </w:rPr>
              <w:t>Total</w:t>
            </w:r>
          </w:p>
        </w:tc>
      </w:tr>
      <w:tr w:rsidR="00B814F9" w:rsidRPr="00B814F9" w14:paraId="42EA3EDF" w14:textId="77777777" w:rsidTr="00B814F9">
        <w:trPr>
          <w:trHeight w:val="300"/>
          <w:jc w:val="center"/>
        </w:trPr>
        <w:tc>
          <w:tcPr>
            <w:tcW w:w="1360" w:type="dxa"/>
            <w:noWrap/>
            <w:hideMark/>
          </w:tcPr>
          <w:p w14:paraId="6556CD6C" w14:textId="77777777" w:rsidR="00B814F9" w:rsidRPr="00B814F9" w:rsidRDefault="00B814F9">
            <w:pPr>
              <w:rPr>
                <w:rFonts w:cstheme="minorHAnsi"/>
                <w:b/>
                <w:bCs/>
              </w:rPr>
            </w:pPr>
            <w:r w:rsidRPr="00B814F9">
              <w:rPr>
                <w:rFonts w:cstheme="minorHAnsi"/>
                <w:b/>
                <w:bCs/>
              </w:rPr>
              <w:t>Mean</w:t>
            </w:r>
          </w:p>
        </w:tc>
        <w:tc>
          <w:tcPr>
            <w:tcW w:w="2140" w:type="dxa"/>
            <w:noWrap/>
            <w:hideMark/>
          </w:tcPr>
          <w:p w14:paraId="4E139A93" w14:textId="77777777" w:rsidR="00B814F9" w:rsidRPr="00B814F9" w:rsidRDefault="00B814F9" w:rsidP="00B814F9">
            <w:pPr>
              <w:rPr>
                <w:rFonts w:cstheme="minorHAnsi"/>
              </w:rPr>
            </w:pPr>
            <w:r w:rsidRPr="00B814F9">
              <w:rPr>
                <w:rFonts w:cstheme="minorHAnsi"/>
              </w:rPr>
              <w:t>194.43</w:t>
            </w:r>
          </w:p>
        </w:tc>
        <w:tc>
          <w:tcPr>
            <w:tcW w:w="995" w:type="dxa"/>
            <w:noWrap/>
            <w:hideMark/>
          </w:tcPr>
          <w:p w14:paraId="611DDA48" w14:textId="77777777" w:rsidR="00B814F9" w:rsidRPr="00B814F9" w:rsidRDefault="00B814F9" w:rsidP="00B814F9">
            <w:pPr>
              <w:rPr>
                <w:rFonts w:cstheme="minorHAnsi"/>
              </w:rPr>
            </w:pPr>
            <w:r w:rsidRPr="00B814F9">
              <w:rPr>
                <w:rFonts w:cstheme="minorHAnsi"/>
              </w:rPr>
              <w:t>19.71</w:t>
            </w:r>
          </w:p>
        </w:tc>
        <w:tc>
          <w:tcPr>
            <w:tcW w:w="1131" w:type="dxa"/>
            <w:noWrap/>
            <w:hideMark/>
          </w:tcPr>
          <w:p w14:paraId="514BF70A" w14:textId="77777777" w:rsidR="00B814F9" w:rsidRPr="00B814F9" w:rsidRDefault="00B814F9" w:rsidP="00B814F9">
            <w:pPr>
              <w:rPr>
                <w:rFonts w:cstheme="minorHAnsi"/>
              </w:rPr>
            </w:pPr>
            <w:r w:rsidRPr="00B814F9">
              <w:rPr>
                <w:rFonts w:cstheme="minorHAnsi"/>
              </w:rPr>
              <w:t>9.43</w:t>
            </w:r>
          </w:p>
        </w:tc>
        <w:tc>
          <w:tcPr>
            <w:tcW w:w="994" w:type="dxa"/>
            <w:noWrap/>
            <w:hideMark/>
          </w:tcPr>
          <w:p w14:paraId="6A511046" w14:textId="77777777" w:rsidR="00B814F9" w:rsidRPr="00B814F9" w:rsidRDefault="00B814F9" w:rsidP="00B814F9">
            <w:pPr>
              <w:rPr>
                <w:rFonts w:cstheme="minorHAnsi"/>
              </w:rPr>
            </w:pPr>
            <w:r w:rsidRPr="00B814F9">
              <w:rPr>
                <w:rFonts w:cstheme="minorHAnsi"/>
              </w:rPr>
              <w:t>19.49</w:t>
            </w:r>
          </w:p>
        </w:tc>
      </w:tr>
      <w:tr w:rsidR="00B814F9" w:rsidRPr="00B814F9" w14:paraId="49FA5EA3" w14:textId="77777777" w:rsidTr="00B814F9">
        <w:trPr>
          <w:trHeight w:val="300"/>
          <w:jc w:val="center"/>
        </w:trPr>
        <w:tc>
          <w:tcPr>
            <w:tcW w:w="1360" w:type="dxa"/>
            <w:noWrap/>
            <w:hideMark/>
          </w:tcPr>
          <w:p w14:paraId="2F7ACB00" w14:textId="77777777" w:rsidR="00B814F9" w:rsidRPr="00B814F9" w:rsidRDefault="00B814F9">
            <w:pPr>
              <w:rPr>
                <w:rFonts w:cstheme="minorHAnsi"/>
                <w:b/>
                <w:bCs/>
              </w:rPr>
            </w:pPr>
            <w:r w:rsidRPr="00B814F9">
              <w:rPr>
                <w:rFonts w:cstheme="minorHAnsi"/>
                <w:b/>
                <w:bCs/>
              </w:rPr>
              <w:t>Median</w:t>
            </w:r>
          </w:p>
        </w:tc>
        <w:tc>
          <w:tcPr>
            <w:tcW w:w="2140" w:type="dxa"/>
            <w:noWrap/>
            <w:hideMark/>
          </w:tcPr>
          <w:p w14:paraId="14CA9E9D" w14:textId="77777777" w:rsidR="00B814F9" w:rsidRPr="00B814F9" w:rsidRDefault="00B814F9" w:rsidP="00B814F9">
            <w:pPr>
              <w:rPr>
                <w:rFonts w:cstheme="minorHAnsi"/>
              </w:rPr>
            </w:pPr>
            <w:r w:rsidRPr="00B814F9">
              <w:rPr>
                <w:rFonts w:cstheme="minorHAnsi"/>
              </w:rPr>
              <w:t>62.00</w:t>
            </w:r>
          </w:p>
        </w:tc>
        <w:tc>
          <w:tcPr>
            <w:tcW w:w="995" w:type="dxa"/>
            <w:noWrap/>
            <w:hideMark/>
          </w:tcPr>
          <w:p w14:paraId="3C3397D2" w14:textId="77777777" w:rsidR="00B814F9" w:rsidRPr="00B814F9" w:rsidRDefault="00B814F9" w:rsidP="00B814F9">
            <w:pPr>
              <w:rPr>
                <w:rFonts w:cstheme="minorHAnsi"/>
              </w:rPr>
            </w:pPr>
            <w:r w:rsidRPr="00B814F9">
              <w:rPr>
                <w:rFonts w:cstheme="minorHAnsi"/>
              </w:rPr>
              <w:t>3.00</w:t>
            </w:r>
          </w:p>
        </w:tc>
        <w:tc>
          <w:tcPr>
            <w:tcW w:w="1131" w:type="dxa"/>
            <w:noWrap/>
            <w:hideMark/>
          </w:tcPr>
          <w:p w14:paraId="22542244" w14:textId="77777777" w:rsidR="00B814F9" w:rsidRPr="00B814F9" w:rsidRDefault="00B814F9" w:rsidP="00B814F9">
            <w:pPr>
              <w:rPr>
                <w:rFonts w:cstheme="minorHAnsi"/>
              </w:rPr>
            </w:pPr>
            <w:r w:rsidRPr="00B814F9">
              <w:rPr>
                <w:rFonts w:cstheme="minorHAnsi"/>
              </w:rPr>
              <w:t>2.00</w:t>
            </w:r>
          </w:p>
        </w:tc>
        <w:tc>
          <w:tcPr>
            <w:tcW w:w="994" w:type="dxa"/>
            <w:noWrap/>
            <w:hideMark/>
          </w:tcPr>
          <w:p w14:paraId="10B34F6A" w14:textId="77777777" w:rsidR="00B814F9" w:rsidRPr="00B814F9" w:rsidRDefault="00B814F9" w:rsidP="00B814F9">
            <w:pPr>
              <w:rPr>
                <w:rFonts w:cstheme="minorHAnsi"/>
              </w:rPr>
            </w:pPr>
            <w:r w:rsidRPr="00B814F9">
              <w:rPr>
                <w:rFonts w:cstheme="minorHAnsi"/>
              </w:rPr>
              <w:t>3.00</w:t>
            </w:r>
          </w:p>
        </w:tc>
      </w:tr>
      <w:tr w:rsidR="00B814F9" w:rsidRPr="00B814F9" w14:paraId="6DE9EC7E" w14:textId="77777777" w:rsidTr="00B814F9">
        <w:trPr>
          <w:trHeight w:val="300"/>
          <w:jc w:val="center"/>
        </w:trPr>
        <w:tc>
          <w:tcPr>
            <w:tcW w:w="1360" w:type="dxa"/>
            <w:noWrap/>
            <w:hideMark/>
          </w:tcPr>
          <w:p w14:paraId="250D77D8" w14:textId="77777777" w:rsidR="00B814F9" w:rsidRPr="00B814F9" w:rsidRDefault="00B814F9">
            <w:pPr>
              <w:rPr>
                <w:rFonts w:cstheme="minorHAnsi"/>
                <w:b/>
                <w:bCs/>
              </w:rPr>
            </w:pPr>
            <w:r w:rsidRPr="00B814F9">
              <w:rPr>
                <w:rFonts w:cstheme="minorHAnsi"/>
                <w:b/>
                <w:bCs/>
              </w:rPr>
              <w:t>Min</w:t>
            </w:r>
          </w:p>
        </w:tc>
        <w:tc>
          <w:tcPr>
            <w:tcW w:w="2140" w:type="dxa"/>
            <w:noWrap/>
            <w:hideMark/>
          </w:tcPr>
          <w:p w14:paraId="10BB7123" w14:textId="77777777" w:rsidR="00B814F9" w:rsidRPr="00B814F9" w:rsidRDefault="00B814F9" w:rsidP="00B814F9">
            <w:pPr>
              <w:rPr>
                <w:rFonts w:cstheme="minorHAnsi"/>
              </w:rPr>
            </w:pPr>
            <w:r w:rsidRPr="00B814F9">
              <w:rPr>
                <w:rFonts w:cstheme="minorHAnsi"/>
              </w:rPr>
              <w:t>1.00</w:t>
            </w:r>
          </w:p>
        </w:tc>
        <w:tc>
          <w:tcPr>
            <w:tcW w:w="995" w:type="dxa"/>
            <w:noWrap/>
            <w:hideMark/>
          </w:tcPr>
          <w:p w14:paraId="01F01320" w14:textId="77777777" w:rsidR="00B814F9" w:rsidRPr="00B814F9" w:rsidRDefault="00B814F9" w:rsidP="00B814F9">
            <w:pPr>
              <w:rPr>
                <w:rFonts w:cstheme="minorHAnsi"/>
              </w:rPr>
            </w:pPr>
            <w:r w:rsidRPr="00B814F9">
              <w:rPr>
                <w:rFonts w:cstheme="minorHAnsi"/>
              </w:rPr>
              <w:t>0.00</w:t>
            </w:r>
          </w:p>
        </w:tc>
        <w:tc>
          <w:tcPr>
            <w:tcW w:w="1131" w:type="dxa"/>
            <w:noWrap/>
            <w:hideMark/>
          </w:tcPr>
          <w:p w14:paraId="721A6A12" w14:textId="77777777" w:rsidR="00B814F9" w:rsidRPr="00B814F9" w:rsidRDefault="00B814F9" w:rsidP="00B814F9">
            <w:pPr>
              <w:rPr>
                <w:rFonts w:cstheme="minorHAnsi"/>
              </w:rPr>
            </w:pPr>
            <w:r w:rsidRPr="00B814F9">
              <w:rPr>
                <w:rFonts w:cstheme="minorHAnsi"/>
              </w:rPr>
              <w:t>0.00</w:t>
            </w:r>
          </w:p>
        </w:tc>
        <w:tc>
          <w:tcPr>
            <w:tcW w:w="994" w:type="dxa"/>
            <w:noWrap/>
            <w:hideMark/>
          </w:tcPr>
          <w:p w14:paraId="7A641E43" w14:textId="77777777" w:rsidR="00B814F9" w:rsidRPr="00B814F9" w:rsidRDefault="00B814F9" w:rsidP="00B814F9">
            <w:pPr>
              <w:rPr>
                <w:rFonts w:cstheme="minorHAnsi"/>
              </w:rPr>
            </w:pPr>
            <w:r w:rsidRPr="00B814F9">
              <w:rPr>
                <w:rFonts w:cstheme="minorHAnsi"/>
              </w:rPr>
              <w:t>0.00</w:t>
            </w:r>
          </w:p>
        </w:tc>
      </w:tr>
      <w:tr w:rsidR="00B814F9" w:rsidRPr="00B814F9" w14:paraId="0FFA07C2" w14:textId="77777777" w:rsidTr="00B814F9">
        <w:trPr>
          <w:trHeight w:val="300"/>
          <w:jc w:val="center"/>
        </w:trPr>
        <w:tc>
          <w:tcPr>
            <w:tcW w:w="1360" w:type="dxa"/>
            <w:noWrap/>
            <w:hideMark/>
          </w:tcPr>
          <w:p w14:paraId="42229D3A" w14:textId="77777777" w:rsidR="00B814F9" w:rsidRPr="00B814F9" w:rsidRDefault="00B814F9">
            <w:pPr>
              <w:rPr>
                <w:rFonts w:cstheme="minorHAnsi"/>
                <w:b/>
                <w:bCs/>
              </w:rPr>
            </w:pPr>
            <w:r w:rsidRPr="00B814F9">
              <w:rPr>
                <w:rFonts w:cstheme="minorHAnsi"/>
                <w:b/>
                <w:bCs/>
              </w:rPr>
              <w:t>Max</w:t>
            </w:r>
          </w:p>
        </w:tc>
        <w:tc>
          <w:tcPr>
            <w:tcW w:w="2140" w:type="dxa"/>
            <w:noWrap/>
            <w:hideMark/>
          </w:tcPr>
          <w:p w14:paraId="44F692DC" w14:textId="77777777" w:rsidR="00B814F9" w:rsidRPr="00B814F9" w:rsidRDefault="00B814F9" w:rsidP="00B814F9">
            <w:pPr>
              <w:rPr>
                <w:rFonts w:cstheme="minorHAnsi"/>
              </w:rPr>
            </w:pPr>
            <w:r w:rsidRPr="00B814F9">
              <w:rPr>
                <w:rFonts w:cstheme="minorHAnsi"/>
              </w:rPr>
              <w:t>26457.00</w:t>
            </w:r>
          </w:p>
        </w:tc>
        <w:tc>
          <w:tcPr>
            <w:tcW w:w="995" w:type="dxa"/>
            <w:noWrap/>
            <w:hideMark/>
          </w:tcPr>
          <w:p w14:paraId="426CE521" w14:textId="77777777" w:rsidR="00B814F9" w:rsidRPr="00B814F9" w:rsidRDefault="00B814F9" w:rsidP="00B814F9">
            <w:pPr>
              <w:rPr>
                <w:rFonts w:cstheme="minorHAnsi"/>
              </w:rPr>
            </w:pPr>
            <w:r w:rsidRPr="00B814F9">
              <w:rPr>
                <w:rFonts w:cstheme="minorHAnsi"/>
              </w:rPr>
              <w:t>1501.00</w:t>
            </w:r>
          </w:p>
        </w:tc>
        <w:tc>
          <w:tcPr>
            <w:tcW w:w="1131" w:type="dxa"/>
            <w:noWrap/>
            <w:hideMark/>
          </w:tcPr>
          <w:p w14:paraId="669EE958" w14:textId="77777777" w:rsidR="00B814F9" w:rsidRPr="00B814F9" w:rsidRDefault="00B814F9" w:rsidP="00B814F9">
            <w:pPr>
              <w:rPr>
                <w:rFonts w:cstheme="minorHAnsi"/>
              </w:rPr>
            </w:pPr>
            <w:r w:rsidRPr="00B814F9">
              <w:rPr>
                <w:rFonts w:cstheme="minorHAnsi"/>
              </w:rPr>
              <w:t>81.00</w:t>
            </w:r>
          </w:p>
        </w:tc>
        <w:tc>
          <w:tcPr>
            <w:tcW w:w="994" w:type="dxa"/>
            <w:noWrap/>
            <w:hideMark/>
          </w:tcPr>
          <w:p w14:paraId="796AC44F" w14:textId="77777777" w:rsidR="00B814F9" w:rsidRPr="00B814F9" w:rsidRDefault="00B814F9" w:rsidP="00B814F9">
            <w:pPr>
              <w:rPr>
                <w:rFonts w:cstheme="minorHAnsi"/>
              </w:rPr>
            </w:pPr>
            <w:r w:rsidRPr="00B814F9">
              <w:rPr>
                <w:rFonts w:cstheme="minorHAnsi"/>
              </w:rPr>
              <w:t>1501.00</w:t>
            </w:r>
          </w:p>
        </w:tc>
      </w:tr>
      <w:tr w:rsidR="00B814F9" w:rsidRPr="00B814F9" w14:paraId="391B8539" w14:textId="77777777" w:rsidTr="00B814F9">
        <w:trPr>
          <w:trHeight w:val="300"/>
          <w:jc w:val="center"/>
        </w:trPr>
        <w:tc>
          <w:tcPr>
            <w:tcW w:w="1360" w:type="dxa"/>
            <w:noWrap/>
            <w:hideMark/>
          </w:tcPr>
          <w:p w14:paraId="0608571A" w14:textId="77777777" w:rsidR="00B814F9" w:rsidRPr="00B814F9" w:rsidRDefault="00B814F9">
            <w:pPr>
              <w:rPr>
                <w:rFonts w:cstheme="minorHAnsi"/>
                <w:b/>
                <w:bCs/>
              </w:rPr>
            </w:pPr>
            <w:r w:rsidRPr="00B814F9">
              <w:rPr>
                <w:rFonts w:cstheme="minorHAnsi"/>
                <w:b/>
                <w:bCs/>
              </w:rPr>
              <w:t>Variance</w:t>
            </w:r>
          </w:p>
        </w:tc>
        <w:tc>
          <w:tcPr>
            <w:tcW w:w="2140" w:type="dxa"/>
            <w:noWrap/>
            <w:hideMark/>
          </w:tcPr>
          <w:p w14:paraId="090227B6" w14:textId="77777777" w:rsidR="00B814F9" w:rsidRPr="00B814F9" w:rsidRDefault="00B814F9" w:rsidP="00B814F9">
            <w:pPr>
              <w:rPr>
                <w:rFonts w:cstheme="minorHAnsi"/>
              </w:rPr>
            </w:pPr>
            <w:r w:rsidRPr="00B814F9">
              <w:rPr>
                <w:rFonts w:cstheme="minorHAnsi"/>
              </w:rPr>
              <w:t>712840.99</w:t>
            </w:r>
          </w:p>
        </w:tc>
        <w:tc>
          <w:tcPr>
            <w:tcW w:w="995" w:type="dxa"/>
            <w:noWrap/>
            <w:hideMark/>
          </w:tcPr>
          <w:p w14:paraId="32BA2B7D" w14:textId="77777777" w:rsidR="00B814F9" w:rsidRPr="00B814F9" w:rsidRDefault="00B814F9" w:rsidP="00B814F9">
            <w:pPr>
              <w:rPr>
                <w:rFonts w:cstheme="minorHAnsi"/>
              </w:rPr>
            </w:pPr>
            <w:r w:rsidRPr="00B814F9">
              <w:rPr>
                <w:rFonts w:cstheme="minorHAnsi"/>
              </w:rPr>
              <w:t>5347.95</w:t>
            </w:r>
          </w:p>
        </w:tc>
        <w:tc>
          <w:tcPr>
            <w:tcW w:w="1131" w:type="dxa"/>
            <w:noWrap/>
            <w:hideMark/>
          </w:tcPr>
          <w:p w14:paraId="2B2320FF" w14:textId="77777777" w:rsidR="00B814F9" w:rsidRPr="00B814F9" w:rsidRDefault="00B814F9" w:rsidP="00B814F9">
            <w:pPr>
              <w:rPr>
                <w:rFonts w:cstheme="minorHAnsi"/>
              </w:rPr>
            </w:pPr>
            <w:r w:rsidRPr="00B814F9">
              <w:rPr>
                <w:rFonts w:cstheme="minorHAnsi"/>
              </w:rPr>
              <w:t>346.24</w:t>
            </w:r>
          </w:p>
        </w:tc>
        <w:tc>
          <w:tcPr>
            <w:tcW w:w="994" w:type="dxa"/>
            <w:noWrap/>
            <w:hideMark/>
          </w:tcPr>
          <w:p w14:paraId="7DB58E28" w14:textId="77777777" w:rsidR="00B814F9" w:rsidRPr="00B814F9" w:rsidRDefault="00B814F9" w:rsidP="00B814F9">
            <w:pPr>
              <w:rPr>
                <w:rFonts w:cstheme="minorHAnsi"/>
              </w:rPr>
            </w:pPr>
            <w:r w:rsidRPr="00B814F9">
              <w:rPr>
                <w:rFonts w:cstheme="minorHAnsi"/>
              </w:rPr>
              <w:t>5243.67</w:t>
            </w:r>
          </w:p>
        </w:tc>
      </w:tr>
      <w:tr w:rsidR="00B814F9" w:rsidRPr="00B814F9" w14:paraId="424D0756" w14:textId="77777777" w:rsidTr="00B814F9">
        <w:trPr>
          <w:trHeight w:val="300"/>
          <w:jc w:val="center"/>
        </w:trPr>
        <w:tc>
          <w:tcPr>
            <w:tcW w:w="1360" w:type="dxa"/>
            <w:noWrap/>
            <w:hideMark/>
          </w:tcPr>
          <w:p w14:paraId="6FD2BCBD" w14:textId="77777777" w:rsidR="00B814F9" w:rsidRPr="00B814F9" w:rsidRDefault="00B814F9">
            <w:pPr>
              <w:rPr>
                <w:rFonts w:cstheme="minorHAnsi"/>
                <w:b/>
                <w:bCs/>
              </w:rPr>
            </w:pPr>
            <w:r w:rsidRPr="00B814F9">
              <w:rPr>
                <w:rFonts w:cstheme="minorHAnsi"/>
                <w:b/>
                <w:bCs/>
              </w:rPr>
              <w:t>Std Deviation</w:t>
            </w:r>
          </w:p>
        </w:tc>
        <w:tc>
          <w:tcPr>
            <w:tcW w:w="2140" w:type="dxa"/>
            <w:noWrap/>
            <w:hideMark/>
          </w:tcPr>
          <w:p w14:paraId="029F811F" w14:textId="77777777" w:rsidR="00B814F9" w:rsidRPr="00B814F9" w:rsidRDefault="00B814F9" w:rsidP="00B814F9">
            <w:pPr>
              <w:rPr>
                <w:rFonts w:cstheme="minorHAnsi"/>
              </w:rPr>
            </w:pPr>
            <w:r w:rsidRPr="00B814F9">
              <w:rPr>
                <w:rFonts w:cstheme="minorHAnsi"/>
              </w:rPr>
              <w:t>844.30</w:t>
            </w:r>
          </w:p>
        </w:tc>
        <w:tc>
          <w:tcPr>
            <w:tcW w:w="995" w:type="dxa"/>
            <w:noWrap/>
            <w:hideMark/>
          </w:tcPr>
          <w:p w14:paraId="3C292973" w14:textId="77777777" w:rsidR="00B814F9" w:rsidRPr="00B814F9" w:rsidRDefault="00B814F9" w:rsidP="00B814F9">
            <w:pPr>
              <w:rPr>
                <w:rFonts w:cstheme="minorHAnsi"/>
              </w:rPr>
            </w:pPr>
            <w:r w:rsidRPr="00B814F9">
              <w:rPr>
                <w:rFonts w:cstheme="minorHAnsi"/>
              </w:rPr>
              <w:t>73.13</w:t>
            </w:r>
          </w:p>
        </w:tc>
        <w:tc>
          <w:tcPr>
            <w:tcW w:w="1131" w:type="dxa"/>
            <w:noWrap/>
            <w:hideMark/>
          </w:tcPr>
          <w:p w14:paraId="1227FA8C" w14:textId="77777777" w:rsidR="00B814F9" w:rsidRPr="00B814F9" w:rsidRDefault="00B814F9" w:rsidP="00B814F9">
            <w:pPr>
              <w:rPr>
                <w:rFonts w:cstheme="minorHAnsi"/>
              </w:rPr>
            </w:pPr>
            <w:r w:rsidRPr="00B814F9">
              <w:rPr>
                <w:rFonts w:cstheme="minorHAnsi"/>
              </w:rPr>
              <w:t>18.61</w:t>
            </w:r>
          </w:p>
        </w:tc>
        <w:tc>
          <w:tcPr>
            <w:tcW w:w="994" w:type="dxa"/>
            <w:noWrap/>
            <w:hideMark/>
          </w:tcPr>
          <w:p w14:paraId="22C38834" w14:textId="77777777" w:rsidR="00B814F9" w:rsidRPr="00B814F9" w:rsidRDefault="00B814F9" w:rsidP="00B814F9">
            <w:pPr>
              <w:rPr>
                <w:rFonts w:cstheme="minorHAnsi"/>
              </w:rPr>
            </w:pPr>
            <w:r w:rsidRPr="00B814F9">
              <w:rPr>
                <w:rFonts w:cstheme="minorHAnsi"/>
              </w:rPr>
              <w:t>72.41</w:t>
            </w:r>
          </w:p>
        </w:tc>
      </w:tr>
    </w:tbl>
    <w:p w14:paraId="2B8CF133" w14:textId="77777777" w:rsidR="00B814F9" w:rsidRDefault="00B814F9">
      <w:pPr>
        <w:rPr>
          <w:rFonts w:cstheme="minorHAnsi"/>
        </w:rPr>
      </w:pPr>
    </w:p>
    <w:p w14:paraId="33E73054" w14:textId="56A7CCEE" w:rsidR="00B00FD8" w:rsidRDefault="00B00FD8" w:rsidP="003E6A1D">
      <w:pPr>
        <w:pStyle w:val="ListParagraph"/>
        <w:numPr>
          <w:ilvl w:val="0"/>
          <w:numId w:val="2"/>
        </w:numPr>
        <w:rPr>
          <w:rFonts w:cstheme="minorHAnsi"/>
        </w:rPr>
      </w:pPr>
      <w:r w:rsidRPr="00B00FD8">
        <w:rPr>
          <w:rFonts w:cstheme="minorHAnsi"/>
        </w:rPr>
        <w:t>Use your data to determine whether the mean or the median summarizes the data more meaningfully.</w:t>
      </w:r>
    </w:p>
    <w:p w14:paraId="7E6DAFF5" w14:textId="683B27C5" w:rsidR="006E4C80" w:rsidRPr="006E4C80" w:rsidRDefault="006E4C80" w:rsidP="006E4C80">
      <w:pPr>
        <w:ind w:left="360"/>
        <w:rPr>
          <w:rFonts w:cstheme="minorHAnsi"/>
        </w:rPr>
      </w:pPr>
      <w:r w:rsidRPr="006E4C80">
        <w:rPr>
          <w:rFonts w:cstheme="minorHAnsi"/>
        </w:rPr>
        <w:t>The mean and the median both have value – it really depends on the question you</w:t>
      </w:r>
      <w:r w:rsidR="002B7ED8">
        <w:rPr>
          <w:rFonts w:cstheme="minorHAnsi"/>
        </w:rPr>
        <w:t xml:space="preserve"> a</w:t>
      </w:r>
      <w:r w:rsidRPr="006E4C80">
        <w:rPr>
          <w:rFonts w:cstheme="minorHAnsi"/>
        </w:rPr>
        <w:t xml:space="preserve">re asking. If you want to know about how many backers it will take to fund your project, it might be helpful to know the average by category or subcategory. </w:t>
      </w:r>
      <w:r w:rsidR="002B7ED8">
        <w:rPr>
          <w:rFonts w:cstheme="minorHAnsi"/>
        </w:rPr>
        <w:t xml:space="preserve">To know how many backers any project might need to be successful it might be better to look at the median because it will show the center of the dataset. </w:t>
      </w:r>
    </w:p>
    <w:p w14:paraId="5D016D66" w14:textId="02691599" w:rsidR="006E4C80" w:rsidRPr="006E4C80" w:rsidRDefault="002B7ED8" w:rsidP="006E4C80">
      <w:pPr>
        <w:ind w:left="360"/>
        <w:rPr>
          <w:rFonts w:cstheme="minorHAnsi"/>
        </w:rPr>
      </w:pPr>
      <w:r>
        <w:rPr>
          <w:rFonts w:cstheme="minorHAnsi"/>
        </w:rPr>
        <w:t xml:space="preserve">In this case, the average is 194.43 backers per successful campaign and the median is 62 backers. The median is much lower, and it may be because the variance is so high at 712,841. </w:t>
      </w:r>
      <w:r w:rsidR="006E4C80" w:rsidRPr="006E4C80">
        <w:rPr>
          <w:rFonts w:cstheme="minorHAnsi"/>
        </w:rPr>
        <w:t>So, if you were starting a Kickstarter campaign and you wanted to have a good idea of how many backers it took to be successful, you could aim for 62 and know that your campaign will be in the middle of the pack with all the successful campaigns that we have data for.</w:t>
      </w:r>
    </w:p>
    <w:p w14:paraId="62C618D4" w14:textId="477F342E" w:rsidR="00B00FD8" w:rsidRDefault="00B00FD8" w:rsidP="00B00FD8">
      <w:pPr>
        <w:pStyle w:val="ListParagraph"/>
        <w:numPr>
          <w:ilvl w:val="0"/>
          <w:numId w:val="2"/>
        </w:numPr>
        <w:rPr>
          <w:rFonts w:cstheme="minorHAnsi"/>
        </w:rPr>
      </w:pPr>
      <w:r w:rsidRPr="00B00FD8">
        <w:rPr>
          <w:rFonts w:cstheme="minorHAnsi"/>
        </w:rPr>
        <w:t>Use your data to determine if there is more variability with successful or unsuccessful campaigns. Does this make sense? Why or why not?</w:t>
      </w:r>
    </w:p>
    <w:p w14:paraId="3D1BAE1C" w14:textId="1D83C712" w:rsidR="002B7ED8" w:rsidRDefault="006E4C80" w:rsidP="006E4C80">
      <w:pPr>
        <w:ind w:left="360"/>
        <w:rPr>
          <w:rFonts w:cstheme="minorHAnsi"/>
        </w:rPr>
      </w:pPr>
      <w:r>
        <w:rPr>
          <w:rFonts w:cstheme="minorHAnsi"/>
        </w:rPr>
        <w:t xml:space="preserve">The successful campaigns have more variability than the unsuccessful campaigns. </w:t>
      </w:r>
      <w:r w:rsidR="00B814F9">
        <w:rPr>
          <w:rFonts w:cstheme="minorHAnsi"/>
        </w:rPr>
        <w:t xml:space="preserve">This makes some sense because there is only a 30-day window for campaigns to attract enough backers to fund their product. If a campaign is unsuccessful and success were somewhat dependent on the number of backers, there would be an upper limit on the number of backers an unsuccessful campaign can accumulate. On the other hand, successful campaigns have no upper limit. If a campaign goes viral and is wildly successful, it could have any number of backers. </w:t>
      </w:r>
    </w:p>
    <w:p w14:paraId="760191C3" w14:textId="5C22C63B" w:rsidR="006E4C80" w:rsidRPr="006E4C80" w:rsidRDefault="006E4C80" w:rsidP="006E4C80">
      <w:pPr>
        <w:ind w:left="360"/>
        <w:rPr>
          <w:rFonts w:cstheme="minorHAnsi"/>
        </w:rPr>
      </w:pPr>
      <w:r>
        <w:rPr>
          <w:rFonts w:cstheme="minorHAnsi"/>
        </w:rPr>
        <w:t xml:space="preserve">This </w:t>
      </w:r>
      <w:r w:rsidR="002B7ED8">
        <w:rPr>
          <w:rFonts w:cstheme="minorHAnsi"/>
        </w:rPr>
        <w:t xml:space="preserve">also </w:t>
      </w:r>
      <w:r>
        <w:rPr>
          <w:rFonts w:cstheme="minorHAnsi"/>
        </w:rPr>
        <w:t xml:space="preserve">makes some sense because of the influence of social media and advertising on a campaign. If a </w:t>
      </w:r>
      <w:r w:rsidR="002B7ED8">
        <w:rPr>
          <w:rFonts w:cstheme="minorHAnsi"/>
        </w:rPr>
        <w:t>product is very attractive it can go viral.</w:t>
      </w:r>
    </w:p>
    <w:sectPr w:rsidR="006E4C80" w:rsidRPr="006E4C8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C39B" w14:textId="77777777" w:rsidR="007D2C73" w:rsidRDefault="007D2C73" w:rsidP="00B00FD8">
      <w:pPr>
        <w:spacing w:after="0" w:line="240" w:lineRule="auto"/>
      </w:pPr>
      <w:r>
        <w:separator/>
      </w:r>
    </w:p>
  </w:endnote>
  <w:endnote w:type="continuationSeparator" w:id="0">
    <w:p w14:paraId="04A0D853" w14:textId="77777777" w:rsidR="007D2C73" w:rsidRDefault="007D2C73" w:rsidP="00B00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A2388" w14:textId="77777777" w:rsidR="00B00FD8" w:rsidRDefault="00B00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C00F5" w14:textId="3EEBD12D" w:rsidR="00B814F9" w:rsidRDefault="00B814F9">
    <w:pPr>
      <w:pStyle w:val="Footer"/>
      <w:jc w:val="right"/>
    </w:pPr>
  </w:p>
  <w:p w14:paraId="752AA4B6" w14:textId="77777777" w:rsidR="00B00FD8" w:rsidRDefault="00B00F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2E26E" w14:textId="77777777" w:rsidR="00B00FD8" w:rsidRDefault="00B00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93343" w14:textId="77777777" w:rsidR="007D2C73" w:rsidRDefault="007D2C73" w:rsidP="00B00FD8">
      <w:pPr>
        <w:spacing w:after="0" w:line="240" w:lineRule="auto"/>
      </w:pPr>
      <w:r>
        <w:separator/>
      </w:r>
    </w:p>
  </w:footnote>
  <w:footnote w:type="continuationSeparator" w:id="0">
    <w:p w14:paraId="2EFF1815" w14:textId="77777777" w:rsidR="007D2C73" w:rsidRDefault="007D2C73" w:rsidP="00B00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BD9DE" w14:textId="77777777" w:rsidR="00B00FD8" w:rsidRDefault="00B00F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AAF3E" w14:textId="3DF1CCF3" w:rsidR="00B814F9" w:rsidRDefault="00B814F9" w:rsidP="00B814F9">
    <w:pPr>
      <w:pStyle w:val="Header"/>
    </w:pPr>
    <w:r>
      <w:t>Erin Ukestad</w:t>
    </w:r>
    <w:r>
      <w:tab/>
    </w:r>
    <w:r>
      <w:tab/>
    </w:r>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4</w:t>
        </w:r>
        <w:r>
          <w:rPr>
            <w:b/>
            <w:bCs/>
            <w:sz w:val="24"/>
            <w:szCs w:val="24"/>
          </w:rPr>
          <w:fldChar w:fldCharType="end"/>
        </w:r>
      </w:sdtContent>
    </w:sdt>
  </w:p>
  <w:p w14:paraId="6DFEC91B" w14:textId="6E92B759" w:rsidR="00B814F9" w:rsidRDefault="00B814F9">
    <w:pPr>
      <w:pStyle w:val="Header"/>
    </w:pPr>
    <w:r>
      <w:t>December 22, 2020</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47816" w14:textId="77777777" w:rsidR="00B00FD8" w:rsidRDefault="00B00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37F"/>
    <w:multiLevelType w:val="multilevel"/>
    <w:tmpl w:val="0C0EF7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C2B8B"/>
    <w:multiLevelType w:val="hybridMultilevel"/>
    <w:tmpl w:val="6808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B0288"/>
    <w:multiLevelType w:val="multilevel"/>
    <w:tmpl w:val="C03897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F7F6A"/>
    <w:multiLevelType w:val="multilevel"/>
    <w:tmpl w:val="F978301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05"/>
    <w:rsid w:val="00017E5D"/>
    <w:rsid w:val="002B7ED8"/>
    <w:rsid w:val="002D4EF6"/>
    <w:rsid w:val="00393851"/>
    <w:rsid w:val="006015BF"/>
    <w:rsid w:val="0068414F"/>
    <w:rsid w:val="006E4C80"/>
    <w:rsid w:val="007D2C73"/>
    <w:rsid w:val="00B00FD8"/>
    <w:rsid w:val="00B814F9"/>
    <w:rsid w:val="00F37505"/>
    <w:rsid w:val="00F9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759A"/>
  <w15:chartTrackingRefBased/>
  <w15:docId w15:val="{9B438196-F1FB-4849-A887-AB6D8EFA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FD8"/>
  </w:style>
  <w:style w:type="paragraph" w:styleId="Footer">
    <w:name w:val="footer"/>
    <w:basedOn w:val="Normal"/>
    <w:link w:val="FooterChar"/>
    <w:uiPriority w:val="99"/>
    <w:unhideWhenUsed/>
    <w:rsid w:val="00B00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FD8"/>
  </w:style>
  <w:style w:type="paragraph" w:styleId="ListParagraph">
    <w:name w:val="List Paragraph"/>
    <w:basedOn w:val="Normal"/>
    <w:uiPriority w:val="34"/>
    <w:qFormat/>
    <w:rsid w:val="00B00FD8"/>
    <w:pPr>
      <w:ind w:left="720"/>
      <w:contextualSpacing/>
    </w:pPr>
  </w:style>
  <w:style w:type="table" w:styleId="TableGrid">
    <w:name w:val="Table Grid"/>
    <w:basedOn w:val="TableNormal"/>
    <w:uiPriority w:val="39"/>
    <w:rsid w:val="00B81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9654">
      <w:bodyDiv w:val="1"/>
      <w:marLeft w:val="0"/>
      <w:marRight w:val="0"/>
      <w:marTop w:val="0"/>
      <w:marBottom w:val="0"/>
      <w:divBdr>
        <w:top w:val="none" w:sz="0" w:space="0" w:color="auto"/>
        <w:left w:val="none" w:sz="0" w:space="0" w:color="auto"/>
        <w:bottom w:val="none" w:sz="0" w:space="0" w:color="auto"/>
        <w:right w:val="none" w:sz="0" w:space="0" w:color="auto"/>
      </w:divBdr>
    </w:div>
    <w:div w:id="404108596">
      <w:bodyDiv w:val="1"/>
      <w:marLeft w:val="0"/>
      <w:marRight w:val="0"/>
      <w:marTop w:val="0"/>
      <w:marBottom w:val="0"/>
      <w:divBdr>
        <w:top w:val="none" w:sz="0" w:space="0" w:color="auto"/>
        <w:left w:val="none" w:sz="0" w:space="0" w:color="auto"/>
        <w:bottom w:val="none" w:sz="0" w:space="0" w:color="auto"/>
        <w:right w:val="none" w:sz="0" w:space="0" w:color="auto"/>
      </w:divBdr>
    </w:div>
    <w:div w:id="840654999">
      <w:bodyDiv w:val="1"/>
      <w:marLeft w:val="0"/>
      <w:marRight w:val="0"/>
      <w:marTop w:val="0"/>
      <w:marBottom w:val="0"/>
      <w:divBdr>
        <w:top w:val="none" w:sz="0" w:space="0" w:color="auto"/>
        <w:left w:val="none" w:sz="0" w:space="0" w:color="auto"/>
        <w:bottom w:val="none" w:sz="0" w:space="0" w:color="auto"/>
        <w:right w:val="none" w:sz="0" w:space="0" w:color="auto"/>
      </w:divBdr>
    </w:div>
    <w:div w:id="13077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rin\Google%20Drive\excel-challenge\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rin\Google%20Drive\excel-challenge\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rin\Google%20Drive\excel-challenge\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Pivot!PivotTable1</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Campaign</a:t>
            </a:r>
            <a:r>
              <a:rPr lang="en-US" baseline="0"/>
              <a:t> Outcome by Category</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Pivot'!$B$4:$B$5</c:f>
              <c:strCache>
                <c:ptCount val="1"/>
                <c:pt idx="0">
                  <c:v>canceled</c:v>
                </c:pt>
              </c:strCache>
            </c:strRef>
          </c:tx>
          <c:spPr>
            <a:solidFill>
              <a:schemeClr val="accent1"/>
            </a:solidFill>
            <a:ln>
              <a:noFill/>
            </a:ln>
            <a:effectLst/>
          </c:spPr>
          <c:invertIfNegative val="0"/>
          <c:cat>
            <c:strRef>
              <c:f>'Category Pivot'!$A$6:$A$15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EA03-4444-A03E-A076286857AA}"/>
            </c:ext>
          </c:extLst>
        </c:ser>
        <c:ser>
          <c:idx val="1"/>
          <c:order val="1"/>
          <c:tx>
            <c:strRef>
              <c:f>'Category Pivot'!$C$4:$C$5</c:f>
              <c:strCache>
                <c:ptCount val="1"/>
                <c:pt idx="0">
                  <c:v>failed</c:v>
                </c:pt>
              </c:strCache>
            </c:strRef>
          </c:tx>
          <c:spPr>
            <a:solidFill>
              <a:schemeClr val="accent2"/>
            </a:solidFill>
            <a:ln>
              <a:noFill/>
            </a:ln>
            <a:effectLst/>
          </c:spPr>
          <c:invertIfNegative val="0"/>
          <c:cat>
            <c:strRef>
              <c:f>'Category Pivot'!$A$6:$A$15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A03-4444-A03E-A076286857AA}"/>
            </c:ext>
          </c:extLst>
        </c:ser>
        <c:ser>
          <c:idx val="2"/>
          <c:order val="2"/>
          <c:tx>
            <c:strRef>
              <c:f>'Category Pivot'!$D$4:$D$5</c:f>
              <c:strCache>
                <c:ptCount val="1"/>
                <c:pt idx="0">
                  <c:v>live</c:v>
                </c:pt>
              </c:strCache>
            </c:strRef>
          </c:tx>
          <c:spPr>
            <a:solidFill>
              <a:schemeClr val="accent3"/>
            </a:solidFill>
            <a:ln>
              <a:noFill/>
            </a:ln>
            <a:effectLst/>
          </c:spPr>
          <c:invertIfNegative val="0"/>
          <c:cat>
            <c:strRef>
              <c:f>'Category Pivot'!$A$6:$A$15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Pivot'!$D$6:$D$15</c:f>
              <c:numCache>
                <c:formatCode>General</c:formatCode>
                <c:ptCount val="9"/>
                <c:pt idx="1">
                  <c:v>6</c:v>
                </c:pt>
                <c:pt idx="4">
                  <c:v>20</c:v>
                </c:pt>
                <c:pt idx="8">
                  <c:v>24</c:v>
                </c:pt>
              </c:numCache>
            </c:numRef>
          </c:val>
          <c:extLst>
            <c:ext xmlns:c16="http://schemas.microsoft.com/office/drawing/2014/chart" uri="{C3380CC4-5D6E-409C-BE32-E72D297353CC}">
              <c16:uniqueId val="{00000002-EA03-4444-A03E-A076286857AA}"/>
            </c:ext>
          </c:extLst>
        </c:ser>
        <c:ser>
          <c:idx val="3"/>
          <c:order val="3"/>
          <c:tx>
            <c:strRef>
              <c:f>'Category Pivot'!$E$4:$E$5</c:f>
              <c:strCache>
                <c:ptCount val="1"/>
                <c:pt idx="0">
                  <c:v>successful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'Category Pivot'!$A$6:$A$15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EA03-4444-A03E-A076286857AA}"/>
            </c:ext>
          </c:extLst>
        </c:ser>
        <c:dLbls>
          <c:showLegendKey val="0"/>
          <c:showVal val="0"/>
          <c:showCatName val="0"/>
          <c:showSerName val="0"/>
          <c:showPercent val="0"/>
          <c:showBubbleSize val="0"/>
        </c:dLbls>
        <c:gapWidth val="219"/>
        <c:overlap val="100"/>
        <c:axId val="905020816"/>
        <c:axId val="905026640"/>
      </c:barChart>
      <c:catAx>
        <c:axId val="90502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026640"/>
        <c:crosses val="autoZero"/>
        <c:auto val="1"/>
        <c:lblAlgn val="ctr"/>
        <c:lblOffset val="100"/>
        <c:noMultiLvlLbl val="0"/>
      </c:catAx>
      <c:valAx>
        <c:axId val="90502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020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 Pivot!PivotTable2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a:t>
            </a:r>
            <a:r>
              <a:rPr lang="en-US" baseline="0"/>
              <a:t> Outcome by Sub Category for Theatre, Music, and Film &amp; Video Categories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pivotFmt>
      <c:pivotFmt>
        <c:idx val="5"/>
        <c:spPr>
          <a:solidFill>
            <a:srgbClr val="C00000"/>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3"/>
          </a:solidFill>
          <a:ln>
            <a:noFill/>
          </a:ln>
          <a:effectLst/>
        </c:spPr>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4"/>
          </a:solidFill>
          <a:ln>
            <a:noFill/>
          </a:ln>
          <a:effectLst/>
        </c:spPr>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Pivot'!$B$4:$B$5</c:f>
              <c:strCache>
                <c:ptCount val="1"/>
                <c:pt idx="0">
                  <c:v>successful</c:v>
                </c:pt>
              </c:strCache>
            </c:strRef>
          </c:tx>
          <c:spPr>
            <a:solidFill>
              <a:schemeClr val="accent1"/>
            </a:solidFill>
            <a:ln>
              <a:noFill/>
            </a:ln>
            <a:effectLst/>
          </c:spPr>
          <c:invertIfNegative val="0"/>
          <c:cat>
            <c:strRef>
              <c:f>'SubCategory Pivot'!$A$6:$A$47</c:f>
              <c:strCache>
                <c:ptCount val="41"/>
                <c:pt idx="0">
                  <c:v>plays</c:v>
                </c:pt>
                <c:pt idx="1">
                  <c:v>rock</c:v>
                </c:pt>
                <c:pt idx="2">
                  <c:v>wearables</c:v>
                </c:pt>
                <c:pt idx="3">
                  <c:v>spaces</c:v>
                </c:pt>
                <c:pt idx="4">
                  <c:v>documentary</c:v>
                </c:pt>
                <c:pt idx="5">
                  <c:v>photobooks</c:v>
                </c:pt>
                <c:pt idx="6">
                  <c:v>web</c:v>
                </c:pt>
                <c:pt idx="7">
                  <c:v>indie rock</c:v>
                </c:pt>
                <c:pt idx="8">
                  <c:v>hardware</c:v>
                </c:pt>
                <c:pt idx="9">
                  <c:v>food trucks</c:v>
                </c:pt>
                <c:pt idx="10">
                  <c:v>musical</c:v>
                </c:pt>
                <c:pt idx="11">
                  <c:v>video games</c:v>
                </c:pt>
                <c:pt idx="12">
                  <c:v>animation</c:v>
                </c:pt>
                <c:pt idx="13">
                  <c:v>drama</c:v>
                </c:pt>
                <c:pt idx="14">
                  <c:v>tabletop games</c:v>
                </c:pt>
                <c:pt idx="15">
                  <c:v>faith</c:v>
                </c:pt>
                <c:pt idx="16">
                  <c:v>jazz</c:v>
                </c:pt>
                <c:pt idx="17">
                  <c:v>space exploration</c:v>
                </c:pt>
                <c:pt idx="18">
                  <c:v>shorts</c:v>
                </c:pt>
                <c:pt idx="19">
                  <c:v>television</c:v>
                </c:pt>
                <c:pt idx="20">
                  <c:v>nonfiction</c:v>
                </c:pt>
                <c:pt idx="21">
                  <c:v>translations</c:v>
                </c:pt>
                <c:pt idx="22">
                  <c:v>electronic music</c:v>
                </c:pt>
                <c:pt idx="23">
                  <c:v>fiction</c:v>
                </c:pt>
                <c:pt idx="24">
                  <c:v>classical music</c:v>
                </c:pt>
                <c:pt idx="25">
                  <c:v>mobile games</c:v>
                </c:pt>
                <c:pt idx="26">
                  <c:v>pop</c:v>
                </c:pt>
                <c:pt idx="27">
                  <c:v>children's books</c:v>
                </c:pt>
                <c:pt idx="28">
                  <c:v>science fiction</c:v>
                </c:pt>
                <c:pt idx="29">
                  <c:v>small batch</c:v>
                </c:pt>
                <c:pt idx="30">
                  <c:v>audio</c:v>
                </c:pt>
                <c:pt idx="31">
                  <c:v>nature</c:v>
                </c:pt>
                <c:pt idx="32">
                  <c:v>art books</c:v>
                </c:pt>
                <c:pt idx="33">
                  <c:v>world music</c:v>
                </c:pt>
                <c:pt idx="34">
                  <c:v>radio &amp; podcasts</c:v>
                </c:pt>
                <c:pt idx="35">
                  <c:v>gadgets</c:v>
                </c:pt>
                <c:pt idx="36">
                  <c:v>makerspaces</c:v>
                </c:pt>
                <c:pt idx="37">
                  <c:v>people</c:v>
                </c:pt>
                <c:pt idx="38">
                  <c:v>metal</c:v>
                </c:pt>
                <c:pt idx="39">
                  <c:v>places</c:v>
                </c:pt>
                <c:pt idx="40">
                  <c:v>restaurants</c:v>
                </c:pt>
              </c:strCache>
            </c:strRef>
          </c:cat>
          <c:val>
            <c:numRef>
              <c:f>'SubCategory Pivot'!$B$6:$B$47</c:f>
              <c:numCache>
                <c:formatCode>General</c:formatCode>
                <c:ptCount val="41"/>
                <c:pt idx="0">
                  <c:v>694</c:v>
                </c:pt>
                <c:pt idx="1">
                  <c:v>260</c:v>
                </c:pt>
                <c:pt idx="2">
                  <c:v>20</c:v>
                </c:pt>
                <c:pt idx="3">
                  <c:v>85</c:v>
                </c:pt>
                <c:pt idx="4">
                  <c:v>180</c:v>
                </c:pt>
                <c:pt idx="5">
                  <c:v>103</c:v>
                </c:pt>
                <c:pt idx="7">
                  <c:v>140</c:v>
                </c:pt>
                <c:pt idx="8">
                  <c:v>140</c:v>
                </c:pt>
                <c:pt idx="10">
                  <c:v>60</c:v>
                </c:pt>
                <c:pt idx="14">
                  <c:v>80</c:v>
                </c:pt>
                <c:pt idx="17">
                  <c:v>40</c:v>
                </c:pt>
                <c:pt idx="18">
                  <c:v>60</c:v>
                </c:pt>
                <c:pt idx="19">
                  <c:v>60</c:v>
                </c:pt>
                <c:pt idx="20">
                  <c:v>60</c:v>
                </c:pt>
                <c:pt idx="22">
                  <c:v>40</c:v>
                </c:pt>
                <c:pt idx="24">
                  <c:v>40</c:v>
                </c:pt>
                <c:pt idx="26">
                  <c:v>40</c:v>
                </c:pt>
                <c:pt idx="29">
                  <c:v>34</c:v>
                </c:pt>
                <c:pt idx="34">
                  <c:v>20</c:v>
                </c:pt>
                <c:pt idx="36">
                  <c:v>9</c:v>
                </c:pt>
                <c:pt idx="38">
                  <c:v>20</c:v>
                </c:pt>
              </c:numCache>
            </c:numRef>
          </c:val>
          <c:extLst>
            <c:ext xmlns:c16="http://schemas.microsoft.com/office/drawing/2014/chart" uri="{C3380CC4-5D6E-409C-BE32-E72D297353CC}">
              <c16:uniqueId val="{00000000-6317-4087-A1DF-9473F28ED4E9}"/>
            </c:ext>
          </c:extLst>
        </c:ser>
        <c:ser>
          <c:idx val="1"/>
          <c:order val="1"/>
          <c:tx>
            <c:strRef>
              <c:f>'SubCategory Pivot'!$C$4:$C$5</c:f>
              <c:strCache>
                <c:ptCount val="1"/>
                <c:pt idx="0">
                  <c:v>live</c:v>
                </c:pt>
              </c:strCache>
            </c:strRef>
          </c:tx>
          <c:spPr>
            <a:solidFill>
              <a:schemeClr val="accent2"/>
            </a:solidFill>
            <a:ln>
              <a:noFill/>
            </a:ln>
            <a:effectLst/>
          </c:spPr>
          <c:invertIfNegative val="0"/>
          <c:cat>
            <c:strRef>
              <c:f>'SubCategory Pivot'!$A$6:$A$47</c:f>
              <c:strCache>
                <c:ptCount val="41"/>
                <c:pt idx="0">
                  <c:v>plays</c:v>
                </c:pt>
                <c:pt idx="1">
                  <c:v>rock</c:v>
                </c:pt>
                <c:pt idx="2">
                  <c:v>wearables</c:v>
                </c:pt>
                <c:pt idx="3">
                  <c:v>spaces</c:v>
                </c:pt>
                <c:pt idx="4">
                  <c:v>documentary</c:v>
                </c:pt>
                <c:pt idx="5">
                  <c:v>photobooks</c:v>
                </c:pt>
                <c:pt idx="6">
                  <c:v>web</c:v>
                </c:pt>
                <c:pt idx="7">
                  <c:v>indie rock</c:v>
                </c:pt>
                <c:pt idx="8">
                  <c:v>hardware</c:v>
                </c:pt>
                <c:pt idx="9">
                  <c:v>food trucks</c:v>
                </c:pt>
                <c:pt idx="10">
                  <c:v>musical</c:v>
                </c:pt>
                <c:pt idx="11">
                  <c:v>video games</c:v>
                </c:pt>
                <c:pt idx="12">
                  <c:v>animation</c:v>
                </c:pt>
                <c:pt idx="13">
                  <c:v>drama</c:v>
                </c:pt>
                <c:pt idx="14">
                  <c:v>tabletop games</c:v>
                </c:pt>
                <c:pt idx="15">
                  <c:v>faith</c:v>
                </c:pt>
                <c:pt idx="16">
                  <c:v>jazz</c:v>
                </c:pt>
                <c:pt idx="17">
                  <c:v>space exploration</c:v>
                </c:pt>
                <c:pt idx="18">
                  <c:v>shorts</c:v>
                </c:pt>
                <c:pt idx="19">
                  <c:v>television</c:v>
                </c:pt>
                <c:pt idx="20">
                  <c:v>nonfiction</c:v>
                </c:pt>
                <c:pt idx="21">
                  <c:v>translations</c:v>
                </c:pt>
                <c:pt idx="22">
                  <c:v>electronic music</c:v>
                </c:pt>
                <c:pt idx="23">
                  <c:v>fiction</c:v>
                </c:pt>
                <c:pt idx="24">
                  <c:v>classical music</c:v>
                </c:pt>
                <c:pt idx="25">
                  <c:v>mobile games</c:v>
                </c:pt>
                <c:pt idx="26">
                  <c:v>pop</c:v>
                </c:pt>
                <c:pt idx="27">
                  <c:v>children's books</c:v>
                </c:pt>
                <c:pt idx="28">
                  <c:v>science fiction</c:v>
                </c:pt>
                <c:pt idx="29">
                  <c:v>small batch</c:v>
                </c:pt>
                <c:pt idx="30">
                  <c:v>audio</c:v>
                </c:pt>
                <c:pt idx="31">
                  <c:v>nature</c:v>
                </c:pt>
                <c:pt idx="32">
                  <c:v>art books</c:v>
                </c:pt>
                <c:pt idx="33">
                  <c:v>world music</c:v>
                </c:pt>
                <c:pt idx="34">
                  <c:v>radio &amp; podcasts</c:v>
                </c:pt>
                <c:pt idx="35">
                  <c:v>gadgets</c:v>
                </c:pt>
                <c:pt idx="36">
                  <c:v>makerspaces</c:v>
                </c:pt>
                <c:pt idx="37">
                  <c:v>people</c:v>
                </c:pt>
                <c:pt idx="38">
                  <c:v>metal</c:v>
                </c:pt>
                <c:pt idx="39">
                  <c:v>places</c:v>
                </c:pt>
                <c:pt idx="40">
                  <c:v>restaurants</c:v>
                </c:pt>
              </c:strCache>
            </c:strRef>
          </c:cat>
          <c:val>
            <c:numRef>
              <c:f>'SubCategory Pivot'!$C$6:$C$47</c:f>
              <c:numCache>
                <c:formatCode>General</c:formatCode>
                <c:ptCount val="41"/>
                <c:pt idx="0">
                  <c:v>19</c:v>
                </c:pt>
                <c:pt idx="3">
                  <c:v>5</c:v>
                </c:pt>
                <c:pt idx="15">
                  <c:v>20</c:v>
                </c:pt>
                <c:pt idx="29">
                  <c:v>6</c:v>
                </c:pt>
              </c:numCache>
            </c:numRef>
          </c:val>
          <c:extLst>
            <c:ext xmlns:c16="http://schemas.microsoft.com/office/drawing/2014/chart" uri="{C3380CC4-5D6E-409C-BE32-E72D297353CC}">
              <c16:uniqueId val="{00000001-6317-4087-A1DF-9473F28ED4E9}"/>
            </c:ext>
          </c:extLst>
        </c:ser>
        <c:ser>
          <c:idx val="2"/>
          <c:order val="2"/>
          <c:tx>
            <c:strRef>
              <c:f>'SubCategory Pivot'!$D$4:$D$5</c:f>
              <c:strCache>
                <c:ptCount val="1"/>
                <c:pt idx="0">
                  <c:v>failed</c:v>
                </c:pt>
              </c:strCache>
            </c:strRef>
          </c:tx>
          <c:spPr>
            <a:solidFill>
              <a:schemeClr val="accent3"/>
            </a:solidFill>
            <a:ln>
              <a:noFill/>
            </a:ln>
            <a:effectLst/>
          </c:spPr>
          <c:invertIfNegative val="0"/>
          <c:cat>
            <c:strRef>
              <c:f>'SubCategory Pivot'!$A$6:$A$47</c:f>
              <c:strCache>
                <c:ptCount val="41"/>
                <c:pt idx="0">
                  <c:v>plays</c:v>
                </c:pt>
                <c:pt idx="1">
                  <c:v>rock</c:v>
                </c:pt>
                <c:pt idx="2">
                  <c:v>wearables</c:v>
                </c:pt>
                <c:pt idx="3">
                  <c:v>spaces</c:v>
                </c:pt>
                <c:pt idx="4">
                  <c:v>documentary</c:v>
                </c:pt>
                <c:pt idx="5">
                  <c:v>photobooks</c:v>
                </c:pt>
                <c:pt idx="6">
                  <c:v>web</c:v>
                </c:pt>
                <c:pt idx="7">
                  <c:v>indie rock</c:v>
                </c:pt>
                <c:pt idx="8">
                  <c:v>hardware</c:v>
                </c:pt>
                <c:pt idx="9">
                  <c:v>food trucks</c:v>
                </c:pt>
                <c:pt idx="10">
                  <c:v>musical</c:v>
                </c:pt>
                <c:pt idx="11">
                  <c:v>video games</c:v>
                </c:pt>
                <c:pt idx="12">
                  <c:v>animation</c:v>
                </c:pt>
                <c:pt idx="13">
                  <c:v>drama</c:v>
                </c:pt>
                <c:pt idx="14">
                  <c:v>tabletop games</c:v>
                </c:pt>
                <c:pt idx="15">
                  <c:v>faith</c:v>
                </c:pt>
                <c:pt idx="16">
                  <c:v>jazz</c:v>
                </c:pt>
                <c:pt idx="17">
                  <c:v>space exploration</c:v>
                </c:pt>
                <c:pt idx="18">
                  <c:v>shorts</c:v>
                </c:pt>
                <c:pt idx="19">
                  <c:v>television</c:v>
                </c:pt>
                <c:pt idx="20">
                  <c:v>nonfiction</c:v>
                </c:pt>
                <c:pt idx="21">
                  <c:v>translations</c:v>
                </c:pt>
                <c:pt idx="22">
                  <c:v>electronic music</c:v>
                </c:pt>
                <c:pt idx="23">
                  <c:v>fiction</c:v>
                </c:pt>
                <c:pt idx="24">
                  <c:v>classical music</c:v>
                </c:pt>
                <c:pt idx="25">
                  <c:v>mobile games</c:v>
                </c:pt>
                <c:pt idx="26">
                  <c:v>pop</c:v>
                </c:pt>
                <c:pt idx="27">
                  <c:v>children's books</c:v>
                </c:pt>
                <c:pt idx="28">
                  <c:v>science fiction</c:v>
                </c:pt>
                <c:pt idx="29">
                  <c:v>small batch</c:v>
                </c:pt>
                <c:pt idx="30">
                  <c:v>audio</c:v>
                </c:pt>
                <c:pt idx="31">
                  <c:v>nature</c:v>
                </c:pt>
                <c:pt idx="32">
                  <c:v>art books</c:v>
                </c:pt>
                <c:pt idx="33">
                  <c:v>world music</c:v>
                </c:pt>
                <c:pt idx="34">
                  <c:v>radio &amp; podcasts</c:v>
                </c:pt>
                <c:pt idx="35">
                  <c:v>gadgets</c:v>
                </c:pt>
                <c:pt idx="36">
                  <c:v>makerspaces</c:v>
                </c:pt>
                <c:pt idx="37">
                  <c:v>people</c:v>
                </c:pt>
                <c:pt idx="38">
                  <c:v>metal</c:v>
                </c:pt>
                <c:pt idx="39">
                  <c:v>places</c:v>
                </c:pt>
                <c:pt idx="40">
                  <c:v>restaurants</c:v>
                </c:pt>
              </c:strCache>
            </c:strRef>
          </c:cat>
          <c:val>
            <c:numRef>
              <c:f>'SubCategory Pivot'!$D$6:$D$47</c:f>
              <c:numCache>
                <c:formatCode>General</c:formatCode>
                <c:ptCount val="41"/>
                <c:pt idx="0">
                  <c:v>353</c:v>
                </c:pt>
                <c:pt idx="2">
                  <c:v>120</c:v>
                </c:pt>
                <c:pt idx="3">
                  <c:v>80</c:v>
                </c:pt>
                <c:pt idx="5">
                  <c:v>57</c:v>
                </c:pt>
                <c:pt idx="6">
                  <c:v>60</c:v>
                </c:pt>
                <c:pt idx="7">
                  <c:v>20</c:v>
                </c:pt>
                <c:pt idx="9">
                  <c:v>120</c:v>
                </c:pt>
                <c:pt idx="10">
                  <c:v>60</c:v>
                </c:pt>
                <c:pt idx="11">
                  <c:v>100</c:v>
                </c:pt>
                <c:pt idx="12">
                  <c:v>100</c:v>
                </c:pt>
                <c:pt idx="13">
                  <c:v>80</c:v>
                </c:pt>
                <c:pt idx="15">
                  <c:v>40</c:v>
                </c:pt>
                <c:pt idx="16">
                  <c:v>60</c:v>
                </c:pt>
                <c:pt idx="17">
                  <c:v>2</c:v>
                </c:pt>
                <c:pt idx="21">
                  <c:v>47</c:v>
                </c:pt>
                <c:pt idx="23">
                  <c:v>40</c:v>
                </c:pt>
                <c:pt idx="25">
                  <c:v>40</c:v>
                </c:pt>
                <c:pt idx="27">
                  <c:v>40</c:v>
                </c:pt>
                <c:pt idx="31">
                  <c:v>20</c:v>
                </c:pt>
                <c:pt idx="35">
                  <c:v>20</c:v>
                </c:pt>
                <c:pt idx="36">
                  <c:v>11</c:v>
                </c:pt>
                <c:pt idx="37">
                  <c:v>20</c:v>
                </c:pt>
                <c:pt idx="39">
                  <c:v>20</c:v>
                </c:pt>
                <c:pt idx="40">
                  <c:v>20</c:v>
                </c:pt>
              </c:numCache>
            </c:numRef>
          </c:val>
          <c:extLst>
            <c:ext xmlns:c16="http://schemas.microsoft.com/office/drawing/2014/chart" uri="{C3380CC4-5D6E-409C-BE32-E72D297353CC}">
              <c16:uniqueId val="{00000002-6317-4087-A1DF-9473F28ED4E9}"/>
            </c:ext>
          </c:extLst>
        </c:ser>
        <c:ser>
          <c:idx val="3"/>
          <c:order val="3"/>
          <c:tx>
            <c:strRef>
              <c:f>'SubCategory Pivot'!$E$4:$E$5</c:f>
              <c:strCache>
                <c:ptCount val="1"/>
                <c:pt idx="0">
                  <c:v>canceled</c:v>
                </c:pt>
              </c:strCache>
            </c:strRef>
          </c:tx>
          <c:spPr>
            <a:solidFill>
              <a:schemeClr val="accent4"/>
            </a:solidFill>
            <a:ln>
              <a:noFill/>
            </a:ln>
            <a:effectLst/>
          </c:spPr>
          <c:invertIfNegative val="0"/>
          <c:cat>
            <c:strRef>
              <c:f>'SubCategory Pivot'!$A$6:$A$47</c:f>
              <c:strCache>
                <c:ptCount val="41"/>
                <c:pt idx="0">
                  <c:v>plays</c:v>
                </c:pt>
                <c:pt idx="1">
                  <c:v>rock</c:v>
                </c:pt>
                <c:pt idx="2">
                  <c:v>wearables</c:v>
                </c:pt>
                <c:pt idx="3">
                  <c:v>spaces</c:v>
                </c:pt>
                <c:pt idx="4">
                  <c:v>documentary</c:v>
                </c:pt>
                <c:pt idx="5">
                  <c:v>photobooks</c:v>
                </c:pt>
                <c:pt idx="6">
                  <c:v>web</c:v>
                </c:pt>
                <c:pt idx="7">
                  <c:v>indie rock</c:v>
                </c:pt>
                <c:pt idx="8">
                  <c:v>hardware</c:v>
                </c:pt>
                <c:pt idx="9">
                  <c:v>food trucks</c:v>
                </c:pt>
                <c:pt idx="10">
                  <c:v>musical</c:v>
                </c:pt>
                <c:pt idx="11">
                  <c:v>video games</c:v>
                </c:pt>
                <c:pt idx="12">
                  <c:v>animation</c:v>
                </c:pt>
                <c:pt idx="13">
                  <c:v>drama</c:v>
                </c:pt>
                <c:pt idx="14">
                  <c:v>tabletop games</c:v>
                </c:pt>
                <c:pt idx="15">
                  <c:v>faith</c:v>
                </c:pt>
                <c:pt idx="16">
                  <c:v>jazz</c:v>
                </c:pt>
                <c:pt idx="17">
                  <c:v>space exploration</c:v>
                </c:pt>
                <c:pt idx="18">
                  <c:v>shorts</c:v>
                </c:pt>
                <c:pt idx="19">
                  <c:v>television</c:v>
                </c:pt>
                <c:pt idx="20">
                  <c:v>nonfiction</c:v>
                </c:pt>
                <c:pt idx="21">
                  <c:v>translations</c:v>
                </c:pt>
                <c:pt idx="22">
                  <c:v>electronic music</c:v>
                </c:pt>
                <c:pt idx="23">
                  <c:v>fiction</c:v>
                </c:pt>
                <c:pt idx="24">
                  <c:v>classical music</c:v>
                </c:pt>
                <c:pt idx="25">
                  <c:v>mobile games</c:v>
                </c:pt>
                <c:pt idx="26">
                  <c:v>pop</c:v>
                </c:pt>
                <c:pt idx="27">
                  <c:v>children's books</c:v>
                </c:pt>
                <c:pt idx="28">
                  <c:v>science fiction</c:v>
                </c:pt>
                <c:pt idx="29">
                  <c:v>small batch</c:v>
                </c:pt>
                <c:pt idx="30">
                  <c:v>audio</c:v>
                </c:pt>
                <c:pt idx="31">
                  <c:v>nature</c:v>
                </c:pt>
                <c:pt idx="32">
                  <c:v>art books</c:v>
                </c:pt>
                <c:pt idx="33">
                  <c:v>world music</c:v>
                </c:pt>
                <c:pt idx="34">
                  <c:v>radio &amp; podcasts</c:v>
                </c:pt>
                <c:pt idx="35">
                  <c:v>gadgets</c:v>
                </c:pt>
                <c:pt idx="36">
                  <c:v>makerspaces</c:v>
                </c:pt>
                <c:pt idx="37">
                  <c:v>people</c:v>
                </c:pt>
                <c:pt idx="38">
                  <c:v>metal</c:v>
                </c:pt>
                <c:pt idx="39">
                  <c:v>places</c:v>
                </c:pt>
                <c:pt idx="40">
                  <c:v>restaurants</c:v>
                </c:pt>
              </c:strCache>
            </c:strRef>
          </c:cat>
          <c:val>
            <c:numRef>
              <c:f>'SubCategory Pivot'!$E$6:$E$47</c:f>
              <c:numCache>
                <c:formatCode>General</c:formatCode>
                <c:ptCount val="41"/>
                <c:pt idx="2">
                  <c:v>60</c:v>
                </c:pt>
                <c:pt idx="3">
                  <c:v>17</c:v>
                </c:pt>
                <c:pt idx="6">
                  <c:v>100</c:v>
                </c:pt>
                <c:pt idx="9">
                  <c:v>20</c:v>
                </c:pt>
                <c:pt idx="10">
                  <c:v>20</c:v>
                </c:pt>
                <c:pt idx="17">
                  <c:v>18</c:v>
                </c:pt>
                <c:pt idx="21">
                  <c:v>10</c:v>
                </c:pt>
                <c:pt idx="28">
                  <c:v>40</c:v>
                </c:pt>
                <c:pt idx="30">
                  <c:v>24</c:v>
                </c:pt>
                <c:pt idx="32">
                  <c:v>20</c:v>
                </c:pt>
                <c:pt idx="33">
                  <c:v>20</c:v>
                </c:pt>
              </c:numCache>
            </c:numRef>
          </c:val>
          <c:extLst>
            <c:ext xmlns:c16="http://schemas.microsoft.com/office/drawing/2014/chart" uri="{C3380CC4-5D6E-409C-BE32-E72D297353CC}">
              <c16:uniqueId val="{00000003-6317-4087-A1DF-9473F28ED4E9}"/>
            </c:ext>
          </c:extLst>
        </c:ser>
        <c:dLbls>
          <c:showLegendKey val="0"/>
          <c:showVal val="0"/>
          <c:showCatName val="0"/>
          <c:showSerName val="0"/>
          <c:showPercent val="0"/>
          <c:showBubbleSize val="0"/>
        </c:dLbls>
        <c:gapWidth val="55"/>
        <c:overlap val="100"/>
        <c:axId val="1004832064"/>
        <c:axId val="1004832480"/>
      </c:barChart>
      <c:catAx>
        <c:axId val="100483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832480"/>
        <c:crosses val="autoZero"/>
        <c:auto val="1"/>
        <c:lblAlgn val="ctr"/>
        <c:lblOffset val="100"/>
        <c:noMultiLvlLbl val="0"/>
      </c:catAx>
      <c:valAx>
        <c:axId val="100483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832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[StarterBook.xlsx]DateConversion Pivot!PivotTable3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Outcome by Launch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C00000"/>
            </a:solidFill>
            <a:round/>
          </a:ln>
          <a:effectLst/>
        </c:spPr>
        <c:marker>
          <c:spPr>
            <a:solidFill>
              <a:srgbClr val="C00000"/>
            </a:solidFill>
            <a:ln w="9525">
              <a:solidFill>
                <a:srgbClr val="C00000"/>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'DateConversion Pivot'!$B$4:$B$5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'DateConversion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'DateConversion Pivot'!$B$6:$B$18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2740-4925-9952-13695795BA6F}"/>
            </c:ext>
          </c:extLst>
        </c:ser>
        <c:ser>
          <c:idx val="1"/>
          <c:order val="1"/>
          <c:tx>
            <c:strRef>
              <c:f>'DateConversion Pivot'!$C$4:$C$5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'DateConversion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'DateConversion Pivot'!$C$6:$C$18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740-4925-9952-13695795BA6F}"/>
            </c:ext>
          </c:extLst>
        </c:ser>
        <c:ser>
          <c:idx val="2"/>
          <c:order val="2"/>
          <c:tx>
            <c:strRef>
              <c:f>'DateConversion Pivot'!$D$4:$D$5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'DateConversion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'DateConversion Pivot'!$D$6:$D$18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2740-4925-9952-13695795BA6F}"/>
            </c:ext>
          </c:extLst>
        </c:ser>
        <c:ser>
          <c:idx val="3"/>
          <c:order val="3"/>
          <c:tx>
            <c:strRef>
              <c:f>'DateConversion Pivot'!$E$4:$E$5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'DateConversion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'DateConversion Pivot'!$E$6:$E$18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2740-4925-9952-13695795BA6F}"/>
            </c:ext>
          </c:extLst>
        </c:ser>
        <c:dLbls>
          <c:showLegendKey val="0"/>
          <c:showVal val="0"/>
          <c:showCatName val="0"/>
          <c:showSerName val="0"/>
          <c:showPercent val="0"/>
          <c:showBubbleSize val="0"/>
        </c:dLbls>
        <c:marker val="1"/>
        <c:smooth val="0"/>
        <c:axId val="266620752"/>
        <c:axId val="266622832"/>
      </c:lineChart>
      <c:catAx>
        <c:axId val="26662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622832"/>
        <c:crosses val="autoZero"/>
        <c:auto val="1"/>
        <c:lblAlgn val="ctr"/>
        <c:lblOffset val="100"/>
        <c:noMultiLvlLbl val="0"/>
      </c:catAx>
      <c:valAx>
        <c:axId val="26662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620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Ukestad</dc:creator>
  <cp:keywords/>
  <dc:description/>
  <cp:lastModifiedBy>Erin Ukestad</cp:lastModifiedBy>
  <cp:revision>2</cp:revision>
  <dcterms:created xsi:type="dcterms:W3CDTF">2020-12-23T06:13:00Z</dcterms:created>
  <dcterms:modified xsi:type="dcterms:W3CDTF">2020-12-23T06:13:00Z</dcterms:modified>
</cp:coreProperties>
</file>