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322BF" w14:textId="16B9B1D6" w:rsidR="00AA00E7" w:rsidRDefault="00AA00E7" w:rsidP="00AA00E7">
      <w:pPr>
        <w:spacing w:after="0"/>
      </w:pPr>
      <w:r>
        <w:t>Team AwesomeSauce</w:t>
      </w:r>
    </w:p>
    <w:p w14:paraId="6CE823AC" w14:textId="77777777" w:rsidR="00457328" w:rsidRDefault="00457328" w:rsidP="00AA00E7">
      <w:pPr>
        <w:spacing w:after="0"/>
      </w:pPr>
    </w:p>
    <w:p w14:paraId="2D73ED53" w14:textId="2778DFEC" w:rsidR="00AA00E7" w:rsidRDefault="00AA00E7" w:rsidP="00AA00E7">
      <w:pPr>
        <w:spacing w:after="0"/>
      </w:pPr>
      <w:r>
        <w:t xml:space="preserve">Team members: </w:t>
      </w:r>
    </w:p>
    <w:p w14:paraId="2BD7BCBB" w14:textId="6DF2C8E4" w:rsidR="00AA00E7" w:rsidRDefault="00AA00E7" w:rsidP="00AA00E7">
      <w:pPr>
        <w:pStyle w:val="ListParagraph"/>
        <w:numPr>
          <w:ilvl w:val="0"/>
          <w:numId w:val="2"/>
        </w:numPr>
        <w:spacing w:after="0"/>
      </w:pPr>
      <w:r>
        <w:t>Quatrell Nevels</w:t>
      </w:r>
    </w:p>
    <w:p w14:paraId="1611CF10" w14:textId="120755C1" w:rsidR="00AA00E7" w:rsidRDefault="00AA00E7" w:rsidP="00AA00E7">
      <w:pPr>
        <w:pStyle w:val="ListParagraph"/>
        <w:numPr>
          <w:ilvl w:val="0"/>
          <w:numId w:val="2"/>
        </w:numPr>
        <w:spacing w:after="0"/>
      </w:pPr>
      <w:r>
        <w:t>Ana Gomez</w:t>
      </w:r>
    </w:p>
    <w:p w14:paraId="3E718D2D" w14:textId="0E7DEFDA" w:rsidR="00AA00E7" w:rsidRDefault="00AA00E7" w:rsidP="00AA00E7">
      <w:pPr>
        <w:pStyle w:val="ListParagraph"/>
        <w:numPr>
          <w:ilvl w:val="0"/>
          <w:numId w:val="2"/>
        </w:numPr>
      </w:pPr>
      <w:r>
        <w:t>Erin Ukestad</w:t>
      </w:r>
    </w:p>
    <w:p w14:paraId="3338964C" w14:textId="7ABC862A" w:rsidR="0068414F" w:rsidRDefault="00AA00E7">
      <w:r>
        <w:t xml:space="preserve">Project Proposal </w:t>
      </w:r>
    </w:p>
    <w:p w14:paraId="110B2D07" w14:textId="1FD85D0F" w:rsidR="00AA00E7" w:rsidRDefault="00AA00E7" w:rsidP="00AA00E7">
      <w:pPr>
        <w:pStyle w:val="ListParagraph"/>
        <w:numPr>
          <w:ilvl w:val="0"/>
          <w:numId w:val="1"/>
        </w:numPr>
      </w:pPr>
      <w:r>
        <w:t>Evaluate travel purpose</w:t>
      </w:r>
      <w:r w:rsidR="00457328">
        <w:t xml:space="preserve"> and destinations</w:t>
      </w:r>
      <w:r>
        <w:t xml:space="preserve"> from 2019 to now</w:t>
      </w:r>
    </w:p>
    <w:p w14:paraId="362C0232" w14:textId="749C08D6" w:rsidR="00AA00E7" w:rsidRDefault="00AA00E7" w:rsidP="00AA00E7">
      <w:pPr>
        <w:pStyle w:val="ListParagraph"/>
        <w:numPr>
          <w:ilvl w:val="0"/>
          <w:numId w:val="1"/>
        </w:numPr>
      </w:pPr>
      <w:r>
        <w:t xml:space="preserve">Look for patterns/changes in travel purpose </w:t>
      </w:r>
      <w:r w:rsidR="00457328">
        <w:t>and/or destinations</w:t>
      </w:r>
    </w:p>
    <w:p w14:paraId="066C290B" w14:textId="5A0807FC" w:rsidR="00AA00E7" w:rsidRDefault="00AA00E7" w:rsidP="00AA00E7">
      <w:pPr>
        <w:pStyle w:val="ListParagraph"/>
        <w:numPr>
          <w:ilvl w:val="0"/>
          <w:numId w:val="1"/>
        </w:numPr>
      </w:pPr>
      <w:r>
        <w:t>Questions:</w:t>
      </w:r>
    </w:p>
    <w:p w14:paraId="01272CE3" w14:textId="46B19862" w:rsidR="00AA00E7" w:rsidRDefault="00AA00E7" w:rsidP="00AA00E7">
      <w:pPr>
        <w:pStyle w:val="ListParagraph"/>
        <w:numPr>
          <w:ilvl w:val="1"/>
          <w:numId w:val="1"/>
        </w:numPr>
      </w:pPr>
      <w:r>
        <w:t xml:space="preserve">How has the pandemic impacted travel </w:t>
      </w:r>
      <w:r w:rsidR="00457328">
        <w:t>destination</w:t>
      </w:r>
      <w:r w:rsidR="00CC57CD">
        <w:t>? (Erin)</w:t>
      </w:r>
    </w:p>
    <w:p w14:paraId="1E0AA83C" w14:textId="24183193" w:rsidR="00AA00E7" w:rsidRDefault="00AA00E7" w:rsidP="00AA00E7">
      <w:pPr>
        <w:pStyle w:val="ListParagraph"/>
        <w:numPr>
          <w:ilvl w:val="1"/>
          <w:numId w:val="1"/>
        </w:numPr>
      </w:pPr>
      <w:r>
        <w:t xml:space="preserve">How has the pandemic impacted the </w:t>
      </w:r>
      <w:r w:rsidR="00CC57CD">
        <w:t>carriers</w:t>
      </w:r>
      <w:r>
        <w:t>?</w:t>
      </w:r>
      <w:r w:rsidR="00CC57CD">
        <w:t xml:space="preserve"> (Ana)</w:t>
      </w:r>
    </w:p>
    <w:p w14:paraId="1CE55923" w14:textId="736E07E9" w:rsidR="00AA00E7" w:rsidRDefault="00AA00E7" w:rsidP="00AA00E7">
      <w:pPr>
        <w:pStyle w:val="ListParagraph"/>
        <w:numPr>
          <w:ilvl w:val="1"/>
          <w:numId w:val="1"/>
        </w:numPr>
      </w:pPr>
      <w:r>
        <w:t xml:space="preserve">How has the pandemic </w:t>
      </w:r>
      <w:r w:rsidR="00CC57CD">
        <w:t>impacted the domestic and international markets</w:t>
      </w:r>
      <w:r>
        <w:t>?</w:t>
      </w:r>
      <w:r w:rsidR="00CC57CD">
        <w:t xml:space="preserve"> (Quatrell)</w:t>
      </w:r>
    </w:p>
    <w:p w14:paraId="5F1C9D27" w14:textId="571D67C9" w:rsidR="00457328" w:rsidRDefault="0042014B" w:rsidP="00457328">
      <w:pPr>
        <w:pStyle w:val="ListParagraph"/>
        <w:numPr>
          <w:ilvl w:val="0"/>
          <w:numId w:val="1"/>
        </w:numPr>
      </w:pPr>
      <w:r>
        <w:t>Flight departures and arrivals between 2019 and 2021 to US</w:t>
      </w:r>
    </w:p>
    <w:p w14:paraId="1E235E17" w14:textId="6F76672E" w:rsidR="0042014B" w:rsidRDefault="0042014B" w:rsidP="0042014B">
      <w:pPr>
        <w:pStyle w:val="ListParagraph"/>
        <w:numPr>
          <w:ilvl w:val="1"/>
          <w:numId w:val="1"/>
        </w:numPr>
      </w:pPr>
      <w:r>
        <w:t>Look at destinations for departures</w:t>
      </w:r>
    </w:p>
    <w:p w14:paraId="2C613EAE" w14:textId="7E66969A" w:rsidR="0042014B" w:rsidRDefault="0042014B" w:rsidP="0042014B">
      <w:pPr>
        <w:pStyle w:val="ListParagraph"/>
        <w:numPr>
          <w:ilvl w:val="1"/>
          <w:numId w:val="1"/>
        </w:numPr>
      </w:pPr>
      <w:r>
        <w:t>Look at origins for arrivals</w:t>
      </w:r>
    </w:p>
    <w:p w14:paraId="4AF4B2CF" w14:textId="287C8FDC" w:rsidR="0042014B" w:rsidRDefault="0042014B" w:rsidP="0042014B">
      <w:r>
        <w:t>Data:</w:t>
      </w:r>
    </w:p>
    <w:p w14:paraId="5E29C0C7" w14:textId="2814577E" w:rsidR="0082206A" w:rsidRDefault="0082206A" w:rsidP="0042014B">
      <w:hyperlink r:id="rId5" w:history="1">
        <w:r w:rsidRPr="00B25D78">
          <w:rPr>
            <w:rStyle w:val="Hyperlink"/>
          </w:rPr>
          <w:t>https://www.transtats.bts.gov/Tables.asp?DB_ID=111&amp;DB_Name=Air%20Carrier%20Statistics%20%28Form%2041%20Traffic%29-%20All%20Carriers&amp;DB_Short_Name=Air%20Carriers</w:t>
        </w:r>
      </w:hyperlink>
    </w:p>
    <w:p w14:paraId="0AF1EA38" w14:textId="77777777" w:rsidR="0082206A" w:rsidRDefault="0082206A" w:rsidP="0042014B"/>
    <w:tbl>
      <w:tblPr>
        <w:tblW w:w="10590" w:type="dxa"/>
        <w:tblCellSpacing w:w="0" w:type="dxa"/>
        <w:tblBorders>
          <w:left w:val="single" w:sz="6" w:space="0" w:color="808080"/>
          <w:bottom w:val="single" w:sz="6" w:space="0" w:color="808080"/>
        </w:tblBorders>
        <w:shd w:val="clear" w:color="auto" w:fill="FFFFFF"/>
        <w:tblCellMar>
          <w:top w:w="30" w:type="dxa"/>
          <w:left w:w="30" w:type="dxa"/>
          <w:bottom w:w="30" w:type="dxa"/>
          <w:right w:w="30" w:type="dxa"/>
        </w:tblCellMar>
        <w:tblLook w:val="04A0" w:firstRow="1" w:lastRow="0" w:firstColumn="1" w:lastColumn="0" w:noHBand="0" w:noVBand="1"/>
      </w:tblPr>
      <w:tblGrid>
        <w:gridCol w:w="1959"/>
        <w:gridCol w:w="8631"/>
      </w:tblGrid>
      <w:tr w:rsidR="0082206A" w14:paraId="35404BAC" w14:textId="77777777" w:rsidTr="0082206A">
        <w:trPr>
          <w:trHeight w:val="270"/>
          <w:tblCellSpacing w:w="0" w:type="dxa"/>
        </w:trPr>
        <w:tc>
          <w:tcPr>
            <w:tcW w:w="0" w:type="auto"/>
            <w:gridSpan w:val="2"/>
            <w:tcBorders>
              <w:top w:val="nil"/>
              <w:left w:val="nil"/>
              <w:bottom w:val="nil"/>
              <w:right w:val="nil"/>
            </w:tcBorders>
            <w:shd w:val="clear" w:color="auto" w:fill="336699"/>
            <w:tcMar>
              <w:top w:w="30" w:type="dxa"/>
              <w:left w:w="75" w:type="dxa"/>
              <w:bottom w:w="30" w:type="dxa"/>
              <w:right w:w="30" w:type="dxa"/>
            </w:tcMar>
            <w:vAlign w:val="center"/>
            <w:hideMark/>
          </w:tcPr>
          <w:p w14:paraId="47B63C9E" w14:textId="77777777" w:rsidR="0082206A" w:rsidRDefault="0082206A">
            <w:pPr>
              <w:rPr>
                <w:rFonts w:ascii="Arial" w:hAnsi="Arial" w:cs="Arial"/>
                <w:b/>
                <w:bCs/>
                <w:color w:val="FFFFFF"/>
                <w:spacing w:val="3"/>
                <w:sz w:val="18"/>
                <w:szCs w:val="18"/>
              </w:rPr>
            </w:pPr>
            <w:r>
              <w:rPr>
                <w:rFonts w:ascii="Arial" w:hAnsi="Arial" w:cs="Arial"/>
                <w:b/>
                <w:bCs/>
                <w:color w:val="FFFFFF"/>
                <w:spacing w:val="3"/>
                <w:sz w:val="18"/>
                <w:szCs w:val="18"/>
              </w:rPr>
              <w:t>Air Carriers : T-100 Market (All Carriers)</w:t>
            </w:r>
          </w:p>
        </w:tc>
      </w:tr>
      <w:tr w:rsidR="0082206A" w14:paraId="4BA1DF50" w14:textId="77777777" w:rsidTr="0082206A">
        <w:trPr>
          <w:tblCellSpacing w:w="0" w:type="dxa"/>
        </w:trPr>
        <w:tc>
          <w:tcPr>
            <w:tcW w:w="0" w:type="auto"/>
            <w:shd w:val="clear" w:color="auto" w:fill="FFFFFF"/>
            <w:vAlign w:val="center"/>
            <w:hideMark/>
          </w:tcPr>
          <w:p w14:paraId="7EA3C9E4" w14:textId="77777777" w:rsidR="0082206A" w:rsidRDefault="0082206A">
            <w:pPr>
              <w:rPr>
                <w:rFonts w:ascii="Arial" w:hAnsi="Arial" w:cs="Arial"/>
                <w:b/>
                <w:bCs/>
                <w:color w:val="FFFFFF"/>
                <w:spacing w:val="3"/>
                <w:sz w:val="18"/>
                <w:szCs w:val="18"/>
              </w:rPr>
            </w:pPr>
          </w:p>
        </w:tc>
        <w:tc>
          <w:tcPr>
            <w:tcW w:w="0" w:type="auto"/>
            <w:shd w:val="clear" w:color="auto" w:fill="FFFFFF"/>
            <w:vAlign w:val="center"/>
            <w:hideMark/>
          </w:tcPr>
          <w:p w14:paraId="6C8529CF" w14:textId="77777777" w:rsidR="0082206A" w:rsidRDefault="0082206A">
            <w:pPr>
              <w:rPr>
                <w:sz w:val="20"/>
                <w:szCs w:val="20"/>
              </w:rPr>
            </w:pPr>
          </w:p>
        </w:tc>
      </w:tr>
      <w:tr w:rsidR="0082206A" w14:paraId="672A4ACC" w14:textId="77777777" w:rsidTr="0082206A">
        <w:trPr>
          <w:tblCellSpacing w:w="0" w:type="dxa"/>
        </w:trPr>
        <w:tc>
          <w:tcPr>
            <w:tcW w:w="0" w:type="auto"/>
            <w:gridSpan w:val="2"/>
            <w:tcBorders>
              <w:top w:val="nil"/>
              <w:left w:val="nil"/>
              <w:bottom w:val="nil"/>
              <w:right w:val="nil"/>
            </w:tcBorders>
            <w:shd w:val="clear" w:color="auto" w:fill="EFEFEF"/>
            <w:tcMar>
              <w:top w:w="30" w:type="dxa"/>
              <w:left w:w="150" w:type="dxa"/>
              <w:bottom w:w="30" w:type="dxa"/>
              <w:right w:w="225" w:type="dxa"/>
            </w:tcMar>
            <w:vAlign w:val="center"/>
            <w:hideMark/>
          </w:tcPr>
          <w:p w14:paraId="1C00D64F" w14:textId="77777777" w:rsidR="0082206A" w:rsidRDefault="0082206A">
            <w:pPr>
              <w:jc w:val="right"/>
              <w:rPr>
                <w:rFonts w:ascii="Arial" w:hAnsi="Arial" w:cs="Arial"/>
                <w:b/>
                <w:bCs/>
                <w:color w:val="000000"/>
                <w:sz w:val="18"/>
                <w:szCs w:val="18"/>
              </w:rPr>
            </w:pPr>
            <w:hyperlink r:id="rId6" w:history="1">
              <w:r>
                <w:rPr>
                  <w:rStyle w:val="Hyperlink"/>
                  <w:rFonts w:ascii="Verdana" w:hAnsi="Verdana" w:cs="Arial"/>
                  <w:spacing w:val="-3"/>
                  <w:sz w:val="14"/>
                  <w:szCs w:val="14"/>
                  <w:u w:val="none"/>
                </w:rPr>
                <w:t>Databases</w:t>
              </w:r>
            </w:hyperlink>
            <w:r>
              <w:rPr>
                <w:rFonts w:ascii="Arial" w:hAnsi="Arial" w:cs="Arial"/>
                <w:b/>
                <w:bCs/>
                <w:color w:val="000000"/>
                <w:sz w:val="18"/>
                <w:szCs w:val="18"/>
              </w:rPr>
              <w:t>     </w:t>
            </w:r>
            <w:hyperlink r:id="rId7" w:history="1">
              <w:r>
                <w:rPr>
                  <w:rStyle w:val="Hyperlink"/>
                  <w:rFonts w:ascii="Verdana" w:hAnsi="Verdana" w:cs="Arial"/>
                  <w:spacing w:val="-3"/>
                  <w:sz w:val="14"/>
                  <w:szCs w:val="14"/>
                  <w:u w:val="none"/>
                </w:rPr>
                <w:t>Database Profile</w:t>
              </w:r>
            </w:hyperlink>
            <w:r>
              <w:rPr>
                <w:rFonts w:ascii="Arial" w:hAnsi="Arial" w:cs="Arial"/>
                <w:b/>
                <w:bCs/>
                <w:color w:val="000000"/>
                <w:sz w:val="18"/>
                <w:szCs w:val="18"/>
              </w:rPr>
              <w:t>   </w:t>
            </w:r>
            <w:hyperlink r:id="rId8" w:history="1">
              <w:r>
                <w:rPr>
                  <w:rStyle w:val="Hyperlink"/>
                  <w:rFonts w:ascii="Verdana" w:hAnsi="Verdana" w:cs="Arial"/>
                  <w:spacing w:val="-3"/>
                  <w:sz w:val="14"/>
                  <w:szCs w:val="14"/>
                  <w:u w:val="none"/>
                </w:rPr>
                <w:t>Data Tables</w:t>
              </w:r>
            </w:hyperlink>
            <w:r>
              <w:rPr>
                <w:rFonts w:ascii="Arial" w:hAnsi="Arial" w:cs="Arial"/>
                <w:b/>
                <w:bCs/>
                <w:color w:val="000000"/>
                <w:sz w:val="18"/>
                <w:szCs w:val="18"/>
              </w:rPr>
              <w:t>   </w:t>
            </w:r>
            <w:hyperlink r:id="rId9" w:history="1">
              <w:r>
                <w:rPr>
                  <w:rStyle w:val="Hyperlink"/>
                  <w:rFonts w:ascii="Verdana" w:hAnsi="Verdana" w:cs="Arial"/>
                  <w:spacing w:val="-3"/>
                  <w:sz w:val="14"/>
                  <w:szCs w:val="14"/>
                  <w:u w:val="none"/>
                </w:rPr>
                <w:t>Table Contents</w:t>
              </w:r>
            </w:hyperlink>
          </w:p>
        </w:tc>
      </w:tr>
      <w:tr w:rsidR="0082206A" w14:paraId="6EE9C393" w14:textId="77777777" w:rsidTr="0082206A">
        <w:trPr>
          <w:trHeight w:val="270"/>
          <w:tblCellSpacing w:w="0" w:type="dxa"/>
        </w:trPr>
        <w:tc>
          <w:tcPr>
            <w:tcW w:w="1800" w:type="dxa"/>
            <w:tcBorders>
              <w:top w:val="nil"/>
              <w:left w:val="nil"/>
              <w:bottom w:val="nil"/>
              <w:right w:val="nil"/>
            </w:tcBorders>
            <w:shd w:val="clear" w:color="auto" w:fill="336699"/>
            <w:tcMar>
              <w:top w:w="30" w:type="dxa"/>
              <w:left w:w="75" w:type="dxa"/>
              <w:bottom w:w="30" w:type="dxa"/>
              <w:right w:w="30" w:type="dxa"/>
            </w:tcMar>
            <w:vAlign w:val="center"/>
            <w:hideMark/>
          </w:tcPr>
          <w:p w14:paraId="5C84537E" w14:textId="77777777" w:rsidR="0082206A" w:rsidRDefault="0082206A">
            <w:pPr>
              <w:rPr>
                <w:rFonts w:ascii="Arial" w:hAnsi="Arial" w:cs="Arial"/>
                <w:b/>
                <w:bCs/>
                <w:color w:val="FFFFFF"/>
                <w:spacing w:val="3"/>
                <w:sz w:val="18"/>
                <w:szCs w:val="18"/>
              </w:rPr>
            </w:pPr>
            <w:r>
              <w:rPr>
                <w:rFonts w:ascii="Arial" w:hAnsi="Arial" w:cs="Arial"/>
                <w:b/>
                <w:bCs/>
                <w:color w:val="FFFFFF"/>
                <w:spacing w:val="3"/>
                <w:sz w:val="18"/>
                <w:szCs w:val="18"/>
              </w:rPr>
              <w:t>Property</w:t>
            </w:r>
          </w:p>
        </w:tc>
        <w:tc>
          <w:tcPr>
            <w:tcW w:w="0" w:type="auto"/>
            <w:tcBorders>
              <w:top w:val="nil"/>
              <w:left w:val="nil"/>
              <w:bottom w:val="nil"/>
              <w:right w:val="nil"/>
            </w:tcBorders>
            <w:shd w:val="clear" w:color="auto" w:fill="336699"/>
            <w:tcMar>
              <w:top w:w="30" w:type="dxa"/>
              <w:left w:w="75" w:type="dxa"/>
              <w:bottom w:w="30" w:type="dxa"/>
              <w:right w:w="30" w:type="dxa"/>
            </w:tcMar>
            <w:vAlign w:val="center"/>
            <w:hideMark/>
          </w:tcPr>
          <w:p w14:paraId="5B83EB61" w14:textId="77777777" w:rsidR="0082206A" w:rsidRDefault="0082206A">
            <w:pPr>
              <w:rPr>
                <w:rFonts w:ascii="Arial" w:hAnsi="Arial" w:cs="Arial"/>
                <w:b/>
                <w:bCs/>
                <w:color w:val="FFFFFF"/>
                <w:spacing w:val="3"/>
                <w:sz w:val="18"/>
                <w:szCs w:val="18"/>
              </w:rPr>
            </w:pPr>
            <w:r>
              <w:rPr>
                <w:rFonts w:ascii="Arial" w:hAnsi="Arial" w:cs="Arial"/>
                <w:b/>
                <w:bCs/>
                <w:color w:val="FFFFFF"/>
                <w:spacing w:val="3"/>
                <w:sz w:val="18"/>
                <w:szCs w:val="18"/>
              </w:rPr>
              <w:t>Description</w:t>
            </w:r>
          </w:p>
        </w:tc>
      </w:tr>
      <w:tr w:rsidR="0082206A" w14:paraId="48D5A9CA" w14:textId="77777777" w:rsidTr="0082206A">
        <w:trPr>
          <w:tblCellSpacing w:w="0" w:type="dxa"/>
        </w:trPr>
        <w:tc>
          <w:tcPr>
            <w:tcW w:w="0" w:type="auto"/>
            <w:tcBorders>
              <w:top w:val="nil"/>
              <w:left w:val="nil"/>
              <w:bottom w:val="nil"/>
              <w:right w:val="nil"/>
            </w:tcBorders>
            <w:shd w:val="clear" w:color="auto" w:fill="EFEFEF"/>
            <w:tcMar>
              <w:top w:w="45" w:type="dxa"/>
              <w:left w:w="75" w:type="dxa"/>
              <w:bottom w:w="45" w:type="dxa"/>
              <w:right w:w="45" w:type="dxa"/>
            </w:tcMar>
            <w:hideMark/>
          </w:tcPr>
          <w:p w14:paraId="1900C85B" w14:textId="77777777" w:rsidR="0082206A" w:rsidRDefault="0082206A">
            <w:pPr>
              <w:rPr>
                <w:rFonts w:ascii="Arial" w:hAnsi="Arial" w:cs="Arial"/>
                <w:b/>
                <w:bCs/>
                <w:color w:val="336699"/>
                <w:sz w:val="17"/>
                <w:szCs w:val="17"/>
              </w:rPr>
            </w:pPr>
            <w:r>
              <w:rPr>
                <w:rFonts w:ascii="Arial" w:hAnsi="Arial" w:cs="Arial"/>
                <w:b/>
                <w:bCs/>
                <w:color w:val="336699"/>
                <w:sz w:val="17"/>
                <w:szCs w:val="17"/>
              </w:rPr>
              <w:t>Name</w:t>
            </w:r>
          </w:p>
        </w:tc>
        <w:tc>
          <w:tcPr>
            <w:tcW w:w="0" w:type="auto"/>
            <w:shd w:val="clear" w:color="auto" w:fill="FFFFFF"/>
            <w:tcMar>
              <w:top w:w="30" w:type="dxa"/>
              <w:left w:w="150" w:type="dxa"/>
              <w:bottom w:w="30" w:type="dxa"/>
              <w:right w:w="150" w:type="dxa"/>
            </w:tcMar>
            <w:vAlign w:val="center"/>
            <w:hideMark/>
          </w:tcPr>
          <w:p w14:paraId="4E12F88A" w14:textId="77777777" w:rsidR="0082206A" w:rsidRDefault="0082206A">
            <w:pPr>
              <w:spacing w:line="255" w:lineRule="atLeast"/>
              <w:rPr>
                <w:rFonts w:ascii="Verdana" w:hAnsi="Verdana" w:cs="Arial"/>
                <w:color w:val="000000"/>
                <w:sz w:val="17"/>
                <w:szCs w:val="17"/>
              </w:rPr>
            </w:pPr>
            <w:r>
              <w:rPr>
                <w:rFonts w:ascii="Verdana" w:hAnsi="Verdana" w:cs="Arial"/>
                <w:color w:val="000000"/>
                <w:sz w:val="17"/>
                <w:szCs w:val="17"/>
              </w:rPr>
              <w:t>T-100 Market (All Carriers)</w:t>
            </w:r>
          </w:p>
        </w:tc>
      </w:tr>
      <w:tr w:rsidR="0082206A" w14:paraId="5D9BEE06" w14:textId="77777777" w:rsidTr="0082206A">
        <w:trPr>
          <w:tblCellSpacing w:w="0" w:type="dxa"/>
        </w:trPr>
        <w:tc>
          <w:tcPr>
            <w:tcW w:w="0" w:type="auto"/>
            <w:tcBorders>
              <w:top w:val="nil"/>
              <w:left w:val="nil"/>
              <w:bottom w:val="nil"/>
              <w:right w:val="nil"/>
            </w:tcBorders>
            <w:shd w:val="clear" w:color="auto" w:fill="EFEFEF"/>
            <w:tcMar>
              <w:top w:w="45" w:type="dxa"/>
              <w:left w:w="75" w:type="dxa"/>
              <w:bottom w:w="45" w:type="dxa"/>
              <w:right w:w="45" w:type="dxa"/>
            </w:tcMar>
            <w:hideMark/>
          </w:tcPr>
          <w:p w14:paraId="47DF7430" w14:textId="77777777" w:rsidR="0082206A" w:rsidRDefault="0082206A">
            <w:pPr>
              <w:spacing w:line="240" w:lineRule="auto"/>
              <w:rPr>
                <w:rFonts w:ascii="Arial" w:hAnsi="Arial" w:cs="Arial"/>
                <w:b/>
                <w:bCs/>
                <w:color w:val="336699"/>
                <w:sz w:val="17"/>
                <w:szCs w:val="17"/>
              </w:rPr>
            </w:pPr>
            <w:r>
              <w:rPr>
                <w:rFonts w:ascii="Arial" w:hAnsi="Arial" w:cs="Arial"/>
                <w:b/>
                <w:bCs/>
                <w:color w:val="336699"/>
                <w:sz w:val="17"/>
                <w:szCs w:val="17"/>
              </w:rPr>
              <w:t>Description</w:t>
            </w:r>
          </w:p>
        </w:tc>
        <w:tc>
          <w:tcPr>
            <w:tcW w:w="0" w:type="auto"/>
            <w:shd w:val="clear" w:color="auto" w:fill="FFFFFF"/>
            <w:tcMar>
              <w:top w:w="30" w:type="dxa"/>
              <w:left w:w="150" w:type="dxa"/>
              <w:bottom w:w="30" w:type="dxa"/>
              <w:right w:w="150" w:type="dxa"/>
            </w:tcMar>
            <w:vAlign w:val="center"/>
            <w:hideMark/>
          </w:tcPr>
          <w:p w14:paraId="62792C0E" w14:textId="77777777" w:rsidR="0082206A" w:rsidRDefault="0082206A">
            <w:pPr>
              <w:spacing w:line="255" w:lineRule="atLeast"/>
              <w:rPr>
                <w:rFonts w:ascii="Verdana" w:hAnsi="Verdana" w:cs="Arial"/>
                <w:color w:val="000000"/>
                <w:sz w:val="17"/>
                <w:szCs w:val="17"/>
              </w:rPr>
            </w:pPr>
            <w:r>
              <w:rPr>
                <w:rFonts w:ascii="Verdana" w:hAnsi="Verdana" w:cs="Arial"/>
                <w:color w:val="000000"/>
                <w:sz w:val="17"/>
                <w:szCs w:val="17"/>
              </w:rPr>
              <w:t>This table combines domestic and international market data reported by U.S. and foreign air carriers, and contains market data by carrier, origin and destination, and service class for enplaned passengers, freight, and mail. For a uniform end date for the combined databases, the last 3 months U.S. carrier domestic data released in T-100 Domestic Market (U.S. Carriers Only) are not included. Flights with both origin and destination in a foreign country are not included.</w:t>
            </w:r>
          </w:p>
        </w:tc>
      </w:tr>
      <w:tr w:rsidR="0082206A" w14:paraId="5EA54BCB" w14:textId="77777777" w:rsidTr="0082206A">
        <w:trPr>
          <w:tblCellSpacing w:w="0" w:type="dxa"/>
        </w:trPr>
        <w:tc>
          <w:tcPr>
            <w:tcW w:w="0" w:type="auto"/>
            <w:tcBorders>
              <w:top w:val="nil"/>
              <w:left w:val="nil"/>
              <w:bottom w:val="nil"/>
              <w:right w:val="nil"/>
            </w:tcBorders>
            <w:shd w:val="clear" w:color="auto" w:fill="EFEFEF"/>
            <w:tcMar>
              <w:top w:w="45" w:type="dxa"/>
              <w:left w:w="75" w:type="dxa"/>
              <w:bottom w:w="45" w:type="dxa"/>
              <w:right w:w="45" w:type="dxa"/>
            </w:tcMar>
            <w:hideMark/>
          </w:tcPr>
          <w:p w14:paraId="42074D52" w14:textId="77777777" w:rsidR="0082206A" w:rsidRDefault="0082206A">
            <w:pPr>
              <w:spacing w:line="240" w:lineRule="auto"/>
              <w:rPr>
                <w:rFonts w:ascii="Arial" w:hAnsi="Arial" w:cs="Arial"/>
                <w:b/>
                <w:bCs/>
                <w:color w:val="336699"/>
                <w:sz w:val="17"/>
                <w:szCs w:val="17"/>
              </w:rPr>
            </w:pPr>
            <w:r>
              <w:rPr>
                <w:rFonts w:ascii="Arial" w:hAnsi="Arial" w:cs="Arial"/>
                <w:b/>
                <w:bCs/>
                <w:color w:val="336699"/>
                <w:sz w:val="17"/>
                <w:szCs w:val="17"/>
              </w:rPr>
              <w:t>Records</w:t>
            </w:r>
          </w:p>
        </w:tc>
        <w:tc>
          <w:tcPr>
            <w:tcW w:w="0" w:type="auto"/>
            <w:shd w:val="clear" w:color="auto" w:fill="FFFFFF"/>
            <w:tcMar>
              <w:top w:w="30" w:type="dxa"/>
              <w:left w:w="150" w:type="dxa"/>
              <w:bottom w:w="30" w:type="dxa"/>
              <w:right w:w="150" w:type="dxa"/>
            </w:tcMar>
            <w:vAlign w:val="center"/>
            <w:hideMark/>
          </w:tcPr>
          <w:p w14:paraId="2D2E2745" w14:textId="77777777" w:rsidR="0082206A" w:rsidRDefault="0082206A">
            <w:pPr>
              <w:spacing w:line="255" w:lineRule="atLeast"/>
              <w:rPr>
                <w:rFonts w:ascii="Verdana" w:hAnsi="Verdana" w:cs="Arial"/>
                <w:color w:val="000000"/>
                <w:sz w:val="17"/>
                <w:szCs w:val="17"/>
              </w:rPr>
            </w:pPr>
            <w:r>
              <w:rPr>
                <w:rFonts w:ascii="Verdana" w:hAnsi="Verdana" w:cs="Arial"/>
                <w:color w:val="000000"/>
                <w:sz w:val="17"/>
                <w:szCs w:val="17"/>
              </w:rPr>
              <w:t>8,645,869</w:t>
            </w:r>
          </w:p>
        </w:tc>
      </w:tr>
      <w:tr w:rsidR="0082206A" w14:paraId="3A55EB8A" w14:textId="77777777" w:rsidTr="0082206A">
        <w:trPr>
          <w:tblCellSpacing w:w="0" w:type="dxa"/>
        </w:trPr>
        <w:tc>
          <w:tcPr>
            <w:tcW w:w="0" w:type="auto"/>
            <w:tcBorders>
              <w:top w:val="nil"/>
              <w:left w:val="nil"/>
              <w:bottom w:val="nil"/>
              <w:right w:val="nil"/>
            </w:tcBorders>
            <w:shd w:val="clear" w:color="auto" w:fill="EFEFEF"/>
            <w:tcMar>
              <w:top w:w="45" w:type="dxa"/>
              <w:left w:w="75" w:type="dxa"/>
              <w:bottom w:w="45" w:type="dxa"/>
              <w:right w:w="45" w:type="dxa"/>
            </w:tcMar>
            <w:hideMark/>
          </w:tcPr>
          <w:p w14:paraId="0659A0C3" w14:textId="77777777" w:rsidR="0082206A" w:rsidRDefault="0082206A">
            <w:pPr>
              <w:spacing w:line="240" w:lineRule="auto"/>
              <w:rPr>
                <w:rFonts w:ascii="Arial" w:hAnsi="Arial" w:cs="Arial"/>
                <w:b/>
                <w:bCs/>
                <w:color w:val="336699"/>
                <w:sz w:val="17"/>
                <w:szCs w:val="17"/>
              </w:rPr>
            </w:pPr>
            <w:r>
              <w:rPr>
                <w:rFonts w:ascii="Arial" w:hAnsi="Arial" w:cs="Arial"/>
                <w:b/>
                <w:bCs/>
                <w:color w:val="336699"/>
                <w:sz w:val="17"/>
                <w:szCs w:val="17"/>
              </w:rPr>
              <w:t>Fields</w:t>
            </w:r>
          </w:p>
        </w:tc>
        <w:tc>
          <w:tcPr>
            <w:tcW w:w="0" w:type="auto"/>
            <w:shd w:val="clear" w:color="auto" w:fill="FFFFFF"/>
            <w:tcMar>
              <w:top w:w="30" w:type="dxa"/>
              <w:left w:w="150" w:type="dxa"/>
              <w:bottom w:w="30" w:type="dxa"/>
              <w:right w:w="150" w:type="dxa"/>
            </w:tcMar>
            <w:vAlign w:val="center"/>
            <w:hideMark/>
          </w:tcPr>
          <w:p w14:paraId="37790F8A" w14:textId="77777777" w:rsidR="0082206A" w:rsidRDefault="0082206A">
            <w:pPr>
              <w:spacing w:line="255" w:lineRule="atLeast"/>
              <w:rPr>
                <w:rFonts w:ascii="Verdana" w:hAnsi="Verdana" w:cs="Arial"/>
                <w:color w:val="000000"/>
                <w:sz w:val="17"/>
                <w:szCs w:val="17"/>
              </w:rPr>
            </w:pPr>
            <w:r>
              <w:rPr>
                <w:rFonts w:ascii="Verdana" w:hAnsi="Verdana" w:cs="Arial"/>
                <w:color w:val="000000"/>
                <w:sz w:val="17"/>
                <w:szCs w:val="17"/>
              </w:rPr>
              <w:t>41</w:t>
            </w:r>
          </w:p>
        </w:tc>
      </w:tr>
      <w:tr w:rsidR="0082206A" w14:paraId="05C020B3" w14:textId="77777777" w:rsidTr="0082206A">
        <w:trPr>
          <w:tblCellSpacing w:w="0" w:type="dxa"/>
        </w:trPr>
        <w:tc>
          <w:tcPr>
            <w:tcW w:w="0" w:type="auto"/>
            <w:tcBorders>
              <w:top w:val="nil"/>
              <w:left w:val="nil"/>
              <w:bottom w:val="nil"/>
              <w:right w:val="nil"/>
            </w:tcBorders>
            <w:shd w:val="clear" w:color="auto" w:fill="EFEFEF"/>
            <w:tcMar>
              <w:top w:w="45" w:type="dxa"/>
              <w:left w:w="75" w:type="dxa"/>
              <w:bottom w:w="45" w:type="dxa"/>
              <w:right w:w="45" w:type="dxa"/>
            </w:tcMar>
            <w:hideMark/>
          </w:tcPr>
          <w:p w14:paraId="0D39CEC6" w14:textId="77777777" w:rsidR="0082206A" w:rsidRDefault="0082206A">
            <w:pPr>
              <w:spacing w:line="240" w:lineRule="auto"/>
              <w:rPr>
                <w:rFonts w:ascii="Arial" w:hAnsi="Arial" w:cs="Arial"/>
                <w:b/>
                <w:bCs/>
                <w:color w:val="336699"/>
                <w:sz w:val="17"/>
                <w:szCs w:val="17"/>
              </w:rPr>
            </w:pPr>
            <w:r>
              <w:rPr>
                <w:rFonts w:ascii="Arial" w:hAnsi="Arial" w:cs="Arial"/>
                <w:b/>
                <w:bCs/>
                <w:color w:val="336699"/>
                <w:sz w:val="17"/>
                <w:szCs w:val="17"/>
              </w:rPr>
              <w:t>First Year</w:t>
            </w:r>
          </w:p>
        </w:tc>
        <w:tc>
          <w:tcPr>
            <w:tcW w:w="0" w:type="auto"/>
            <w:shd w:val="clear" w:color="auto" w:fill="FFFFFF"/>
            <w:tcMar>
              <w:top w:w="30" w:type="dxa"/>
              <w:left w:w="150" w:type="dxa"/>
              <w:bottom w:w="30" w:type="dxa"/>
              <w:right w:w="150" w:type="dxa"/>
            </w:tcMar>
            <w:vAlign w:val="center"/>
            <w:hideMark/>
          </w:tcPr>
          <w:p w14:paraId="7DBE39E6" w14:textId="77777777" w:rsidR="0082206A" w:rsidRDefault="0082206A">
            <w:pPr>
              <w:spacing w:line="255" w:lineRule="atLeast"/>
              <w:rPr>
                <w:rFonts w:ascii="Verdana" w:hAnsi="Verdana" w:cs="Arial"/>
                <w:color w:val="000000"/>
                <w:sz w:val="17"/>
                <w:szCs w:val="17"/>
              </w:rPr>
            </w:pPr>
            <w:r>
              <w:rPr>
                <w:rFonts w:ascii="Verdana" w:hAnsi="Verdana" w:cs="Arial"/>
                <w:color w:val="000000"/>
                <w:sz w:val="17"/>
                <w:szCs w:val="17"/>
              </w:rPr>
              <w:t>1990</w:t>
            </w:r>
          </w:p>
        </w:tc>
      </w:tr>
      <w:tr w:rsidR="0082206A" w14:paraId="5B5A0E86" w14:textId="77777777" w:rsidTr="0082206A">
        <w:trPr>
          <w:tblCellSpacing w:w="0" w:type="dxa"/>
        </w:trPr>
        <w:tc>
          <w:tcPr>
            <w:tcW w:w="0" w:type="auto"/>
            <w:tcBorders>
              <w:top w:val="nil"/>
              <w:left w:val="nil"/>
              <w:bottom w:val="nil"/>
              <w:right w:val="nil"/>
            </w:tcBorders>
            <w:shd w:val="clear" w:color="auto" w:fill="EFEFEF"/>
            <w:tcMar>
              <w:top w:w="45" w:type="dxa"/>
              <w:left w:w="75" w:type="dxa"/>
              <w:bottom w:w="45" w:type="dxa"/>
              <w:right w:w="45" w:type="dxa"/>
            </w:tcMar>
            <w:hideMark/>
          </w:tcPr>
          <w:p w14:paraId="36B3151F" w14:textId="77777777" w:rsidR="0082206A" w:rsidRDefault="0082206A">
            <w:pPr>
              <w:spacing w:line="240" w:lineRule="auto"/>
              <w:rPr>
                <w:rFonts w:ascii="Arial" w:hAnsi="Arial" w:cs="Arial"/>
                <w:b/>
                <w:bCs/>
                <w:color w:val="336699"/>
                <w:sz w:val="17"/>
                <w:szCs w:val="17"/>
              </w:rPr>
            </w:pPr>
            <w:r>
              <w:rPr>
                <w:rFonts w:ascii="Arial" w:hAnsi="Arial" w:cs="Arial"/>
                <w:b/>
                <w:bCs/>
                <w:color w:val="336699"/>
                <w:sz w:val="17"/>
                <w:szCs w:val="17"/>
              </w:rPr>
              <w:t>Last Year</w:t>
            </w:r>
          </w:p>
        </w:tc>
        <w:tc>
          <w:tcPr>
            <w:tcW w:w="0" w:type="auto"/>
            <w:shd w:val="clear" w:color="auto" w:fill="FFFFFF"/>
            <w:tcMar>
              <w:top w:w="30" w:type="dxa"/>
              <w:left w:w="150" w:type="dxa"/>
              <w:bottom w:w="30" w:type="dxa"/>
              <w:right w:w="150" w:type="dxa"/>
            </w:tcMar>
            <w:vAlign w:val="center"/>
            <w:hideMark/>
          </w:tcPr>
          <w:p w14:paraId="0F3E128B" w14:textId="77777777" w:rsidR="0082206A" w:rsidRDefault="0082206A">
            <w:pPr>
              <w:spacing w:line="255" w:lineRule="atLeast"/>
              <w:rPr>
                <w:rFonts w:ascii="Verdana" w:hAnsi="Verdana" w:cs="Arial"/>
                <w:color w:val="000000"/>
                <w:sz w:val="17"/>
                <w:szCs w:val="17"/>
              </w:rPr>
            </w:pPr>
            <w:r>
              <w:rPr>
                <w:rFonts w:ascii="Verdana" w:hAnsi="Verdana" w:cs="Arial"/>
                <w:color w:val="000000"/>
                <w:sz w:val="17"/>
                <w:szCs w:val="17"/>
              </w:rPr>
              <w:t>2020</w:t>
            </w:r>
          </w:p>
        </w:tc>
      </w:tr>
      <w:tr w:rsidR="0082206A" w14:paraId="617EB422" w14:textId="77777777" w:rsidTr="0082206A">
        <w:trPr>
          <w:tblCellSpacing w:w="0" w:type="dxa"/>
        </w:trPr>
        <w:tc>
          <w:tcPr>
            <w:tcW w:w="0" w:type="auto"/>
            <w:tcBorders>
              <w:top w:val="nil"/>
              <w:left w:val="nil"/>
              <w:bottom w:val="nil"/>
              <w:right w:val="nil"/>
            </w:tcBorders>
            <w:shd w:val="clear" w:color="auto" w:fill="EFEFEF"/>
            <w:tcMar>
              <w:top w:w="45" w:type="dxa"/>
              <w:left w:w="75" w:type="dxa"/>
              <w:bottom w:w="45" w:type="dxa"/>
              <w:right w:w="45" w:type="dxa"/>
            </w:tcMar>
            <w:hideMark/>
          </w:tcPr>
          <w:p w14:paraId="28EC1514" w14:textId="77777777" w:rsidR="0082206A" w:rsidRDefault="0082206A">
            <w:pPr>
              <w:spacing w:line="240" w:lineRule="auto"/>
              <w:rPr>
                <w:rFonts w:ascii="Arial" w:hAnsi="Arial" w:cs="Arial"/>
                <w:b/>
                <w:bCs/>
                <w:color w:val="336699"/>
                <w:sz w:val="17"/>
                <w:szCs w:val="17"/>
              </w:rPr>
            </w:pPr>
            <w:r>
              <w:rPr>
                <w:rFonts w:ascii="Arial" w:hAnsi="Arial" w:cs="Arial"/>
                <w:b/>
                <w:bCs/>
                <w:color w:val="336699"/>
                <w:sz w:val="17"/>
                <w:szCs w:val="17"/>
              </w:rPr>
              <w:t>Frequency</w:t>
            </w:r>
          </w:p>
        </w:tc>
        <w:tc>
          <w:tcPr>
            <w:tcW w:w="0" w:type="auto"/>
            <w:shd w:val="clear" w:color="auto" w:fill="FFFFFF"/>
            <w:tcMar>
              <w:top w:w="30" w:type="dxa"/>
              <w:left w:w="150" w:type="dxa"/>
              <w:bottom w:w="30" w:type="dxa"/>
              <w:right w:w="150" w:type="dxa"/>
            </w:tcMar>
            <w:vAlign w:val="center"/>
            <w:hideMark/>
          </w:tcPr>
          <w:p w14:paraId="03F17769" w14:textId="77777777" w:rsidR="0082206A" w:rsidRDefault="0082206A">
            <w:pPr>
              <w:spacing w:line="255" w:lineRule="atLeast"/>
              <w:rPr>
                <w:rFonts w:ascii="Verdana" w:hAnsi="Verdana" w:cs="Arial"/>
                <w:color w:val="000000"/>
                <w:sz w:val="17"/>
                <w:szCs w:val="17"/>
              </w:rPr>
            </w:pPr>
            <w:r>
              <w:rPr>
                <w:rFonts w:ascii="Verdana" w:hAnsi="Verdana" w:cs="Arial"/>
                <w:color w:val="000000"/>
                <w:sz w:val="17"/>
                <w:szCs w:val="17"/>
              </w:rPr>
              <w:t>Monthly</w:t>
            </w:r>
          </w:p>
        </w:tc>
      </w:tr>
      <w:tr w:rsidR="0082206A" w14:paraId="6ADB9274" w14:textId="77777777" w:rsidTr="0082206A">
        <w:trPr>
          <w:tblCellSpacing w:w="0" w:type="dxa"/>
        </w:trPr>
        <w:tc>
          <w:tcPr>
            <w:tcW w:w="0" w:type="auto"/>
            <w:tcBorders>
              <w:top w:val="nil"/>
              <w:left w:val="nil"/>
              <w:bottom w:val="nil"/>
              <w:right w:val="nil"/>
            </w:tcBorders>
            <w:shd w:val="clear" w:color="auto" w:fill="EFEFEF"/>
            <w:tcMar>
              <w:top w:w="45" w:type="dxa"/>
              <w:left w:w="75" w:type="dxa"/>
              <w:bottom w:w="45" w:type="dxa"/>
              <w:right w:w="45" w:type="dxa"/>
            </w:tcMar>
            <w:hideMark/>
          </w:tcPr>
          <w:p w14:paraId="54D17702" w14:textId="77777777" w:rsidR="0082206A" w:rsidRDefault="0082206A">
            <w:pPr>
              <w:spacing w:line="240" w:lineRule="auto"/>
              <w:rPr>
                <w:rFonts w:ascii="Arial" w:hAnsi="Arial" w:cs="Arial"/>
                <w:b/>
                <w:bCs/>
                <w:color w:val="336699"/>
                <w:sz w:val="17"/>
                <w:szCs w:val="17"/>
              </w:rPr>
            </w:pPr>
            <w:r>
              <w:rPr>
                <w:rFonts w:ascii="Arial" w:hAnsi="Arial" w:cs="Arial"/>
                <w:b/>
                <w:bCs/>
                <w:color w:val="336699"/>
                <w:sz w:val="17"/>
                <w:szCs w:val="17"/>
              </w:rPr>
              <w:lastRenderedPageBreak/>
              <w:t>Latest Available Data</w:t>
            </w:r>
          </w:p>
        </w:tc>
        <w:tc>
          <w:tcPr>
            <w:tcW w:w="0" w:type="auto"/>
            <w:shd w:val="clear" w:color="auto" w:fill="FFFFFF"/>
            <w:tcMar>
              <w:top w:w="30" w:type="dxa"/>
              <w:left w:w="150" w:type="dxa"/>
              <w:bottom w:w="30" w:type="dxa"/>
              <w:right w:w="150" w:type="dxa"/>
            </w:tcMar>
            <w:vAlign w:val="center"/>
            <w:hideMark/>
          </w:tcPr>
          <w:p w14:paraId="02CF6ED5" w14:textId="77777777" w:rsidR="0082206A" w:rsidRDefault="0082206A">
            <w:pPr>
              <w:spacing w:line="255" w:lineRule="atLeast"/>
              <w:rPr>
                <w:rFonts w:ascii="Verdana" w:hAnsi="Verdana" w:cs="Arial"/>
                <w:color w:val="000000"/>
                <w:sz w:val="17"/>
                <w:szCs w:val="17"/>
              </w:rPr>
            </w:pPr>
            <w:r>
              <w:rPr>
                <w:rFonts w:ascii="Verdana" w:hAnsi="Verdana" w:cs="Arial"/>
                <w:color w:val="000000"/>
                <w:sz w:val="17"/>
                <w:szCs w:val="17"/>
              </w:rPr>
              <w:t>August, 2020</w:t>
            </w:r>
          </w:p>
        </w:tc>
      </w:tr>
      <w:tr w:rsidR="0082206A" w14:paraId="072E8D8F" w14:textId="77777777" w:rsidTr="0082206A">
        <w:trPr>
          <w:tblCellSpacing w:w="0" w:type="dxa"/>
        </w:trPr>
        <w:tc>
          <w:tcPr>
            <w:tcW w:w="0" w:type="auto"/>
            <w:tcBorders>
              <w:top w:val="nil"/>
              <w:left w:val="nil"/>
              <w:bottom w:val="nil"/>
              <w:right w:val="nil"/>
            </w:tcBorders>
            <w:shd w:val="clear" w:color="auto" w:fill="EFEFEF"/>
            <w:tcMar>
              <w:top w:w="45" w:type="dxa"/>
              <w:left w:w="75" w:type="dxa"/>
              <w:bottom w:w="45" w:type="dxa"/>
              <w:right w:w="45" w:type="dxa"/>
            </w:tcMar>
            <w:hideMark/>
          </w:tcPr>
          <w:p w14:paraId="048E6B60" w14:textId="77777777" w:rsidR="0082206A" w:rsidRDefault="0082206A">
            <w:pPr>
              <w:spacing w:line="240" w:lineRule="auto"/>
              <w:rPr>
                <w:rFonts w:ascii="Arial" w:hAnsi="Arial" w:cs="Arial"/>
                <w:b/>
                <w:bCs/>
                <w:color w:val="336699"/>
                <w:sz w:val="17"/>
                <w:szCs w:val="17"/>
              </w:rPr>
            </w:pPr>
            <w:r>
              <w:rPr>
                <w:rFonts w:ascii="Arial" w:hAnsi="Arial" w:cs="Arial"/>
                <w:b/>
                <w:bCs/>
                <w:color w:val="336699"/>
                <w:sz w:val="17"/>
                <w:szCs w:val="17"/>
              </w:rPr>
              <w:t> </w:t>
            </w:r>
          </w:p>
        </w:tc>
        <w:tc>
          <w:tcPr>
            <w:tcW w:w="0" w:type="auto"/>
            <w:shd w:val="clear" w:color="auto" w:fill="FFFFFF"/>
            <w:tcMar>
              <w:top w:w="30" w:type="dxa"/>
              <w:left w:w="150" w:type="dxa"/>
              <w:bottom w:w="30" w:type="dxa"/>
              <w:right w:w="150" w:type="dxa"/>
            </w:tcMar>
            <w:vAlign w:val="center"/>
            <w:hideMark/>
          </w:tcPr>
          <w:p w14:paraId="66B9F666" w14:textId="77777777" w:rsidR="0082206A" w:rsidRDefault="0082206A">
            <w:pPr>
              <w:spacing w:line="255" w:lineRule="atLeast"/>
              <w:rPr>
                <w:rFonts w:ascii="Verdana" w:hAnsi="Verdana" w:cs="Arial"/>
                <w:color w:val="000000"/>
                <w:sz w:val="17"/>
                <w:szCs w:val="17"/>
              </w:rPr>
            </w:pPr>
            <w:r>
              <w:rPr>
                <w:rFonts w:ascii="Verdana" w:hAnsi="Verdana" w:cs="Arial"/>
                <w:color w:val="000000"/>
                <w:sz w:val="17"/>
                <w:szCs w:val="17"/>
              </w:rPr>
              <w:t> </w:t>
            </w:r>
          </w:p>
        </w:tc>
      </w:tr>
      <w:tr w:rsidR="0082206A" w14:paraId="74E89A56" w14:textId="77777777" w:rsidTr="0082206A">
        <w:trPr>
          <w:trHeight w:val="270"/>
          <w:tblCellSpacing w:w="0" w:type="dxa"/>
        </w:trPr>
        <w:tc>
          <w:tcPr>
            <w:tcW w:w="0" w:type="auto"/>
            <w:tcBorders>
              <w:top w:val="nil"/>
              <w:left w:val="nil"/>
              <w:bottom w:val="nil"/>
              <w:right w:val="nil"/>
            </w:tcBorders>
            <w:shd w:val="clear" w:color="auto" w:fill="336699"/>
            <w:tcMar>
              <w:top w:w="30" w:type="dxa"/>
              <w:left w:w="75" w:type="dxa"/>
              <w:bottom w:w="30" w:type="dxa"/>
              <w:right w:w="30" w:type="dxa"/>
            </w:tcMar>
            <w:vAlign w:val="center"/>
            <w:hideMark/>
          </w:tcPr>
          <w:p w14:paraId="1FF96D02" w14:textId="77777777" w:rsidR="0082206A" w:rsidRDefault="0082206A">
            <w:pPr>
              <w:spacing w:line="240" w:lineRule="auto"/>
              <w:rPr>
                <w:rFonts w:ascii="Arial" w:hAnsi="Arial" w:cs="Arial"/>
                <w:b/>
                <w:bCs/>
                <w:color w:val="FFFFFF"/>
                <w:spacing w:val="3"/>
                <w:sz w:val="18"/>
                <w:szCs w:val="18"/>
              </w:rPr>
            </w:pPr>
            <w:bookmarkStart w:id="0" w:name="TermsDef"/>
            <w:bookmarkEnd w:id="0"/>
            <w:r>
              <w:rPr>
                <w:rFonts w:ascii="Arial" w:hAnsi="Arial" w:cs="Arial"/>
                <w:b/>
                <w:bCs/>
                <w:color w:val="FFFFFF"/>
                <w:spacing w:val="3"/>
                <w:sz w:val="18"/>
                <w:szCs w:val="18"/>
              </w:rPr>
              <w:t>Terms</w:t>
            </w:r>
          </w:p>
        </w:tc>
        <w:tc>
          <w:tcPr>
            <w:tcW w:w="0" w:type="auto"/>
            <w:tcBorders>
              <w:top w:val="nil"/>
              <w:left w:val="nil"/>
              <w:bottom w:val="nil"/>
              <w:right w:val="nil"/>
            </w:tcBorders>
            <w:shd w:val="clear" w:color="auto" w:fill="336699"/>
            <w:tcMar>
              <w:top w:w="30" w:type="dxa"/>
              <w:left w:w="75" w:type="dxa"/>
              <w:bottom w:w="30" w:type="dxa"/>
              <w:right w:w="30" w:type="dxa"/>
            </w:tcMar>
            <w:vAlign w:val="center"/>
            <w:hideMark/>
          </w:tcPr>
          <w:p w14:paraId="3ED7B932" w14:textId="77777777" w:rsidR="0082206A" w:rsidRDefault="0082206A">
            <w:pPr>
              <w:rPr>
                <w:rFonts w:ascii="Arial" w:hAnsi="Arial" w:cs="Arial"/>
                <w:b/>
                <w:bCs/>
                <w:color w:val="FFFFFF"/>
                <w:spacing w:val="3"/>
                <w:sz w:val="18"/>
                <w:szCs w:val="18"/>
              </w:rPr>
            </w:pPr>
            <w:r>
              <w:rPr>
                <w:rFonts w:ascii="Arial" w:hAnsi="Arial" w:cs="Arial"/>
                <w:b/>
                <w:bCs/>
                <w:color w:val="FFFFFF"/>
                <w:spacing w:val="3"/>
                <w:sz w:val="18"/>
                <w:szCs w:val="18"/>
              </w:rPr>
              <w:t>Definitions</w:t>
            </w:r>
          </w:p>
        </w:tc>
      </w:tr>
      <w:tr w:rsidR="0082206A" w14:paraId="5BC388B6" w14:textId="77777777" w:rsidTr="0082206A">
        <w:trPr>
          <w:trHeight w:val="330"/>
          <w:tblCellSpacing w:w="0" w:type="dxa"/>
        </w:trPr>
        <w:tc>
          <w:tcPr>
            <w:tcW w:w="0" w:type="auto"/>
            <w:tcBorders>
              <w:top w:val="nil"/>
              <w:left w:val="nil"/>
              <w:bottom w:val="single" w:sz="6" w:space="0" w:color="FFFFFF"/>
              <w:right w:val="nil"/>
            </w:tcBorders>
            <w:shd w:val="clear" w:color="auto" w:fill="FFFFFF"/>
            <w:tcMar>
              <w:top w:w="45" w:type="dxa"/>
              <w:left w:w="75" w:type="dxa"/>
              <w:bottom w:w="30" w:type="dxa"/>
              <w:right w:w="30" w:type="dxa"/>
            </w:tcMar>
            <w:hideMark/>
          </w:tcPr>
          <w:p w14:paraId="1A75DA05"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Air Freight</w:t>
            </w:r>
          </w:p>
        </w:tc>
        <w:tc>
          <w:tcPr>
            <w:tcW w:w="0" w:type="auto"/>
            <w:tcBorders>
              <w:top w:val="nil"/>
              <w:left w:val="nil"/>
              <w:bottom w:val="nil"/>
              <w:right w:val="nil"/>
            </w:tcBorders>
            <w:shd w:val="clear" w:color="auto" w:fill="FFFFFF"/>
            <w:tcMar>
              <w:top w:w="45" w:type="dxa"/>
              <w:left w:w="75" w:type="dxa"/>
              <w:bottom w:w="30" w:type="dxa"/>
              <w:right w:w="30" w:type="dxa"/>
            </w:tcMar>
            <w:hideMark/>
          </w:tcPr>
          <w:p w14:paraId="3639A033"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Property, other than express and passenger baggage transported by air.</w:t>
            </w:r>
          </w:p>
        </w:tc>
      </w:tr>
      <w:tr w:rsidR="0082206A" w14:paraId="2B0C38D7" w14:textId="77777777" w:rsidTr="0082206A">
        <w:trPr>
          <w:trHeight w:val="330"/>
          <w:tblCellSpacing w:w="0" w:type="dxa"/>
        </w:trPr>
        <w:tc>
          <w:tcPr>
            <w:tcW w:w="0" w:type="auto"/>
            <w:tcBorders>
              <w:top w:val="nil"/>
              <w:left w:val="nil"/>
              <w:bottom w:val="single" w:sz="6" w:space="0" w:color="FFFFFF"/>
              <w:right w:val="nil"/>
            </w:tcBorders>
            <w:shd w:val="clear" w:color="auto" w:fill="EFEFEF"/>
            <w:tcMar>
              <w:top w:w="45" w:type="dxa"/>
              <w:left w:w="75" w:type="dxa"/>
              <w:bottom w:w="30" w:type="dxa"/>
              <w:right w:w="30" w:type="dxa"/>
            </w:tcMar>
            <w:hideMark/>
          </w:tcPr>
          <w:p w14:paraId="77609331"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Airline ID</w:t>
            </w:r>
          </w:p>
        </w:tc>
        <w:tc>
          <w:tcPr>
            <w:tcW w:w="0" w:type="auto"/>
            <w:tcBorders>
              <w:top w:val="nil"/>
              <w:left w:val="nil"/>
              <w:bottom w:val="nil"/>
              <w:right w:val="nil"/>
            </w:tcBorders>
            <w:shd w:val="clear" w:color="auto" w:fill="EFEFEF"/>
            <w:tcMar>
              <w:top w:w="45" w:type="dxa"/>
              <w:left w:w="75" w:type="dxa"/>
              <w:bottom w:w="30" w:type="dxa"/>
              <w:right w:w="30" w:type="dxa"/>
            </w:tcMar>
            <w:hideMark/>
          </w:tcPr>
          <w:p w14:paraId="4EFBC047"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An identification number assigned by US DOT to identify a unique airline (carrier). A unique airline (carrier) is defined as one holding and reporting under the same DOT certificate regardless of its Code, Name, or holding company/corporation. Use this field for analysis across a range of years.</w:t>
            </w:r>
          </w:p>
        </w:tc>
      </w:tr>
      <w:tr w:rsidR="0082206A" w14:paraId="4F02F2C9" w14:textId="77777777" w:rsidTr="0082206A">
        <w:trPr>
          <w:trHeight w:val="330"/>
          <w:tblCellSpacing w:w="0" w:type="dxa"/>
        </w:trPr>
        <w:tc>
          <w:tcPr>
            <w:tcW w:w="0" w:type="auto"/>
            <w:tcBorders>
              <w:top w:val="nil"/>
              <w:left w:val="nil"/>
              <w:bottom w:val="single" w:sz="6" w:space="0" w:color="FFFFFF"/>
              <w:right w:val="nil"/>
            </w:tcBorders>
            <w:shd w:val="clear" w:color="auto" w:fill="FFFFFF"/>
            <w:tcMar>
              <w:top w:w="45" w:type="dxa"/>
              <w:left w:w="75" w:type="dxa"/>
              <w:bottom w:w="30" w:type="dxa"/>
              <w:right w:w="30" w:type="dxa"/>
            </w:tcMar>
            <w:hideMark/>
          </w:tcPr>
          <w:p w14:paraId="0EED49CE"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Airport Code</w:t>
            </w:r>
          </w:p>
        </w:tc>
        <w:tc>
          <w:tcPr>
            <w:tcW w:w="0" w:type="auto"/>
            <w:tcBorders>
              <w:top w:val="nil"/>
              <w:left w:val="nil"/>
              <w:bottom w:val="nil"/>
              <w:right w:val="nil"/>
            </w:tcBorders>
            <w:shd w:val="clear" w:color="auto" w:fill="FFFFFF"/>
            <w:tcMar>
              <w:top w:w="45" w:type="dxa"/>
              <w:left w:w="75" w:type="dxa"/>
              <w:bottom w:w="30" w:type="dxa"/>
              <w:right w:w="30" w:type="dxa"/>
            </w:tcMar>
            <w:hideMark/>
          </w:tcPr>
          <w:p w14:paraId="40351211"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A three character alpha-numeric code issued by the U.S. Department of Transportation which is the official designation of the airport. The airport code is not always unique to a specific airport because airport codes can change or can be reused.</w:t>
            </w:r>
          </w:p>
        </w:tc>
      </w:tr>
      <w:tr w:rsidR="0082206A" w14:paraId="2A12A32F" w14:textId="77777777" w:rsidTr="0082206A">
        <w:trPr>
          <w:trHeight w:val="330"/>
          <w:tblCellSpacing w:w="0" w:type="dxa"/>
        </w:trPr>
        <w:tc>
          <w:tcPr>
            <w:tcW w:w="0" w:type="auto"/>
            <w:tcBorders>
              <w:top w:val="nil"/>
              <w:left w:val="nil"/>
              <w:bottom w:val="single" w:sz="6" w:space="0" w:color="FFFFFF"/>
              <w:right w:val="nil"/>
            </w:tcBorders>
            <w:shd w:val="clear" w:color="auto" w:fill="EFEFEF"/>
            <w:tcMar>
              <w:top w:w="45" w:type="dxa"/>
              <w:left w:w="75" w:type="dxa"/>
              <w:bottom w:w="30" w:type="dxa"/>
              <w:right w:w="30" w:type="dxa"/>
            </w:tcMar>
            <w:hideMark/>
          </w:tcPr>
          <w:p w14:paraId="3F28F657"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Airport ID</w:t>
            </w:r>
          </w:p>
        </w:tc>
        <w:tc>
          <w:tcPr>
            <w:tcW w:w="0" w:type="auto"/>
            <w:tcBorders>
              <w:top w:val="nil"/>
              <w:left w:val="nil"/>
              <w:bottom w:val="nil"/>
              <w:right w:val="nil"/>
            </w:tcBorders>
            <w:shd w:val="clear" w:color="auto" w:fill="EFEFEF"/>
            <w:tcMar>
              <w:top w:w="45" w:type="dxa"/>
              <w:left w:w="75" w:type="dxa"/>
              <w:bottom w:w="30" w:type="dxa"/>
              <w:right w:w="30" w:type="dxa"/>
            </w:tcMar>
            <w:hideMark/>
          </w:tcPr>
          <w:p w14:paraId="217F41F9"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An identification number assigned by US DOT to identify a unique airport. Use this field for airport analysis across a range of years because an airport can change its airport code and airport codes can be reused.</w:t>
            </w:r>
          </w:p>
        </w:tc>
      </w:tr>
      <w:tr w:rsidR="0082206A" w14:paraId="72337E59" w14:textId="77777777" w:rsidTr="0082206A">
        <w:trPr>
          <w:trHeight w:val="330"/>
          <w:tblCellSpacing w:w="0" w:type="dxa"/>
        </w:trPr>
        <w:tc>
          <w:tcPr>
            <w:tcW w:w="0" w:type="auto"/>
            <w:tcBorders>
              <w:top w:val="nil"/>
              <w:left w:val="nil"/>
              <w:bottom w:val="single" w:sz="6" w:space="0" w:color="FFFFFF"/>
              <w:right w:val="nil"/>
            </w:tcBorders>
            <w:shd w:val="clear" w:color="auto" w:fill="FFFFFF"/>
            <w:tcMar>
              <w:top w:w="45" w:type="dxa"/>
              <w:left w:w="75" w:type="dxa"/>
              <w:bottom w:w="30" w:type="dxa"/>
              <w:right w:w="30" w:type="dxa"/>
            </w:tcMar>
            <w:hideMark/>
          </w:tcPr>
          <w:p w14:paraId="280AFE9E"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Carrier Code</w:t>
            </w:r>
          </w:p>
        </w:tc>
        <w:tc>
          <w:tcPr>
            <w:tcW w:w="0" w:type="auto"/>
            <w:tcBorders>
              <w:top w:val="nil"/>
              <w:left w:val="nil"/>
              <w:bottom w:val="nil"/>
              <w:right w:val="nil"/>
            </w:tcBorders>
            <w:shd w:val="clear" w:color="auto" w:fill="FFFFFF"/>
            <w:tcMar>
              <w:top w:w="45" w:type="dxa"/>
              <w:left w:w="75" w:type="dxa"/>
              <w:bottom w:w="30" w:type="dxa"/>
              <w:right w:w="30" w:type="dxa"/>
            </w:tcMar>
            <w:hideMark/>
          </w:tcPr>
          <w:p w14:paraId="48D6C43F"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Code assigned by IATA and commonly used to identify a carrier. As the same code may have been assigned to different carriers over time, the code is not always unique.</w:t>
            </w:r>
          </w:p>
        </w:tc>
      </w:tr>
      <w:tr w:rsidR="0082206A" w14:paraId="67035416" w14:textId="77777777" w:rsidTr="0082206A">
        <w:trPr>
          <w:trHeight w:val="330"/>
          <w:tblCellSpacing w:w="0" w:type="dxa"/>
        </w:trPr>
        <w:tc>
          <w:tcPr>
            <w:tcW w:w="0" w:type="auto"/>
            <w:tcBorders>
              <w:top w:val="nil"/>
              <w:left w:val="nil"/>
              <w:bottom w:val="single" w:sz="6" w:space="0" w:color="FFFFFF"/>
              <w:right w:val="nil"/>
            </w:tcBorders>
            <w:shd w:val="clear" w:color="auto" w:fill="EFEFEF"/>
            <w:tcMar>
              <w:top w:w="45" w:type="dxa"/>
              <w:left w:w="75" w:type="dxa"/>
              <w:bottom w:w="30" w:type="dxa"/>
              <w:right w:w="30" w:type="dxa"/>
            </w:tcMar>
            <w:hideMark/>
          </w:tcPr>
          <w:p w14:paraId="3C8317E4"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City Market ID</w:t>
            </w:r>
          </w:p>
        </w:tc>
        <w:tc>
          <w:tcPr>
            <w:tcW w:w="0" w:type="auto"/>
            <w:tcBorders>
              <w:top w:val="nil"/>
              <w:left w:val="nil"/>
              <w:bottom w:val="nil"/>
              <w:right w:val="nil"/>
            </w:tcBorders>
            <w:shd w:val="clear" w:color="auto" w:fill="EFEFEF"/>
            <w:tcMar>
              <w:top w:w="45" w:type="dxa"/>
              <w:left w:w="75" w:type="dxa"/>
              <w:bottom w:w="30" w:type="dxa"/>
              <w:right w:w="30" w:type="dxa"/>
            </w:tcMar>
            <w:hideMark/>
          </w:tcPr>
          <w:p w14:paraId="0C384D8A"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An identification number assigned by US DOT to identify a city market. Use this field to consolidate airports serving the same city market.</w:t>
            </w:r>
          </w:p>
        </w:tc>
      </w:tr>
      <w:tr w:rsidR="0082206A" w14:paraId="57AC9F01" w14:textId="77777777" w:rsidTr="0082206A">
        <w:trPr>
          <w:trHeight w:val="330"/>
          <w:tblCellSpacing w:w="0" w:type="dxa"/>
        </w:trPr>
        <w:tc>
          <w:tcPr>
            <w:tcW w:w="0" w:type="auto"/>
            <w:tcBorders>
              <w:top w:val="nil"/>
              <w:left w:val="nil"/>
              <w:bottom w:val="single" w:sz="6" w:space="0" w:color="FFFFFF"/>
              <w:right w:val="nil"/>
            </w:tcBorders>
            <w:shd w:val="clear" w:color="auto" w:fill="FFFFFF"/>
            <w:tcMar>
              <w:top w:w="45" w:type="dxa"/>
              <w:left w:w="75" w:type="dxa"/>
              <w:bottom w:w="30" w:type="dxa"/>
              <w:right w:w="30" w:type="dxa"/>
            </w:tcMar>
            <w:hideMark/>
          </w:tcPr>
          <w:p w14:paraId="05BDCF99"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Destination State FIPS</w:t>
            </w:r>
          </w:p>
        </w:tc>
        <w:tc>
          <w:tcPr>
            <w:tcW w:w="0" w:type="auto"/>
            <w:tcBorders>
              <w:top w:val="nil"/>
              <w:left w:val="nil"/>
              <w:bottom w:val="nil"/>
              <w:right w:val="nil"/>
            </w:tcBorders>
            <w:shd w:val="clear" w:color="auto" w:fill="FFFFFF"/>
            <w:tcMar>
              <w:top w:w="45" w:type="dxa"/>
              <w:left w:w="75" w:type="dxa"/>
              <w:bottom w:w="30" w:type="dxa"/>
              <w:right w:w="30" w:type="dxa"/>
            </w:tcMar>
            <w:hideMark/>
          </w:tcPr>
          <w:p w14:paraId="5DD1E0DE"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The FIPS code for the destination state. (see FIPS)</w:t>
            </w:r>
          </w:p>
        </w:tc>
      </w:tr>
      <w:tr w:rsidR="0082206A" w14:paraId="03C4540C" w14:textId="77777777" w:rsidTr="0082206A">
        <w:trPr>
          <w:trHeight w:val="330"/>
          <w:tblCellSpacing w:w="0" w:type="dxa"/>
        </w:trPr>
        <w:tc>
          <w:tcPr>
            <w:tcW w:w="0" w:type="auto"/>
            <w:tcBorders>
              <w:top w:val="nil"/>
              <w:left w:val="nil"/>
              <w:bottom w:val="single" w:sz="6" w:space="0" w:color="FFFFFF"/>
              <w:right w:val="nil"/>
            </w:tcBorders>
            <w:shd w:val="clear" w:color="auto" w:fill="EFEFEF"/>
            <w:tcMar>
              <w:top w:w="45" w:type="dxa"/>
              <w:left w:w="75" w:type="dxa"/>
              <w:bottom w:w="30" w:type="dxa"/>
              <w:right w:w="30" w:type="dxa"/>
            </w:tcMar>
            <w:hideMark/>
          </w:tcPr>
          <w:p w14:paraId="145CDAF5"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FIPS</w:t>
            </w:r>
          </w:p>
        </w:tc>
        <w:tc>
          <w:tcPr>
            <w:tcW w:w="0" w:type="auto"/>
            <w:tcBorders>
              <w:top w:val="nil"/>
              <w:left w:val="nil"/>
              <w:bottom w:val="nil"/>
              <w:right w:val="nil"/>
            </w:tcBorders>
            <w:shd w:val="clear" w:color="auto" w:fill="EFEFEF"/>
            <w:tcMar>
              <w:top w:w="45" w:type="dxa"/>
              <w:left w:w="75" w:type="dxa"/>
              <w:bottom w:w="30" w:type="dxa"/>
              <w:right w:w="30" w:type="dxa"/>
            </w:tcMar>
            <w:hideMark/>
          </w:tcPr>
          <w:p w14:paraId="4948AA91"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Federal Information Processing Standards. Usually referring to a code assigned to any of a variety of geographic entities (e.g. counties, states, metropolitan areas, etc). FIPS codes are intended to simplify the collection, processing, and dissemination of data and resources of the Federal Government.</w:t>
            </w:r>
          </w:p>
        </w:tc>
      </w:tr>
      <w:tr w:rsidR="0082206A" w14:paraId="5E8FB57C" w14:textId="77777777" w:rsidTr="0082206A">
        <w:trPr>
          <w:trHeight w:val="330"/>
          <w:tblCellSpacing w:w="0" w:type="dxa"/>
        </w:trPr>
        <w:tc>
          <w:tcPr>
            <w:tcW w:w="0" w:type="auto"/>
            <w:tcBorders>
              <w:top w:val="nil"/>
              <w:left w:val="nil"/>
              <w:bottom w:val="single" w:sz="6" w:space="0" w:color="FFFFFF"/>
              <w:right w:val="nil"/>
            </w:tcBorders>
            <w:shd w:val="clear" w:color="auto" w:fill="FFFFFF"/>
            <w:tcMar>
              <w:top w:w="45" w:type="dxa"/>
              <w:left w:w="75" w:type="dxa"/>
              <w:bottom w:w="30" w:type="dxa"/>
              <w:right w:w="30" w:type="dxa"/>
            </w:tcMar>
            <w:hideMark/>
          </w:tcPr>
          <w:p w14:paraId="1DD8FBE5"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Market (Using T100 Data)</w:t>
            </w:r>
          </w:p>
        </w:tc>
        <w:tc>
          <w:tcPr>
            <w:tcW w:w="0" w:type="auto"/>
            <w:tcBorders>
              <w:top w:val="nil"/>
              <w:left w:val="nil"/>
              <w:bottom w:val="nil"/>
              <w:right w:val="nil"/>
            </w:tcBorders>
            <w:shd w:val="clear" w:color="auto" w:fill="FFFFFF"/>
            <w:tcMar>
              <w:top w:w="45" w:type="dxa"/>
              <w:left w:w="75" w:type="dxa"/>
              <w:bottom w:w="30" w:type="dxa"/>
              <w:right w:w="30" w:type="dxa"/>
            </w:tcMar>
            <w:hideMark/>
          </w:tcPr>
          <w:p w14:paraId="28444820"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Market data are passenger, freight, and/or mail that enplane and deplane between two specific points, while the flight number remains the same. If the flight number changes a new market begins. For more details go to </w:t>
            </w:r>
            <w:hyperlink r:id="rId10" w:history="1">
              <w:r>
                <w:rPr>
                  <w:rStyle w:val="Hyperlink"/>
                  <w:rFonts w:ascii="Verdana" w:hAnsi="Verdana" w:cs="Arial"/>
                  <w:spacing w:val="-8"/>
                  <w:sz w:val="16"/>
                  <w:szCs w:val="16"/>
                  <w:u w:val="none"/>
                </w:rPr>
                <w:t>Frequently Asked Questions.</w:t>
              </w:r>
            </w:hyperlink>
          </w:p>
        </w:tc>
      </w:tr>
      <w:tr w:rsidR="0082206A" w14:paraId="5531F60A" w14:textId="77777777" w:rsidTr="0082206A">
        <w:trPr>
          <w:trHeight w:val="330"/>
          <w:tblCellSpacing w:w="0" w:type="dxa"/>
        </w:trPr>
        <w:tc>
          <w:tcPr>
            <w:tcW w:w="0" w:type="auto"/>
            <w:tcBorders>
              <w:top w:val="nil"/>
              <w:left w:val="nil"/>
              <w:bottom w:val="single" w:sz="6" w:space="0" w:color="FFFFFF"/>
              <w:right w:val="nil"/>
            </w:tcBorders>
            <w:shd w:val="clear" w:color="auto" w:fill="EFEFEF"/>
            <w:tcMar>
              <w:top w:w="45" w:type="dxa"/>
              <w:left w:w="75" w:type="dxa"/>
              <w:bottom w:w="30" w:type="dxa"/>
              <w:right w:w="30" w:type="dxa"/>
            </w:tcMar>
            <w:hideMark/>
          </w:tcPr>
          <w:p w14:paraId="4A324949"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Mile</w:t>
            </w:r>
          </w:p>
        </w:tc>
        <w:tc>
          <w:tcPr>
            <w:tcW w:w="0" w:type="auto"/>
            <w:tcBorders>
              <w:top w:val="nil"/>
              <w:left w:val="nil"/>
              <w:bottom w:val="nil"/>
              <w:right w:val="nil"/>
            </w:tcBorders>
            <w:shd w:val="clear" w:color="auto" w:fill="EFEFEF"/>
            <w:tcMar>
              <w:top w:w="45" w:type="dxa"/>
              <w:left w:w="75" w:type="dxa"/>
              <w:bottom w:w="30" w:type="dxa"/>
              <w:right w:w="30" w:type="dxa"/>
            </w:tcMar>
            <w:hideMark/>
          </w:tcPr>
          <w:p w14:paraId="06325D4D"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A statute mile (5,280 feet). All mileage computations are based on statute miles.</w:t>
            </w:r>
          </w:p>
        </w:tc>
      </w:tr>
      <w:tr w:rsidR="0082206A" w14:paraId="77B19796" w14:textId="77777777" w:rsidTr="0082206A">
        <w:trPr>
          <w:trHeight w:val="330"/>
          <w:tblCellSpacing w:w="0" w:type="dxa"/>
        </w:trPr>
        <w:tc>
          <w:tcPr>
            <w:tcW w:w="0" w:type="auto"/>
            <w:tcBorders>
              <w:top w:val="nil"/>
              <w:left w:val="nil"/>
              <w:bottom w:val="single" w:sz="6" w:space="0" w:color="FFFFFF"/>
              <w:right w:val="nil"/>
            </w:tcBorders>
            <w:shd w:val="clear" w:color="auto" w:fill="FFFFFF"/>
            <w:tcMar>
              <w:top w:w="45" w:type="dxa"/>
              <w:left w:w="75" w:type="dxa"/>
              <w:bottom w:w="30" w:type="dxa"/>
              <w:right w:w="30" w:type="dxa"/>
            </w:tcMar>
            <w:hideMark/>
          </w:tcPr>
          <w:p w14:paraId="78B8B7C5"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Origin State FIPS</w:t>
            </w:r>
          </w:p>
        </w:tc>
        <w:tc>
          <w:tcPr>
            <w:tcW w:w="0" w:type="auto"/>
            <w:tcBorders>
              <w:top w:val="nil"/>
              <w:left w:val="nil"/>
              <w:bottom w:val="nil"/>
              <w:right w:val="nil"/>
            </w:tcBorders>
            <w:shd w:val="clear" w:color="auto" w:fill="FFFFFF"/>
            <w:tcMar>
              <w:top w:w="45" w:type="dxa"/>
              <w:left w:w="75" w:type="dxa"/>
              <w:bottom w:w="30" w:type="dxa"/>
              <w:right w:w="30" w:type="dxa"/>
            </w:tcMar>
            <w:hideMark/>
          </w:tcPr>
          <w:p w14:paraId="616EEE1C"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The FIPS code for the origin state. (see FIPS)</w:t>
            </w:r>
          </w:p>
        </w:tc>
      </w:tr>
      <w:tr w:rsidR="0082206A" w14:paraId="5C9017DF" w14:textId="77777777" w:rsidTr="0082206A">
        <w:trPr>
          <w:trHeight w:val="330"/>
          <w:tblCellSpacing w:w="0" w:type="dxa"/>
        </w:trPr>
        <w:tc>
          <w:tcPr>
            <w:tcW w:w="0" w:type="auto"/>
            <w:tcBorders>
              <w:top w:val="nil"/>
              <w:left w:val="nil"/>
              <w:bottom w:val="single" w:sz="6" w:space="0" w:color="FFFFFF"/>
              <w:right w:val="nil"/>
            </w:tcBorders>
            <w:shd w:val="clear" w:color="auto" w:fill="EFEFEF"/>
            <w:tcMar>
              <w:top w:w="45" w:type="dxa"/>
              <w:left w:w="75" w:type="dxa"/>
              <w:bottom w:w="30" w:type="dxa"/>
              <w:right w:w="30" w:type="dxa"/>
            </w:tcMar>
            <w:hideMark/>
          </w:tcPr>
          <w:p w14:paraId="73115983"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Passenger</w:t>
            </w:r>
          </w:p>
        </w:tc>
        <w:tc>
          <w:tcPr>
            <w:tcW w:w="0" w:type="auto"/>
            <w:tcBorders>
              <w:top w:val="nil"/>
              <w:left w:val="nil"/>
              <w:bottom w:val="nil"/>
              <w:right w:val="nil"/>
            </w:tcBorders>
            <w:shd w:val="clear" w:color="auto" w:fill="EFEFEF"/>
            <w:tcMar>
              <w:top w:w="45" w:type="dxa"/>
              <w:left w:w="75" w:type="dxa"/>
              <w:bottom w:w="30" w:type="dxa"/>
              <w:right w:w="30" w:type="dxa"/>
            </w:tcMar>
            <w:hideMark/>
          </w:tcPr>
          <w:p w14:paraId="7BA3F8E3"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Any person on board a flight who is not a member of the flight or cabin crew.</w:t>
            </w:r>
          </w:p>
        </w:tc>
      </w:tr>
      <w:tr w:rsidR="0082206A" w14:paraId="7B86BFDA" w14:textId="77777777" w:rsidTr="0082206A">
        <w:trPr>
          <w:trHeight w:val="330"/>
          <w:tblCellSpacing w:w="0" w:type="dxa"/>
        </w:trPr>
        <w:tc>
          <w:tcPr>
            <w:tcW w:w="0" w:type="auto"/>
            <w:tcBorders>
              <w:top w:val="nil"/>
              <w:left w:val="nil"/>
              <w:bottom w:val="single" w:sz="6" w:space="0" w:color="FFFFFF"/>
              <w:right w:val="nil"/>
            </w:tcBorders>
            <w:shd w:val="clear" w:color="auto" w:fill="FFFFFF"/>
            <w:tcMar>
              <w:top w:w="45" w:type="dxa"/>
              <w:left w:w="75" w:type="dxa"/>
              <w:bottom w:w="30" w:type="dxa"/>
              <w:right w:w="30" w:type="dxa"/>
            </w:tcMar>
            <w:hideMark/>
          </w:tcPr>
          <w:p w14:paraId="1EF0A626"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Revenue</w:t>
            </w:r>
          </w:p>
        </w:tc>
        <w:tc>
          <w:tcPr>
            <w:tcW w:w="0" w:type="auto"/>
            <w:tcBorders>
              <w:top w:val="nil"/>
              <w:left w:val="nil"/>
              <w:bottom w:val="nil"/>
              <w:right w:val="nil"/>
            </w:tcBorders>
            <w:shd w:val="clear" w:color="auto" w:fill="FFFFFF"/>
            <w:tcMar>
              <w:top w:w="45" w:type="dxa"/>
              <w:left w:w="75" w:type="dxa"/>
              <w:bottom w:w="30" w:type="dxa"/>
              <w:right w:w="30" w:type="dxa"/>
            </w:tcMar>
            <w:hideMark/>
          </w:tcPr>
          <w:p w14:paraId="1122B502"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Pertaining to activities for which remuneration is received by the carrier.</w:t>
            </w:r>
          </w:p>
        </w:tc>
      </w:tr>
      <w:tr w:rsidR="0082206A" w14:paraId="793DFE0A" w14:textId="77777777" w:rsidTr="0082206A">
        <w:trPr>
          <w:trHeight w:val="330"/>
          <w:tblCellSpacing w:w="0" w:type="dxa"/>
        </w:trPr>
        <w:tc>
          <w:tcPr>
            <w:tcW w:w="0" w:type="auto"/>
            <w:tcBorders>
              <w:top w:val="nil"/>
              <w:left w:val="nil"/>
              <w:bottom w:val="single" w:sz="6" w:space="0" w:color="FFFFFF"/>
              <w:right w:val="nil"/>
            </w:tcBorders>
            <w:shd w:val="clear" w:color="auto" w:fill="EFEFEF"/>
            <w:tcMar>
              <w:top w:w="45" w:type="dxa"/>
              <w:left w:w="75" w:type="dxa"/>
              <w:bottom w:w="30" w:type="dxa"/>
              <w:right w:w="30" w:type="dxa"/>
            </w:tcMar>
            <w:hideMark/>
          </w:tcPr>
          <w:p w14:paraId="7B7AFBE3"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Unique Carrier</w:t>
            </w:r>
          </w:p>
        </w:tc>
        <w:tc>
          <w:tcPr>
            <w:tcW w:w="0" w:type="auto"/>
            <w:tcBorders>
              <w:top w:val="nil"/>
              <w:left w:val="nil"/>
              <w:bottom w:val="nil"/>
              <w:right w:val="nil"/>
            </w:tcBorders>
            <w:shd w:val="clear" w:color="auto" w:fill="EFEFEF"/>
            <w:tcMar>
              <w:top w:w="45" w:type="dxa"/>
              <w:left w:w="75" w:type="dxa"/>
              <w:bottom w:w="30" w:type="dxa"/>
              <w:right w:w="30" w:type="dxa"/>
            </w:tcMar>
            <w:hideMark/>
          </w:tcPr>
          <w:p w14:paraId="381E30AC"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Unique Carrier Code. It is the Carrier Code most recently used by a carrier. A numeric suffix is used to distinguish duplicate codes, for example, PA, PA (1), PA (2). Use this field to perform analysis of data reported by one and only one carrier.</w:t>
            </w:r>
          </w:p>
        </w:tc>
      </w:tr>
      <w:tr w:rsidR="0082206A" w14:paraId="64D6B37C" w14:textId="77777777" w:rsidTr="0082206A">
        <w:trPr>
          <w:trHeight w:val="330"/>
          <w:tblCellSpacing w:w="0" w:type="dxa"/>
        </w:trPr>
        <w:tc>
          <w:tcPr>
            <w:tcW w:w="0" w:type="auto"/>
            <w:tcBorders>
              <w:top w:val="nil"/>
              <w:left w:val="nil"/>
              <w:bottom w:val="single" w:sz="6" w:space="0" w:color="FFFFFF"/>
              <w:right w:val="nil"/>
            </w:tcBorders>
            <w:shd w:val="clear" w:color="auto" w:fill="FFFFFF"/>
            <w:tcMar>
              <w:top w:w="45" w:type="dxa"/>
              <w:left w:w="75" w:type="dxa"/>
              <w:bottom w:w="30" w:type="dxa"/>
              <w:right w:w="30" w:type="dxa"/>
            </w:tcMar>
            <w:hideMark/>
          </w:tcPr>
          <w:p w14:paraId="5A47B161"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Unique Carrier Entity</w:t>
            </w:r>
          </w:p>
        </w:tc>
        <w:tc>
          <w:tcPr>
            <w:tcW w:w="0" w:type="auto"/>
            <w:tcBorders>
              <w:top w:val="nil"/>
              <w:left w:val="nil"/>
              <w:bottom w:val="nil"/>
              <w:right w:val="nil"/>
            </w:tcBorders>
            <w:shd w:val="clear" w:color="auto" w:fill="FFFFFF"/>
            <w:tcMar>
              <w:top w:w="45" w:type="dxa"/>
              <w:left w:w="75" w:type="dxa"/>
              <w:bottom w:w="30" w:type="dxa"/>
              <w:right w:w="30" w:type="dxa"/>
            </w:tcMar>
            <w:hideMark/>
          </w:tcPr>
          <w:p w14:paraId="0B6CB7E0"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Unique Carrier Entity. This field distinguishes entities used by two or more carriers with a numeric suffix, for example, 06038 and 06038 (1).</w:t>
            </w:r>
          </w:p>
        </w:tc>
      </w:tr>
      <w:tr w:rsidR="0082206A" w14:paraId="4CBF9967" w14:textId="77777777" w:rsidTr="0082206A">
        <w:trPr>
          <w:trHeight w:val="330"/>
          <w:tblCellSpacing w:w="0" w:type="dxa"/>
        </w:trPr>
        <w:tc>
          <w:tcPr>
            <w:tcW w:w="0" w:type="auto"/>
            <w:tcBorders>
              <w:top w:val="nil"/>
              <w:left w:val="nil"/>
              <w:bottom w:val="single" w:sz="6" w:space="0" w:color="FFFFFF"/>
              <w:right w:val="nil"/>
            </w:tcBorders>
            <w:shd w:val="clear" w:color="auto" w:fill="EFEFEF"/>
            <w:tcMar>
              <w:top w:w="45" w:type="dxa"/>
              <w:left w:w="75" w:type="dxa"/>
              <w:bottom w:w="30" w:type="dxa"/>
              <w:right w:w="30" w:type="dxa"/>
            </w:tcMar>
            <w:hideMark/>
          </w:tcPr>
          <w:p w14:paraId="1BB09535"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Unique Carrier Name</w:t>
            </w:r>
          </w:p>
        </w:tc>
        <w:tc>
          <w:tcPr>
            <w:tcW w:w="0" w:type="auto"/>
            <w:tcBorders>
              <w:top w:val="nil"/>
              <w:left w:val="nil"/>
              <w:bottom w:val="nil"/>
              <w:right w:val="nil"/>
            </w:tcBorders>
            <w:shd w:val="clear" w:color="auto" w:fill="EFEFEF"/>
            <w:tcMar>
              <w:top w:w="45" w:type="dxa"/>
              <w:left w:w="75" w:type="dxa"/>
              <w:bottom w:w="30" w:type="dxa"/>
              <w:right w:w="30" w:type="dxa"/>
            </w:tcMar>
            <w:hideMark/>
          </w:tcPr>
          <w:p w14:paraId="6058E114"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Unique Carrier Name. It is the name most recently used by a carrier. If two or more carriers have the same most recent name, a numeric suffix is used to distinguish them, for example, Air Caribbean, Air Caribbean (1).</w:t>
            </w:r>
          </w:p>
        </w:tc>
      </w:tr>
      <w:tr w:rsidR="0082206A" w14:paraId="108F0B21" w14:textId="77777777" w:rsidTr="0082206A">
        <w:trPr>
          <w:trHeight w:val="330"/>
          <w:tblCellSpacing w:w="0" w:type="dxa"/>
        </w:trPr>
        <w:tc>
          <w:tcPr>
            <w:tcW w:w="0" w:type="auto"/>
            <w:tcBorders>
              <w:top w:val="nil"/>
              <w:left w:val="nil"/>
              <w:bottom w:val="single" w:sz="6" w:space="0" w:color="FFFFFF"/>
              <w:right w:val="nil"/>
            </w:tcBorders>
            <w:shd w:val="clear" w:color="auto" w:fill="FFFFFF"/>
            <w:tcMar>
              <w:top w:w="45" w:type="dxa"/>
              <w:left w:w="75" w:type="dxa"/>
              <w:bottom w:w="30" w:type="dxa"/>
              <w:right w:w="30" w:type="dxa"/>
            </w:tcMar>
            <w:hideMark/>
          </w:tcPr>
          <w:p w14:paraId="6D6CD5CA" w14:textId="77777777" w:rsidR="0082206A" w:rsidRDefault="0082206A">
            <w:pPr>
              <w:rPr>
                <w:rFonts w:ascii="Verdana" w:hAnsi="Verdana" w:cs="Arial"/>
                <w:b/>
                <w:bCs/>
                <w:color w:val="000000"/>
                <w:spacing w:val="-8"/>
                <w:sz w:val="14"/>
                <w:szCs w:val="14"/>
              </w:rPr>
            </w:pPr>
            <w:r>
              <w:rPr>
                <w:rFonts w:ascii="Verdana" w:hAnsi="Verdana" w:cs="Arial"/>
                <w:b/>
                <w:bCs/>
                <w:color w:val="000000"/>
                <w:spacing w:val="-8"/>
                <w:sz w:val="14"/>
                <w:szCs w:val="14"/>
              </w:rPr>
              <w:t>World Area Code (WAC)</w:t>
            </w:r>
          </w:p>
        </w:tc>
        <w:tc>
          <w:tcPr>
            <w:tcW w:w="0" w:type="auto"/>
            <w:tcBorders>
              <w:top w:val="nil"/>
              <w:left w:val="nil"/>
              <w:bottom w:val="nil"/>
              <w:right w:val="nil"/>
            </w:tcBorders>
            <w:shd w:val="clear" w:color="auto" w:fill="FFFFFF"/>
            <w:tcMar>
              <w:top w:w="45" w:type="dxa"/>
              <w:left w:w="75" w:type="dxa"/>
              <w:bottom w:w="30" w:type="dxa"/>
              <w:right w:w="30" w:type="dxa"/>
            </w:tcMar>
            <w:hideMark/>
          </w:tcPr>
          <w:p w14:paraId="03528A44" w14:textId="77777777" w:rsidR="0082206A" w:rsidRDefault="0082206A">
            <w:pPr>
              <w:rPr>
                <w:rFonts w:ascii="Verdana" w:hAnsi="Verdana" w:cs="Arial"/>
                <w:color w:val="000000"/>
                <w:spacing w:val="-8"/>
                <w:sz w:val="16"/>
                <w:szCs w:val="16"/>
              </w:rPr>
            </w:pPr>
            <w:r>
              <w:rPr>
                <w:rFonts w:ascii="Verdana" w:hAnsi="Verdana" w:cs="Arial"/>
                <w:color w:val="000000"/>
                <w:spacing w:val="-8"/>
                <w:sz w:val="16"/>
                <w:szCs w:val="16"/>
              </w:rPr>
              <w:t>Numeric codes used to identify geopolitical areas such as countries, states (U.S.), provinces (Canada), and territories or possessions of certain countries. The codes are used within the various data banks maintained by the Office of Airline Information (OAI) and are created by OAI.</w:t>
            </w:r>
          </w:p>
        </w:tc>
      </w:tr>
    </w:tbl>
    <w:p w14:paraId="40A67CEE" w14:textId="77777777" w:rsidR="0042014B" w:rsidRDefault="0042014B" w:rsidP="0042014B"/>
    <w:p w14:paraId="25098EEB" w14:textId="77777777" w:rsidR="00AA00E7" w:rsidRDefault="00AA00E7" w:rsidP="00457328">
      <w:pPr>
        <w:pStyle w:val="ListParagraph"/>
        <w:ind w:left="1440"/>
      </w:pPr>
    </w:p>
    <w:p w14:paraId="63AC0058" w14:textId="77777777" w:rsidR="00AA00E7" w:rsidRDefault="00AA00E7" w:rsidP="00457328">
      <w:pPr>
        <w:pStyle w:val="ListParagraph"/>
        <w:ind w:left="1440"/>
      </w:pPr>
    </w:p>
    <w:sectPr w:rsidR="00AA0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47A85"/>
    <w:multiLevelType w:val="hybridMultilevel"/>
    <w:tmpl w:val="201E7E1A"/>
    <w:lvl w:ilvl="0" w:tplc="F8B291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C16E9"/>
    <w:multiLevelType w:val="hybridMultilevel"/>
    <w:tmpl w:val="7F5C79EA"/>
    <w:lvl w:ilvl="0" w:tplc="F8B291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E7"/>
    <w:rsid w:val="0042014B"/>
    <w:rsid w:val="00457328"/>
    <w:rsid w:val="004C5FE6"/>
    <w:rsid w:val="0068414F"/>
    <w:rsid w:val="0082206A"/>
    <w:rsid w:val="00AA00E7"/>
    <w:rsid w:val="00CC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C496"/>
  <w15:chartTrackingRefBased/>
  <w15:docId w15:val="{D0D3601A-67FD-4A25-B9E0-26F79A1A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0E7"/>
    <w:pPr>
      <w:ind w:left="720"/>
      <w:contextualSpacing/>
    </w:pPr>
  </w:style>
  <w:style w:type="character" w:styleId="Hyperlink">
    <w:name w:val="Hyperlink"/>
    <w:basedOn w:val="DefaultParagraphFont"/>
    <w:uiPriority w:val="99"/>
    <w:unhideWhenUsed/>
    <w:rsid w:val="0042014B"/>
    <w:rPr>
      <w:color w:val="0563C1" w:themeColor="hyperlink"/>
      <w:u w:val="single"/>
    </w:rPr>
  </w:style>
  <w:style w:type="character" w:styleId="UnresolvedMention">
    <w:name w:val="Unresolved Mention"/>
    <w:basedOn w:val="DefaultParagraphFont"/>
    <w:uiPriority w:val="99"/>
    <w:semiHidden/>
    <w:unhideWhenUsed/>
    <w:rsid w:val="00420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73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tats.bts.gov/Tables.asp?DB_ID=111&amp;DB_Name=Air%20Carrier%20Statistics%20(Form%2041%20Traffic)-%20All%20Carriers" TargetMode="External"/><Relationship Id="rId3" Type="http://schemas.openxmlformats.org/officeDocument/2006/relationships/settings" Target="settings.xml"/><Relationship Id="rId7" Type="http://schemas.openxmlformats.org/officeDocument/2006/relationships/hyperlink" Target="https://www.transtats.bts.gov/DatabaseInfo.asp?DB_ID=111&amp;DB_Name=Air%20Carrier%20Statistics%20(Form%2041%20Traffic)-%20All%20Carri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tats.bts.gov/databases.asp?Mode_ID=1&amp;Mode_Desc=Aviation&amp;Subject_ID2=0" TargetMode="External"/><Relationship Id="rId11" Type="http://schemas.openxmlformats.org/officeDocument/2006/relationships/fontTable" Target="fontTable.xml"/><Relationship Id="rId5" Type="http://schemas.openxmlformats.org/officeDocument/2006/relationships/hyperlink" Target="https://www.transtats.bts.gov/Tables.asp?DB_ID=111&amp;DB_Name=Air%20Carrier%20Statistics%20%28Form%2041%20Traffic%29-%20All%20Carriers&amp;DB_Short_Name=Air%20Carriers" TargetMode="External"/><Relationship Id="rId10" Type="http://schemas.openxmlformats.org/officeDocument/2006/relationships/hyperlink" Target="https://ntl.custhelp.com/cgi-bin/ntl.cfg/php/enduser/std_adp.php?p_faqid=398&amp;p_created=1206035104&amp;p_sid=wnxdFf7j&amp;p_accessibility=0&amp;p_redirect=&amp;p_lva=&amp;p_sp=cF9zcmNoPTEmcF9zb3J0X2J5PSZwX2dyaWRzb3J0PSZwX3Jvd19jbnQ9NSw1JnBfcHJvZHM9MCZwX2NhdHM9JnBfcHY9JnBfY3Y9JnBfcGFnZT0xJnBfc2VhcmNoX3RleHQ9bWFya2V0&amp;p_li=&amp;p_topview=1" TargetMode="External"/><Relationship Id="rId4" Type="http://schemas.openxmlformats.org/officeDocument/2006/relationships/webSettings" Target="webSettings.xml"/><Relationship Id="rId9" Type="http://schemas.openxmlformats.org/officeDocument/2006/relationships/hyperlink" Target="https://www.transtats.bts.gov/Fields.asp?Table_ID=292&amp;SYS_Table_Name=T_T100_MARKET_ALL_CARRIER&amp;User_Table_Name=T-100%20Market%20%20(All%20Carriers)&amp;Year_Info=1&amp;First_Year=1990&amp;Last_Year=2020&amp;Rate_Info=0&amp;Frequency=Monthly&amp;Data_Frequency=Annual,Quarterly,Month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Ukestad (SWMD)</dc:creator>
  <cp:keywords/>
  <dc:description/>
  <cp:lastModifiedBy>Erin Ukestad</cp:lastModifiedBy>
  <cp:revision>4</cp:revision>
  <dcterms:created xsi:type="dcterms:W3CDTF">2021-02-06T18:55:00Z</dcterms:created>
  <dcterms:modified xsi:type="dcterms:W3CDTF">2021-02-12T02:44:00Z</dcterms:modified>
</cp:coreProperties>
</file>