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Arial Unicode MS" w:hAnsi="Arial Unicode MS" w:eastAsia="Arial Unicode MS" w:cs="Arial Unicode MS"/>
          <w:b/>
          <w:color w:val="191F1D"/>
          <w:sz w:val="54"/>
        </w:rPr>
        <w:t>ReOrch 智策</w:t>
      </w:r>
    </w:p>
    <w:p>
      <w:pPr>
        <w:spacing w:after="280"/>
      </w:pPr>
      <w:r>
        <w:rPr>
          <w:rFonts w:ascii="Arial Unicode MS" w:hAnsi="Arial Unicode MS" w:eastAsia="Arial Unicode MS" w:cs="Arial Unicode MS"/>
          <w:color w:val="1F4D78"/>
          <w:sz w:val="30"/>
        </w:rPr>
        <w:t>工业异常恢复决策 Copilot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91F1D"/>
          <w:sz w:val="21"/>
        </w:rPr>
        <w:t>项目类型：</w:t>
      </w:r>
      <w:r>
        <w:rPr>
          <w:rFonts w:ascii="Arial Unicode MS" w:hAnsi="Arial Unicode MS" w:eastAsia="Arial Unicode MS" w:cs="Arial Unicode MS"/>
          <w:color w:val="191F1D"/>
          <w:sz w:val="21"/>
        </w:rPr>
        <w:t>AI Native 产品 / Agent Workflow / 工业决策辅助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91F1D"/>
          <w:sz w:val="21"/>
        </w:rPr>
        <w:t>产品状态：</w:t>
      </w:r>
      <w:r>
        <w:rPr>
          <w:rFonts w:ascii="Arial Unicode MS" w:hAnsi="Arial Unicode MS" w:eastAsia="Arial Unicode MS" w:cs="Arial Unicode MS"/>
          <w:color w:val="191F1D"/>
          <w:sz w:val="21"/>
        </w:rPr>
        <w:t>MVP 已完成；replay-ready；生产写回默认关闭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91F1D"/>
          <w:sz w:val="21"/>
        </w:rPr>
        <w:t>公开证据：</w:t>
      </w:r>
      <w:r>
        <w:rPr>
          <w:rFonts w:ascii="Arial Unicode MS" w:hAnsi="Arial Unicode MS" w:eastAsia="Arial Unicode MS" w:cs="Arial Unicode MS"/>
          <w:color w:val="191F1D"/>
          <w:sz w:val="21"/>
        </w:rPr>
        <w:t>872 项自动化测试 + 合成回放 + 数字孪生 gates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91F1D"/>
          <w:sz w:val="21"/>
        </w:rPr>
        <w:t>更新日期：</w:t>
      </w:r>
      <w:r>
        <w:rPr>
          <w:rFonts w:ascii="Arial Unicode MS" w:hAnsi="Arial Unicode MS" w:eastAsia="Arial Unicode MS" w:cs="Arial Unicode MS"/>
          <w:color w:val="191F1D"/>
          <w:sz w:val="21"/>
        </w:rPr>
        <w:t>2026-07-27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91F1D"/>
          <w:sz w:val="21"/>
        </w:rPr>
        <w:t>公开仓库：</w:t>
      </w:r>
      <w:r>
        <w:rPr>
          <w:rFonts w:ascii="Arial Unicode MS" w:hAnsi="Arial Unicode MS" w:eastAsia="Arial Unicode MS" w:cs="Arial Unicode MS"/>
          <w:color w:val="191F1D"/>
          <w:sz w:val="21"/>
        </w:rPr>
        <w:t>github.com/eulalee001020-star/reorch-zhice</w:t>
      </w:r>
    </w:p>
    <w:p>
      <w:pPr>
        <w:spacing w:after="40"/>
      </w:pPr>
      <w:r>
        <w:rPr>
          <w:rFonts w:ascii="Arial Unicode MS" w:hAnsi="Arial Unicode MS" w:eastAsia="Arial Unicode MS" w:cs="Arial Unicode MS"/>
          <w:b/>
          <w:color w:val="191F1D"/>
          <w:sz w:val="21"/>
        </w:rPr>
        <w:t>在线 Demo：</w:t>
      </w:r>
      <w:r>
        <w:rPr>
          <w:rFonts w:ascii="Arial Unicode MS" w:hAnsi="Arial Unicode MS" w:eastAsia="Arial Unicode MS" w:cs="Arial Unicode MS"/>
          <w:color w:val="191F1D"/>
          <w:sz w:val="21"/>
        </w:rPr>
        <w:t>reorch-zhice-portfolio.eula-lee001020.chatgpt.site</w:t>
      </w:r>
    </w:p>
    <w:p>
      <w:pPr>
        <w:spacing w:before="160" w:after="240"/>
        <w:pBdr>
          <w:bottom w:val="single" w:sz="14" w:space="1" w:color="176B4D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2F1E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76B4D"/>
                <w:sz w:val="18"/>
              </w:rPr>
              <w:t>ReOrch 智策是位于 ERP / MES / APS 之上的工业异常恢复决策 Copilot。它不替代主系统，也不让大模型直接排产；系统把设备停机、急单、缺料和质量返工后的临场协调重构为可验证、可降级、可审计的人机协同决策闭环。</w:t>
            </w:r>
          </w:p>
        </w:tc>
      </w:tr>
    </w:tbl>
    <w:p/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1. 场景与真实问题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目标用户包括计划员、生产负责人、质量与设备角色，以及负责主系统接入和审计的 IT 团队。在已有 ERP、MES 与 APS 的企业中，异常后的跨系统协同仍经常依赖人工查询、电话确认、Excel 试排和个人经验。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28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业务影响</w:t>
            </w:r>
          </w:p>
        </w:tc>
        <w:tc>
          <w:tcPr>
            <w:tcW w:type="dxa" w:w="421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产品判断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信息分散且时效不一致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错误输入会放大后续排程风险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先验证数据健康，再进入 AI 与求解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方案只有结论，没有证据链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计划员不敢采纳，事后难复盘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Top-K 方案必须带来源、约束、差异与不确定性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临场协调缺少明确责任边界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越权修改、并发覆盖和回滚困难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人工确认、双审批、幂等与审计进入主流程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失败样本没有形成资产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同类异常反复依赖个人经验</w:t>
            </w:r>
          </w:p>
        </w:tc>
        <w:tc>
          <w:tcPr>
            <w:tcW w:type="dxa" w:w="4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沉淀 case、override、failure 与 rule candidate</w:t>
            </w:r>
          </w:p>
        </w:tc>
      </w:tr>
    </w:tbl>
    <w:p>
      <w:pPr>
        <w:spacing w:after="40"/>
      </w:pP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40515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online-de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 Unicode MS" w:hAnsi="Arial Unicode MS" w:eastAsia="Arial Unicode MS" w:cs="Arial Unicode MS"/>
          <w:color w:val="5B6560"/>
          <w:sz w:val="17"/>
        </w:rPr>
        <w:t>图 1  在线 Demo：异常队列、Top-K 候选、证据、质量门与人工确认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2. 用户流程重构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原流程：看系统与报表 -&gt; 电话/群聊补信息 -&gt; Excel 人工试排 -&gt; 临场协调 -&gt; 结果难追溯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目标流程：数据健康门 -&gt; 影响子图 -&gt; 约束可行 Top-K -&gt; AI 证据解释 -&gt; 质量门 -&gt; 人工确认 -&gt; 受控执行草案 -&gt; 结果与失败复盘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数据健康门把权限、时效、缺失、异常和 source authority 从隐性判断变成明确阶段门。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求解器提供多个硬约束可行候选，避免把 LLM 的语言流畅度误当成排程正确性。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AI 解释绑定结构化证据，低置信、证据不足和冲突状态会降级或转人工。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确认、拒绝、override、执行结果和失败原因进入同一条审计台账。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3. 与 ERP / MES / APS 的差异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37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主系统</w:t>
            </w:r>
          </w:p>
        </w:tc>
        <w:tc>
          <w:tcPr>
            <w:tcW w:type="dxa" w:w="413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ReOrch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核心职责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主数据、业务流程、生产执行与基准计划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异常后的影响收敛、恢复候选、风险解释与责任闭环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输入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订单、BOM、工艺、库存、设备、基准计划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异常事件、最新快照、现场约束、证据来源、审批策略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方案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规则、人工调整或单一优化结果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约束求解 Top-K，显式比较延期、扰动、成本与执行复杂度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AI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通用问答、报表或流程助手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受控 Agent 嵌入数据、求解、证据、确认和复盘工作流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边界</w:t>
            </w:r>
          </w:p>
        </w:tc>
        <w:tc>
          <w:tcPr>
            <w:tcW w:type="dxa" w:w="3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承担生产主系统职责</w:t>
            </w:r>
          </w:p>
        </w:tc>
        <w:tc>
          <w:tcPr>
            <w:tcW w:type="dxa" w:w="41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不替代主系统，不在证据不足时给强结论，不自动越权写回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4. AI Native 架构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数据层（ERP / MES / APS / QMS / EAM） -&gt; 数据健康门 -&gt; 证据层与 canonical model -&gt; 影响子图与约束识别 -&gt; SSGS / CP-SAT / Hybrid -&gt; Top-K 候选 -&gt; Agent 解释 -&gt; 质量门与权限门 -&gt; 人工确认 -&gt; 受控执行草案 -&gt; 决策与结果台账。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环节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AI / Agent</w:t>
            </w:r>
          </w:p>
        </w:tc>
        <w:tc>
          <w:tcPr>
            <w:tcW w:type="dxa" w:w="4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确定性系统与治理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异常理解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结构化自然语言与事件上下文，标记缺失信息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schema、来源、时效与权限决定数据能否进入求解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方案生成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不直接生成生产排程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SSGS、CP-SAT、分解和 anytime hybrid 生成并验证候选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方案解释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基于证据解释差异、风险和需要确认的事项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KPI、硬约束与 feasibility certificate 不由 LLM 判断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规则演进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从 override 与失败样本提出规则候选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review、replay、publish 状态机决定规则是否生效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执行控制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不连接生产写回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双审批、短时 permit、幂等、sandbox certification 与审计控制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异常降级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说明不确定性与缺失证据</w:t>
            </w:r>
          </w:p>
        </w:tc>
        <w:tc>
          <w:tcPr>
            <w:tcW w:type="dxa" w:w="4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超时、冲突、漂移或权限不足时 fail closed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Harness 的核心是让每一步都有结构化输入输出、可调用工具、证据引用、最大执行范围、失败关闭条件和审计记录。大模型可被替换或降级，主决策责任链不随模型变化而失效。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5. PRD、原型与产品机制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产品对象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关键状态 / 机制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可验证产出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Incident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新增 / 已校验 / 阻断 / 评估中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来源、时效、严重度、受影响对象与缺失字段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Schedule Snapshot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版本化 / 已锁定 / 过期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基准计划、约束版本、source refs 与并发保护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Candidate Plan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可行 / 仅参考 / 阻断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KPI、硬约束报告、Gantt diff、风险与解释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Quality Gate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通过 / 警告 / 失败关闭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数据、约束、权限、置信度与证据检查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Decision Record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采纳 / 调整 / 驳回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确认人、理由、版本、审批与执行草案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Evidence Ledger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预测 / 决策 / 结果 / 失败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回放、ROI proxy、失败归因与审计导出</w:t>
            </w:r>
          </w:p>
        </w:tc>
      </w:tr>
    </w:tbl>
    <w:p>
      <w:pPr>
        <w:spacing w:after="40"/>
      </w:pP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PRD 覆盖背景、角色、用户故事、功能范围、页面流、输入输出、异常态、权限、埋点与验收标准。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在线 Demo 直接呈现异常选择、数据健康、三方案比较、Evidence / Trace 与人工确认。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事件埋点包括 incident_selected、candidate_generated、plan_confirmed、plan_rejected 和 fallback_triggered。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6. 评测体系与公开结果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0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证据</w:t>
            </w:r>
          </w:p>
        </w:tc>
        <w:tc>
          <w:tcPr>
            <w:tcW w:type="dxa" w:w="22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公开结果</w:t>
            </w:r>
          </w:p>
        </w:tc>
        <w:tc>
          <w:tcPr>
            <w:tcW w:type="dxa" w:w="5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可证明范围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自动化测试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872 项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领域模型、API、Agent、求解、质量门、审批、回写策略与运行时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生产运行时数字孪生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 / 10 gates passed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shadow、schema drift、OIDC/RBAC、备份恢复与观测路径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集成控制面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8 / 8 checks passed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Connector 注册、版本、认证、隔离和失败关闭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回写认证演练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15 / 15 checks passed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双审批、幂等、dry-run、回滚与审计；客户认证仍为 false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三行业合成回放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CNC / LED Fab / PCBA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证据结构、ROI proxy、PoC 前检和 replay 方法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可行性恢复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writeback_authorized=false</w:t>
            </w:r>
          </w:p>
        </w:tc>
        <w:tc>
          <w:tcPr>
            <w:tcW w:type="dxa" w:w="5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冲突诊断、受控约束放宽、Recovery Operator 与证书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评测不只统计接口通过率，还覆盖数据缺失、证据不足、超时、硬约束冲突、低置信解释、越权写回、审批篡改、幂等、schema drift、备份恢复和客户证据门等失败路径。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7. 失败案例与迭代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失败现象</w:t>
            </w:r>
          </w:p>
        </w:tc>
        <w:tc>
          <w:tcPr>
            <w:tcW w:type="dxa" w:w="29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根因</w:t>
            </w:r>
          </w:p>
        </w:tc>
        <w:tc>
          <w:tcPr>
            <w:tcW w:type="dxa" w:w="38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修改方案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数据缺失仍输出强建议</w:t>
            </w:r>
          </w:p>
        </w:tc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Prompt 只约束格式，没有独立准入门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 Data Health Gate、字段合同、source refs 与停止规则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Proxy 被表述为生产事实</w:t>
            </w:r>
          </w:p>
        </w:tc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事实、推断与建议未分层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schema 增加 evidence type、confidence 与 uncertainty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召回过期公告或案例</w:t>
            </w:r>
          </w:p>
        </w:tc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检索命中与证据有效性混在同一步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增加时效、版本和 source authority 校验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规则候选被误认为已生效</w:t>
            </w:r>
          </w:p>
        </w:tc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生成与发布状态未隔离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建立 draft、review、replay、publish 生命周期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不可行排程只返回失败</w:t>
            </w:r>
          </w:p>
        </w:tc>
        <w:tc>
          <w:tcPr>
            <w:tcW w:type="dxa" w:w="2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缺少业务可执行的恢复路径</w:t>
            </w:r>
          </w:p>
        </w:tc>
        <w:tc>
          <w:tcPr>
            <w:tcW w:type="dxa" w:w="38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增加冲突诊断、Recovery Operator、审批与 certificate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每个失败样本按“现象 -&gt; 归因 -&gt; 修改 -&gt; 验证 -&gt; 剩余风险”记录。失败不是展示材料的附注，而是 Prompt、schema、工具边界、状态机和质量门迭代的输入。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8. 项目推进、指标与个人贡献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39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交付物</w:t>
            </w:r>
          </w:p>
        </w:tc>
        <w:tc>
          <w:tcPr>
            <w:tcW w:type="dxa" w:w="37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证明重点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行业调研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市场/先进标准对标、金蝶定位、服务 AI 竞品迁移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确定异常响应层切口与竞合边界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用户需求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计划员、生产、质检、设备、IT 角色与原/新流程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把隐性经验转化为对象、状态、权限和决策节点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PRD / 原型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用户故事、页面流、异常态、权限、埋点、验收、互动 Demo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形成研发可执行与可感知的产品定义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项目推进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需求、评审、研发、联调、灰度、风险、责任人与阶段门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用 MVP delivery plan 管理交付节奏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上线指标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时效、Top-K 可行覆盖、采纳、业务代理、稳定性与风险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区分模型、方案、产品、业务和治理指标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创新输入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Agent + solver + guardrail + human-in-the-loop Harness</w:t>
            </w:r>
          </w:p>
        </w:tc>
        <w:tc>
          <w:tcPr>
            <w:tcW w:type="dxa" w:w="37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让概率型 AI 与确定性系统共同承担可审计闭环</w:t>
            </w:r>
          </w:p>
        </w:tc>
      </w:tr>
    </w:tbl>
    <w:p>
      <w:pPr>
        <w:spacing w:after="40"/>
      </w:pP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项目按“需求与假设 -&gt; PRD / 原型 -&gt; 技术内核 -&gt; 前后端联调 -&gt; 自动化评测 -&gt; 数字孪生演练 -&gt; 上线就绪评估”推进。阶段门分别检查数据、可行性、治理、可观测性和客户证据。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指标体系：North Star 为受控异常决策时间；护栏包括硬约束可行率、Top-K feasible coverage、审计完整率、越权写回次数、fallback rate、P95 求解与 Agent 延迟。业务代理包括延期变化、扰动范围、计划员采纳和案例复用，但代理指标不等同于真实 ROI。</w:t>
      </w:r>
    </w:p>
    <w:p>
      <w:pPr>
        <w:spacing w:before="0" w:after="120" w:line="264" w:lineRule="auto"/>
      </w:pPr>
      <w:r>
        <w:rPr>
          <w:rFonts w:ascii="Arial Unicode MS" w:hAnsi="Arial Unicode MS" w:eastAsia="Arial Unicode MS" w:cs="Arial Unicode MS"/>
          <w:color w:val="191F1D"/>
          <w:sz w:val="22"/>
        </w:rPr>
        <w:t>个人贡献：完成问题定义、竞品与主系统边界、用户流程、PRD、原型逻辑、Agent contract、质量门、核心工程实现、自动化测试、失败样本、数字孪生验证、材料整理与公开发布；同时明确哪些结论仍需 Design Partner 数据与现场验收。</w:t>
      </w: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9. 当前边界与下一阶段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真实 Design Partner 案例数为 0，尚无客户生产数据、现场采纳率或财务确认 ROI。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公开结果来自自动化测试、公开来源数据、合成回放与数字孪生演练。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生产自动写回默认关闭；客户 Sandbox、权限、回滚、安全和现场验收必须独立完成。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LLM 不负责生产事实、硬约束、排程可行性或最终执行责任。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05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38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进入条件</w:t>
            </w:r>
          </w:p>
        </w:tc>
        <w:tc>
          <w:tcPr>
            <w:tcW w:type="dxa" w:w="349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color w:val="1F4D78"/>
                <w:sz w:val="18"/>
              </w:rPr>
              <w:t>主要验证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Replay-ready（当前）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公开/合成数据、完整 schema、无生产写回</w:t>
            </w:r>
          </w:p>
        </w:tc>
        <w:tc>
          <w:tcPr>
            <w:tcW w:type="dxa" w:w="34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工程行为、证据结构与失败关闭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Shadow-ready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10-30 个客户历史案例、来源签署、只读 Connector</w:t>
            </w:r>
          </w:p>
        </w:tc>
        <w:tc>
          <w:tcPr>
            <w:tcW w:type="dxa" w:w="34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计划员基线、Top-K 覆盖、阈值校准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Controlled-pilot-ready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客户 Sandbox、双审批、回滚、安全与审计验收</w:t>
            </w:r>
          </w:p>
        </w:tc>
        <w:tc>
          <w:tcPr>
            <w:tcW w:type="dxa" w:w="34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小范围受控执行与结果复盘</w:t>
            </w:r>
          </w:p>
        </w:tc>
      </w:tr>
      <w:tr>
        <w:trPr>
          <w:cantSplit/>
        </w:trPr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Production acceptance</w:t>
            </w:r>
          </w:p>
        </w:tc>
        <w:tc>
          <w:tcPr>
            <w:tcW w:type="dxa" w:w="38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客户 IdP、HA/DR、运维、数据授权、现场签字</w:t>
            </w:r>
          </w:p>
        </w:tc>
        <w:tc>
          <w:tcPr>
            <w:tcW w:type="dxa" w:w="349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sz w:val="18"/>
              </w:rPr>
              <w:t>稳定性、组织流程、真实价值与责任边界</w:t>
            </w:r>
          </w:p>
        </w:tc>
      </w:tr>
    </w:tbl>
    <w:p>
      <w:pPr>
        <w:spacing w:after="40"/>
      </w:pPr>
    </w:p>
    <w:p>
      <w:pPr>
        <w:keepNext/>
        <w:spacing w:before="320" w:after="160"/>
      </w:pPr>
      <w:r>
        <w:rPr>
          <w:rFonts w:ascii="Arial Unicode MS" w:hAnsi="Arial Unicode MS" w:eastAsia="Arial Unicode MS" w:cs="Arial Unicode MS"/>
          <w:b/>
          <w:color w:val="2E74B5"/>
          <w:sz w:val="32"/>
        </w:rPr>
        <w:t>10. 证据索引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公开仓库：https://github.com/eulalee001020-star/reorch-zhice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在线 Demo：https://reorch-zhice-portfolio.eula-lee001020.chatgpt.site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产品 PRD：docs/product/prd_decision_workbench.md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业务流程与原型：docs/portfolio/business_process_flow.md；docs/portfolio/prototype_logic.md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评测与失败：docs/portfolio/evaluation_guardrail_cases.md；docs/portfolio/failure_iteration_log.md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运行时验证：docs/validation/production_runtime_completion_report_20260712.md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可行性恢复：docs/validation/feasibility_restoration_validation_20260713.md</w:t>
      </w:r>
    </w:p>
    <w:p>
      <w:pPr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/>
          <w:color w:val="176B4D"/>
          <w:sz w:val="21"/>
        </w:rPr>
        <w:t xml:space="preserve">• </w:t>
      </w:r>
      <w:r>
        <w:rPr>
          <w:rFonts w:ascii="Arial Unicode MS" w:hAnsi="Arial Unicode MS" w:eastAsia="Arial Unicode MS" w:cs="Arial Unicode MS"/>
          <w:color w:val="191F1D"/>
          <w:sz w:val="21"/>
        </w:rPr>
        <w:t>个人贡献：docs/portfolio/personal_contribution.md</w:t>
      </w:r>
    </w:p>
    <w:sectPr w:rsidR="00FC693F" w:rsidRPr="0006063C" w:rsidSect="00034616">
      <w:footerReference w:type="default" r:id="rId9"/>
      <w:pgSz w:w="12240" w:h="15840"/>
      <w:pgMar w:top="1123" w:right="1440" w:bottom="1037" w:left="144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 w:cs="Arial Unicode MS"/>
        <w:color w:val="5B6560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ReOrch 智策 AI 产品作品集</dc:title>
  <dc:subject>工业异常恢复决策 Copilot</dc:subject>
  <dc:creator/>
  <cp:keywords>Industrial AI, Agent, Scheduling, Decision Support, Portfolio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