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80"/>
      </w:pPr>
      <w:r>
        <w:rPr>
          <w:rFonts w:ascii="Calibri" w:hAnsi="Calibri" w:eastAsia="Arial Unicode MS" w:cs="Arial Unicode MS"/>
          <w:b/>
          <w:color w:val="191F1D"/>
          <w:sz w:val="54"/>
        </w:rPr>
        <w:t>ReOrch 智策</w:t>
      </w:r>
    </w:p>
    <w:p>
      <w:pPr>
        <w:spacing w:after="280"/>
      </w:pPr>
      <w:r>
        <w:rPr>
          <w:rFonts w:ascii="Calibri" w:hAnsi="Calibri" w:eastAsia="Arial Unicode MS" w:cs="Arial Unicode MS"/>
          <w:color w:val="1F4D78"/>
          <w:sz w:val="30"/>
        </w:rPr>
        <w:t>工业异常恢复决策 Copilot</w:t>
      </w:r>
    </w:p>
    <w:p>
      <w:pPr>
        <w:spacing w:after="40"/>
      </w:pPr>
      <w:r>
        <w:rPr>
          <w:rFonts w:ascii="Calibri" w:hAnsi="Calibri" w:eastAsia="Arial Unicode MS" w:cs="Arial Unicode MS"/>
          <w:b/>
          <w:color w:val="191F1D"/>
          <w:sz w:val="21"/>
        </w:rPr>
        <w:t>项目类型：</w:t>
      </w:r>
      <w:r>
        <w:rPr>
          <w:rFonts w:ascii="Calibri" w:hAnsi="Calibri" w:eastAsia="Arial Unicode MS" w:cs="Arial Unicode MS"/>
          <w:color w:val="191F1D"/>
          <w:sz w:val="21"/>
        </w:rPr>
        <w:t>AI Native 产品 / Agent Workflow / 工业决策辅助</w:t>
      </w:r>
    </w:p>
    <w:p>
      <w:pPr>
        <w:spacing w:after="40"/>
      </w:pPr>
      <w:r>
        <w:rPr>
          <w:rFonts w:ascii="Calibri" w:hAnsi="Calibri" w:eastAsia="Arial Unicode MS" w:cs="Arial Unicode MS"/>
          <w:b/>
          <w:color w:val="191F1D"/>
          <w:sz w:val="21"/>
        </w:rPr>
        <w:t>产品状态：</w:t>
      </w:r>
      <w:r>
        <w:rPr>
          <w:rFonts w:ascii="Calibri" w:hAnsi="Calibri" w:eastAsia="Arial Unicode MS" w:cs="Arial Unicode MS"/>
          <w:color w:val="191F1D"/>
          <w:sz w:val="21"/>
        </w:rPr>
        <w:t>MVP 已完成；replay-ready；生产写回默认关闭</w:t>
      </w:r>
    </w:p>
    <w:p>
      <w:pPr>
        <w:spacing w:after="40"/>
      </w:pPr>
      <w:r>
        <w:rPr>
          <w:rFonts w:ascii="Calibri" w:hAnsi="Calibri" w:eastAsia="Arial Unicode MS" w:cs="Arial Unicode MS"/>
          <w:b/>
          <w:color w:val="191F1D"/>
          <w:sz w:val="21"/>
        </w:rPr>
        <w:t>公开证据：</w:t>
      </w:r>
      <w:r>
        <w:rPr>
          <w:rFonts w:ascii="Calibri" w:hAnsi="Calibri" w:eastAsia="Arial Unicode MS" w:cs="Arial Unicode MS"/>
          <w:color w:val="191F1D"/>
          <w:sz w:val="21"/>
        </w:rPr>
        <w:t>872 项自动化测试 + 合成回放 + 数字孪生 gates</w:t>
      </w:r>
    </w:p>
    <w:p>
      <w:pPr>
        <w:spacing w:after="40"/>
      </w:pPr>
      <w:r>
        <w:rPr>
          <w:rFonts w:ascii="Calibri" w:hAnsi="Calibri" w:eastAsia="Arial Unicode MS" w:cs="Arial Unicode MS"/>
          <w:b/>
          <w:color w:val="191F1D"/>
          <w:sz w:val="21"/>
        </w:rPr>
        <w:t>更新日期：</w:t>
      </w:r>
      <w:r>
        <w:rPr>
          <w:rFonts w:ascii="Calibri" w:hAnsi="Calibri" w:eastAsia="Arial Unicode MS" w:cs="Arial Unicode MS"/>
          <w:color w:val="191F1D"/>
          <w:sz w:val="21"/>
        </w:rPr>
        <w:t>2026-07-27</w:t>
      </w:r>
    </w:p>
    <w:p>
      <w:pPr>
        <w:spacing w:after="40"/>
      </w:pPr>
      <w:r>
        <w:rPr>
          <w:rFonts w:ascii="Calibri" w:hAnsi="Calibri" w:eastAsia="Arial Unicode MS" w:cs="Arial Unicode MS"/>
          <w:b/>
          <w:color w:val="191F1D"/>
          <w:sz w:val="21"/>
        </w:rPr>
        <w:t>公开仓库：</w:t>
      </w:r>
      <w:r>
        <w:rPr>
          <w:rFonts w:ascii="Calibri" w:hAnsi="Calibri" w:eastAsia="Arial Unicode MS" w:cs="Arial Unicode MS"/>
          <w:color w:val="191F1D"/>
          <w:sz w:val="21"/>
        </w:rPr>
        <w:t>github.com/eulalee001020-star/reorch-zhice</w:t>
      </w:r>
    </w:p>
    <w:p>
      <w:pPr>
        <w:spacing w:before="160" w:after="240"/>
        <w:pBdr>
          <w:bottom w:val="single" w:sz="14" w:space="1" w:color="176B4D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2F1E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76B4D"/>
                <w:sz w:val="18"/>
              </w:rPr>
              <w:t>ReOrch 智策是位于 ERP / MES / APS 之上的工业异常恢复决策 Copilot。它不替代主系统，也不让大模型直接排产；系统把设备停机、急单、缺料和质量返工后的临场协调重构为可验证、可降级、可审计的人机协同决策闭环。</w:t>
            </w:r>
          </w:p>
        </w:tc>
      </w:tr>
    </w:tbl>
    <w:p/>
    <w:p>
      <w:pPr>
        <w:keepNext/>
        <w:spacing w:before="320" w:after="160"/>
      </w:pPr>
      <w:r>
        <w:rPr>
          <w:rFonts w:ascii="Calibri" w:hAnsi="Calibri" w:eastAsia="Arial Unicode MS" w:cs="Arial Unicode MS"/>
          <w:b/>
          <w:color w:val="2E74B5"/>
          <w:sz w:val="32"/>
        </w:rPr>
        <w:t>1. 场景与真实问题</w:t>
      </w:r>
    </w:p>
    <w:p>
      <w:pPr>
        <w:spacing w:before="0" w:after="120" w:line="264" w:lineRule="auto"/>
      </w:pPr>
      <w:r>
        <w:rPr>
          <w:rFonts w:ascii="Calibri" w:hAnsi="Calibri" w:eastAsia="Arial Unicode MS" w:cs="Arial Unicode MS"/>
          <w:color w:val="191F1D"/>
          <w:sz w:val="22"/>
        </w:rPr>
        <w:t>目标用户包括计划员、生产负责人、质量与设备角色，以及负责主系统接入和审计的 IT 团队。在已有 ERP、MES 与 APS 的企业中，异常后的跨系统协同仍经常依赖人工查询、电话确认、Excel 试排和个人经验。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23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问题</w:t>
            </w:r>
          </w:p>
        </w:tc>
        <w:tc>
          <w:tcPr>
            <w:tcW w:type="dxa" w:w="285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业务影响</w:t>
            </w:r>
          </w:p>
        </w:tc>
        <w:tc>
          <w:tcPr>
            <w:tcW w:type="dxa" w:w="421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产品判断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信息分散且时效不一致</w:t>
            </w:r>
          </w:p>
        </w:tc>
        <w:tc>
          <w:tcPr>
            <w:tcW w:type="dxa" w:w="28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错误输入会放大后续排程风险</w:t>
            </w:r>
          </w:p>
        </w:tc>
        <w:tc>
          <w:tcPr>
            <w:tcW w:type="dxa" w:w="42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先验证数据健康，再进入 AI 与求解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方案只有结论，没有证据链</w:t>
            </w:r>
          </w:p>
        </w:tc>
        <w:tc>
          <w:tcPr>
            <w:tcW w:type="dxa" w:w="28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计划员不敢采纳，事后难复盘</w:t>
            </w:r>
          </w:p>
        </w:tc>
        <w:tc>
          <w:tcPr>
            <w:tcW w:type="dxa" w:w="42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Top-K 方案必须带来源、约束、差异与不确定性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临场协调缺少明确责任边界</w:t>
            </w:r>
          </w:p>
        </w:tc>
        <w:tc>
          <w:tcPr>
            <w:tcW w:type="dxa" w:w="28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越权修改、并发覆盖和回滚困难</w:t>
            </w:r>
          </w:p>
        </w:tc>
        <w:tc>
          <w:tcPr>
            <w:tcW w:type="dxa" w:w="42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人工确认、双审批、幂等与审计进入主流程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失败样本没有形成资产</w:t>
            </w:r>
          </w:p>
        </w:tc>
        <w:tc>
          <w:tcPr>
            <w:tcW w:type="dxa" w:w="28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同类异常反复依赖个人经验</w:t>
            </w:r>
          </w:p>
        </w:tc>
        <w:tc>
          <w:tcPr>
            <w:tcW w:type="dxa" w:w="42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沉淀 case、override、failure 与 rule candidate</w:t>
            </w:r>
          </w:p>
        </w:tc>
      </w:tr>
    </w:tbl>
    <w:p>
      <w:pPr>
        <w:spacing w:after="40"/>
      </w:pP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3600" cy="4051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online-dem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1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Arial Unicode MS" w:cs="Arial Unicode MS"/>
          <w:color w:val="5B6560"/>
          <w:sz w:val="17"/>
        </w:rPr>
        <w:t>图 1  在线 Demo：异常队列、Top-K 候选、证据、质量门与人工确认</w:t>
      </w:r>
    </w:p>
    <w:p>
      <w:pPr>
        <w:keepNext/>
        <w:spacing w:before="320" w:after="160"/>
      </w:pPr>
      <w:r>
        <w:rPr>
          <w:rFonts w:ascii="Calibri" w:hAnsi="Calibri" w:eastAsia="Arial Unicode MS" w:cs="Arial Unicode MS"/>
          <w:b/>
          <w:color w:val="2E74B5"/>
          <w:sz w:val="32"/>
        </w:rPr>
        <w:t>2. 用户流程重构</w:t>
      </w:r>
    </w:p>
    <w:p>
      <w:pPr>
        <w:spacing w:before="0" w:after="120" w:line="264" w:lineRule="auto"/>
      </w:pPr>
      <w:r>
        <w:rPr>
          <w:rFonts w:ascii="Calibri" w:hAnsi="Calibri" w:eastAsia="Arial Unicode MS" w:cs="Arial Unicode MS"/>
          <w:color w:val="191F1D"/>
          <w:sz w:val="22"/>
        </w:rPr>
        <w:t>原流程：看系统与报表 -&gt; 电话/群聊补信息 -&gt; Excel 人工试排 -&gt; 临场协调 -&gt; 结果难追溯</w:t>
      </w:r>
    </w:p>
    <w:p>
      <w:pPr>
        <w:spacing w:before="0" w:after="120" w:line="264" w:lineRule="auto"/>
      </w:pPr>
      <w:r>
        <w:rPr>
          <w:rFonts w:ascii="Calibri" w:hAnsi="Calibri" w:eastAsia="Arial Unicode MS" w:cs="Arial Unicode MS"/>
          <w:color w:val="191F1D"/>
          <w:sz w:val="22"/>
        </w:rPr>
        <w:t>目标流程：数据健康门 -&gt; 影响子图 -&gt; 约束可行 Top-K -&gt; AI 证据解释 -&gt; 质量门 -&gt; 人工确认 -&gt; 受控执行草案 -&gt; 结果与失败复盘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数据健康门把权限、时效、缺失、异常和 source authority 从隐性判断变成明确阶段门。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求解器提供多个硬约束可行候选，避免把 LLM 的语言流畅度误当成排程正确性。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AI 解释绑定结构化证据，低置信、证据不足和冲突状态会降级或转人工。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确认、拒绝、override、执行结果和失败原因进入同一条审计台账。</w:t>
      </w:r>
    </w:p>
    <w:p>
      <w:pPr>
        <w:keepNext/>
        <w:spacing w:before="320" w:after="160"/>
      </w:pPr>
      <w:r>
        <w:rPr>
          <w:rFonts w:ascii="Calibri" w:hAnsi="Calibri" w:eastAsia="Arial Unicode MS" w:cs="Arial Unicode MS"/>
          <w:b/>
          <w:color w:val="2E74B5"/>
          <w:sz w:val="32"/>
        </w:rPr>
        <w:t>3. 与 ERP / MES / APS 的差异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15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维度</w:t>
            </w:r>
          </w:p>
        </w:tc>
        <w:tc>
          <w:tcPr>
            <w:tcW w:type="dxa" w:w="373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主系统</w:t>
            </w:r>
          </w:p>
        </w:tc>
        <w:tc>
          <w:tcPr>
            <w:tcW w:type="dxa" w:w="413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ReOrch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核心职责</w:t>
            </w:r>
          </w:p>
        </w:tc>
        <w:tc>
          <w:tcPr>
            <w:tcW w:type="dxa" w:w="37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主数据、业务流程、生产执行与基准计划</w:t>
            </w:r>
          </w:p>
        </w:tc>
        <w:tc>
          <w:tcPr>
            <w:tcW w:type="dxa" w:w="41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异常后的影响收敛、恢复候选、风险解释与责任闭环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输入</w:t>
            </w:r>
          </w:p>
        </w:tc>
        <w:tc>
          <w:tcPr>
            <w:tcW w:type="dxa" w:w="37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订单、BOM、工艺、库存、设备、基准计划</w:t>
            </w:r>
          </w:p>
        </w:tc>
        <w:tc>
          <w:tcPr>
            <w:tcW w:type="dxa" w:w="41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异常事件、最新快照、现场约束、证据来源、审批策略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方案</w:t>
            </w:r>
          </w:p>
        </w:tc>
        <w:tc>
          <w:tcPr>
            <w:tcW w:type="dxa" w:w="37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规则、人工调整或单一优化结果</w:t>
            </w:r>
          </w:p>
        </w:tc>
        <w:tc>
          <w:tcPr>
            <w:tcW w:type="dxa" w:w="41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约束求解 Top-K，显式比较延期、扰动、成本与执行复杂度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AI</w:t>
            </w:r>
          </w:p>
        </w:tc>
        <w:tc>
          <w:tcPr>
            <w:tcW w:type="dxa" w:w="37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通用问答、报表或流程助手</w:t>
            </w:r>
          </w:p>
        </w:tc>
        <w:tc>
          <w:tcPr>
            <w:tcW w:type="dxa" w:w="41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受控 Agent 嵌入数据、求解、证据、确认和复盘工作流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边界</w:t>
            </w:r>
          </w:p>
        </w:tc>
        <w:tc>
          <w:tcPr>
            <w:tcW w:type="dxa" w:w="37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承担生产主系统职责</w:t>
            </w:r>
          </w:p>
        </w:tc>
        <w:tc>
          <w:tcPr>
            <w:tcW w:type="dxa" w:w="41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不替代主系统，不在证据不足时给强结论，不自动越权写回</w:t>
            </w:r>
          </w:p>
        </w:tc>
      </w:tr>
    </w:tbl>
    <w:p>
      <w:pPr>
        <w:spacing w:after="40"/>
      </w:pPr>
    </w:p>
    <w:p>
      <w:pPr>
        <w:keepNext/>
        <w:spacing w:before="320" w:after="160"/>
      </w:pPr>
      <w:r>
        <w:rPr>
          <w:rFonts w:ascii="Calibri" w:hAnsi="Calibri" w:eastAsia="Arial Unicode MS" w:cs="Arial Unicode MS"/>
          <w:b/>
          <w:color w:val="2E74B5"/>
          <w:sz w:val="32"/>
        </w:rPr>
        <w:t>4. AI Native 架构</w:t>
      </w:r>
    </w:p>
    <w:p>
      <w:pPr>
        <w:spacing w:before="0" w:after="120" w:line="264" w:lineRule="auto"/>
      </w:pPr>
      <w:r>
        <w:rPr>
          <w:rFonts w:ascii="Calibri" w:hAnsi="Calibri" w:eastAsia="Arial Unicode MS" w:cs="Arial Unicode MS"/>
          <w:color w:val="191F1D"/>
          <w:sz w:val="22"/>
        </w:rPr>
        <w:t>数据层（ERP / MES / APS / QMS / EAM） -&gt; 数据健康门 -&gt; 证据层与 canonical model -&gt; 影响子图与约束识别 -&gt; SSGS / CP-SAT / Hybrid -&gt; Top-K 候选 -&gt; Agent 解释 -&gt; 质量门与权限门 -&gt; 人工确认 -&gt; 受控执行草案 -&gt; 决策与结果台账。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17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环节</w:t>
            </w:r>
          </w:p>
        </w:tc>
        <w:tc>
          <w:tcPr>
            <w:tcW w:type="dxa" w:w="326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AI / Agent</w:t>
            </w:r>
          </w:p>
        </w:tc>
        <w:tc>
          <w:tcPr>
            <w:tcW w:type="dxa" w:w="44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确定性系统与治理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异常理解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结构化自然语言与事件上下文，标记缺失信息</w:t>
            </w:r>
          </w:p>
        </w:tc>
        <w:tc>
          <w:tcPr>
            <w:tcW w:type="dxa" w:w="4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schema、来源、时效与权限决定数据能否进入求解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方案生成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不直接生成生产排程</w:t>
            </w:r>
          </w:p>
        </w:tc>
        <w:tc>
          <w:tcPr>
            <w:tcW w:type="dxa" w:w="4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SSGS、CP-SAT、分解和 anytime hybrid 生成并验证候选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方案解释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基于证据解释差异、风险和需要确认的事项</w:t>
            </w:r>
          </w:p>
        </w:tc>
        <w:tc>
          <w:tcPr>
            <w:tcW w:type="dxa" w:w="4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KPI、硬约束与 feasibility certificate 不由 LLM 判断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规则演进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从 override 与失败样本提出规则候选</w:t>
            </w:r>
          </w:p>
        </w:tc>
        <w:tc>
          <w:tcPr>
            <w:tcW w:type="dxa" w:w="4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review、replay、publish 状态机决定规则是否生效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执行控制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不连接生产写回</w:t>
            </w:r>
          </w:p>
        </w:tc>
        <w:tc>
          <w:tcPr>
            <w:tcW w:type="dxa" w:w="4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双审批、短时 permit、幂等、sandbox certification 与审计控制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异常降级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说明不确定性与缺失证据</w:t>
            </w:r>
          </w:p>
        </w:tc>
        <w:tc>
          <w:tcPr>
            <w:tcW w:type="dxa" w:w="4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超时、冲突、漂移或权限不足时 fail closed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 w:eastAsia="Arial Unicode MS" w:cs="Arial Unicode MS"/>
          <w:color w:val="191F1D"/>
          <w:sz w:val="22"/>
        </w:rPr>
        <w:t>Harness 的核心是让每一步都有结构化输入输出、可调用工具、证据引用、最大执行范围、失败关闭条件和审计记录。大模型可被替换或降级，主决策责任链不随模型变化而失效。</w:t>
      </w:r>
    </w:p>
    <w:p>
      <w:pPr>
        <w:keepNext/>
        <w:spacing w:before="320" w:after="160"/>
      </w:pPr>
      <w:r>
        <w:rPr>
          <w:rFonts w:ascii="Calibri" w:hAnsi="Calibri" w:eastAsia="Arial Unicode MS" w:cs="Arial Unicode MS"/>
          <w:b/>
          <w:color w:val="2E74B5"/>
          <w:sz w:val="32"/>
        </w:rPr>
        <w:t>5. PRD、原型与产品机制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19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产品对象</w:t>
            </w:r>
          </w:p>
        </w:tc>
        <w:tc>
          <w:tcPr>
            <w:tcW w:type="dxa" w:w="31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关键状态 / 机制</w:t>
            </w:r>
          </w:p>
        </w:tc>
        <w:tc>
          <w:tcPr>
            <w:tcW w:type="dxa" w:w="436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可验证产出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Incident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new / validated / blocked / assessing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来源、时效、严重度、受影响对象与缺失字段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Schedule Snapshot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versioned / locked / stale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基准计划、约束版本、source refs 与并发保护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Candidate Plan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feasible / reference-only / blocked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KPI、硬约束报告、Gantt diff、风险与解释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Quality Gate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pass / warning / fail-closed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数据、约束、权限、置信度与证据检查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Decision Record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accepted / adjusted / rejected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确认人、理由、版本、审批与执行草案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Evidence Ledger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prediction / decision / outcome / failure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回放、ROI proxy、失败归因与审计导出</w:t>
            </w:r>
          </w:p>
        </w:tc>
      </w:tr>
    </w:tbl>
    <w:p>
      <w:pPr>
        <w:spacing w:after="40"/>
      </w:pP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PRD 覆盖背景、角色、用户故事、功能范围、页面流、输入输出、异常态、权限、埋点与验收标准。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在线 Demo 直接呈现异常选择、数据健康、三方案比较、Evidence / Trace 与人工确认。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事件埋点包括 incident_selected、candidate_generated、plan_confirmed、plan_rejected 和 fallback_triggered。</w:t>
      </w:r>
    </w:p>
    <w:p>
      <w:pPr>
        <w:keepNext/>
        <w:spacing w:before="320" w:after="160"/>
      </w:pPr>
      <w:r>
        <w:rPr>
          <w:rFonts w:ascii="Calibri" w:hAnsi="Calibri" w:eastAsia="Arial Unicode MS" w:cs="Arial Unicode MS"/>
          <w:b/>
          <w:color w:val="2E74B5"/>
          <w:sz w:val="32"/>
        </w:rPr>
        <w:t>6. 评测体系与公开结果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205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证据</w:t>
            </w:r>
          </w:p>
        </w:tc>
        <w:tc>
          <w:tcPr>
            <w:tcW w:type="dxa" w:w="225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公开结果</w:t>
            </w:r>
          </w:p>
        </w:tc>
        <w:tc>
          <w:tcPr>
            <w:tcW w:type="dxa" w:w="506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可证明范围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自动化测试</w:t>
            </w:r>
          </w:p>
        </w:tc>
        <w:tc>
          <w:tcPr>
            <w:tcW w:type="dxa" w:w="22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872 项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领域模型、API、Agent、求解、质量门、审批、回写策略与运行时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生产运行时数字孪生</w:t>
            </w:r>
          </w:p>
        </w:tc>
        <w:tc>
          <w:tcPr>
            <w:tcW w:type="dxa" w:w="22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10 / 10 gates passed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shadow、schema drift、OIDC/RBAC、备份恢复与观测路径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集成控制面</w:t>
            </w:r>
          </w:p>
        </w:tc>
        <w:tc>
          <w:tcPr>
            <w:tcW w:type="dxa" w:w="22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8 / 8 checks passed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Connector 注册、版本、认证、隔离和失败关闭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回写认证演练</w:t>
            </w:r>
          </w:p>
        </w:tc>
        <w:tc>
          <w:tcPr>
            <w:tcW w:type="dxa" w:w="22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15 / 15 checks passed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双审批、幂等、dry-run、回滚与审计；客户认证仍为 false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三行业合成回放</w:t>
            </w:r>
          </w:p>
        </w:tc>
        <w:tc>
          <w:tcPr>
            <w:tcW w:type="dxa" w:w="22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CNC / LED Fab / PCBA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证据结构、ROI proxy、PoC 前检和 replay 方法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可行性恢复</w:t>
            </w:r>
          </w:p>
        </w:tc>
        <w:tc>
          <w:tcPr>
            <w:tcW w:type="dxa" w:w="22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writeback_authorized=false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冲突诊断、受控约束放宽、Recovery Operator 与证书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 w:eastAsia="Arial Unicode MS" w:cs="Arial Unicode MS"/>
          <w:color w:val="191F1D"/>
          <w:sz w:val="22"/>
        </w:rPr>
        <w:t>评测不只统计接口通过率，还覆盖数据缺失、证据不足、超时、硬约束冲突、低置信解释、越权写回、审批篡改、幂等、schema drift、备份恢复和客户证据门等失败路径。</w:t>
      </w:r>
    </w:p>
    <w:p>
      <w:pPr>
        <w:keepNext/>
        <w:spacing w:before="320" w:after="160"/>
      </w:pPr>
      <w:r>
        <w:rPr>
          <w:rFonts w:ascii="Calibri" w:hAnsi="Calibri" w:eastAsia="Arial Unicode MS" w:cs="Arial Unicode MS"/>
          <w:b/>
          <w:color w:val="2E74B5"/>
          <w:sz w:val="32"/>
        </w:rPr>
        <w:t>7. 失败案例与迭代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26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失败现象</w:t>
            </w:r>
          </w:p>
        </w:tc>
        <w:tc>
          <w:tcPr>
            <w:tcW w:type="dxa" w:w="292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根因</w:t>
            </w:r>
          </w:p>
        </w:tc>
        <w:tc>
          <w:tcPr>
            <w:tcW w:type="dxa" w:w="384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修改方案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数据缺失仍输出强建议</w:t>
            </w:r>
          </w:p>
        </w:tc>
        <w:tc>
          <w:tcPr>
            <w:tcW w:type="dxa" w:w="29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Prompt 只约束格式，没有独立准入门</w:t>
            </w:r>
          </w:p>
        </w:tc>
        <w:tc>
          <w:tcPr>
            <w:tcW w:type="dxa" w:w="3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增加 Data Health Gate、字段合同、source refs 与停止规则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Proxy 被表述为生产事实</w:t>
            </w:r>
          </w:p>
        </w:tc>
        <w:tc>
          <w:tcPr>
            <w:tcW w:type="dxa" w:w="29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事实、推断与建议未分层</w:t>
            </w:r>
          </w:p>
        </w:tc>
        <w:tc>
          <w:tcPr>
            <w:tcW w:type="dxa" w:w="3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schema 增加 evidence type、confidence 与 uncertainty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召回过期公告或案例</w:t>
            </w:r>
          </w:p>
        </w:tc>
        <w:tc>
          <w:tcPr>
            <w:tcW w:type="dxa" w:w="29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检索命中与证据有效性混在同一步</w:t>
            </w:r>
          </w:p>
        </w:tc>
        <w:tc>
          <w:tcPr>
            <w:tcW w:type="dxa" w:w="3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增加时效、版本和 source authority 校验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规则候选被误认为已生效</w:t>
            </w:r>
          </w:p>
        </w:tc>
        <w:tc>
          <w:tcPr>
            <w:tcW w:type="dxa" w:w="29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生成与发布状态未隔离</w:t>
            </w:r>
          </w:p>
        </w:tc>
        <w:tc>
          <w:tcPr>
            <w:tcW w:type="dxa" w:w="3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建立 draft、review、replay、publish 生命周期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不可行排程只返回失败</w:t>
            </w:r>
          </w:p>
        </w:tc>
        <w:tc>
          <w:tcPr>
            <w:tcW w:type="dxa" w:w="29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缺少业务可执行的恢复路径</w:t>
            </w:r>
          </w:p>
        </w:tc>
        <w:tc>
          <w:tcPr>
            <w:tcW w:type="dxa" w:w="38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增加冲突诊断、Recovery Operator、审批与 certificate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 w:eastAsia="Arial Unicode MS" w:cs="Arial Unicode MS"/>
          <w:color w:val="191F1D"/>
          <w:sz w:val="22"/>
        </w:rPr>
        <w:t>每个失败样本按“现象 -&gt; 归因 -&gt; 修改 -&gt; 验证 -&gt; 剩余风险”记录。失败不是展示材料的附注，而是 Prompt、schema、工具边界、状态机和质量门迭代的输入。</w:t>
      </w:r>
    </w:p>
    <w:p>
      <w:pPr>
        <w:keepNext/>
        <w:spacing w:before="320" w:after="160"/>
      </w:pPr>
      <w:r>
        <w:rPr>
          <w:rFonts w:ascii="Calibri" w:hAnsi="Calibri" w:eastAsia="Arial Unicode MS" w:cs="Arial Unicode MS"/>
          <w:b/>
          <w:color w:val="2E74B5"/>
          <w:sz w:val="32"/>
        </w:rPr>
        <w:t>8. 项目推进、指标与个人贡献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17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能力</w:t>
            </w:r>
          </w:p>
        </w:tc>
        <w:tc>
          <w:tcPr>
            <w:tcW w:type="dxa" w:w="392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交付物</w:t>
            </w:r>
          </w:p>
        </w:tc>
        <w:tc>
          <w:tcPr>
            <w:tcW w:type="dxa" w:w="374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证明重点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行业调研</w:t>
            </w:r>
          </w:p>
        </w:tc>
        <w:tc>
          <w:tcPr>
            <w:tcW w:type="dxa" w:w="39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市场/先进标准对标、金蝶定位、服务 AI 竞品迁移</w:t>
            </w:r>
          </w:p>
        </w:tc>
        <w:tc>
          <w:tcPr>
            <w:tcW w:type="dxa" w:w="37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确定异常响应层切口与竞合边界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用户需求</w:t>
            </w:r>
          </w:p>
        </w:tc>
        <w:tc>
          <w:tcPr>
            <w:tcW w:type="dxa" w:w="39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计划员、生产、质检、设备、IT 角色与原/新流程</w:t>
            </w:r>
          </w:p>
        </w:tc>
        <w:tc>
          <w:tcPr>
            <w:tcW w:type="dxa" w:w="37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把隐性经验转化为对象、状态、权限和决策节点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PRD / 原型</w:t>
            </w:r>
          </w:p>
        </w:tc>
        <w:tc>
          <w:tcPr>
            <w:tcW w:type="dxa" w:w="39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用户故事、页面流、异常态、权限、埋点、验收、互动 Demo</w:t>
            </w:r>
          </w:p>
        </w:tc>
        <w:tc>
          <w:tcPr>
            <w:tcW w:type="dxa" w:w="37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形成研发可执行与可感知的产品定义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项目推进</w:t>
            </w:r>
          </w:p>
        </w:tc>
        <w:tc>
          <w:tcPr>
            <w:tcW w:type="dxa" w:w="39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需求、评审、研发、联调、灰度、风险、责任人与阶段门</w:t>
            </w:r>
          </w:p>
        </w:tc>
        <w:tc>
          <w:tcPr>
            <w:tcW w:type="dxa" w:w="37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用 MVP delivery plan 管理交付节奏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上线指标</w:t>
            </w:r>
          </w:p>
        </w:tc>
        <w:tc>
          <w:tcPr>
            <w:tcW w:type="dxa" w:w="39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时效、Top-K 可行覆盖、采纳、业务代理、稳定性与风险</w:t>
            </w:r>
          </w:p>
        </w:tc>
        <w:tc>
          <w:tcPr>
            <w:tcW w:type="dxa" w:w="37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区分模型、方案、产品、业务和治理指标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创新输入</w:t>
            </w:r>
          </w:p>
        </w:tc>
        <w:tc>
          <w:tcPr>
            <w:tcW w:type="dxa" w:w="39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Agent + solver + guardrail + human-in-the-loop Harness</w:t>
            </w:r>
          </w:p>
        </w:tc>
        <w:tc>
          <w:tcPr>
            <w:tcW w:type="dxa" w:w="37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让概率型 AI 与确定性系统共同承担可审计闭环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 w:eastAsia="Arial Unicode MS" w:cs="Arial Unicode MS"/>
          <w:color w:val="191F1D"/>
          <w:sz w:val="22"/>
        </w:rPr>
        <w:t>项目按“需求与假设 -&gt; PRD / 原型 -&gt; 技术内核 -&gt; 前后端联调 -&gt; 自动化评测 -&gt; 数字孪生演练 -&gt; 上线就绪评估”推进。阶段门分别检查数据、可行性、治理、可观测性和客户证据。</w:t>
      </w:r>
    </w:p>
    <w:p>
      <w:pPr>
        <w:spacing w:before="0" w:after="120" w:line="264" w:lineRule="auto"/>
      </w:pPr>
      <w:r>
        <w:rPr>
          <w:rFonts w:ascii="Calibri" w:hAnsi="Calibri" w:eastAsia="Arial Unicode MS" w:cs="Arial Unicode MS"/>
          <w:color w:val="191F1D"/>
          <w:sz w:val="22"/>
        </w:rPr>
        <w:t>指标体系：North Star 为受控异常决策时间；护栏包括硬约束可行率、Top-K feasible coverage、审计完整率、越权写回次数、fallback rate、P95 求解与 Agent 延迟。业务代理包括延期变化、扰动范围、计划员采纳和案例复用，但代理指标不等同于真实 ROI。</w:t>
      </w:r>
    </w:p>
    <w:p>
      <w:pPr>
        <w:spacing w:before="0" w:after="120" w:line="264" w:lineRule="auto"/>
      </w:pPr>
      <w:r>
        <w:rPr>
          <w:rFonts w:ascii="Calibri" w:hAnsi="Calibri" w:eastAsia="Arial Unicode MS" w:cs="Arial Unicode MS"/>
          <w:color w:val="191F1D"/>
          <w:sz w:val="22"/>
        </w:rPr>
        <w:t>个人贡献：完成问题定义、竞品与主系统边界、用户流程、PRD、原型逻辑、Agent contract、质量门、核心工程实现、自动化测试、失败样本、数字孪生验证、材料整理与公开发布；同时明确哪些结论仍需 Design Partner 数据与现场验收。</w:t>
      </w:r>
    </w:p>
    <w:p>
      <w:pPr>
        <w:keepNext/>
        <w:spacing w:before="320" w:after="160"/>
      </w:pPr>
      <w:r>
        <w:rPr>
          <w:rFonts w:ascii="Calibri" w:hAnsi="Calibri" w:eastAsia="Arial Unicode MS" w:cs="Arial Unicode MS"/>
          <w:b/>
          <w:color w:val="2E74B5"/>
          <w:sz w:val="32"/>
        </w:rPr>
        <w:t>9. 当前边界与下一阶段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真实 Design Partner 案例数为 0，尚无客户生产数据、现场采纳率或财务确认 ROI。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公开结果来自自动化测试、公开来源数据、合成回放与数字孪生演练。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生产自动写回默认关闭；客户 Sandbox、权限、回滚、安全和现场验收必须独立完成。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LLM 不负责生产事实、硬约束、排程可行性或最终执行责任。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205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阶段</w:t>
            </w:r>
          </w:p>
        </w:tc>
        <w:tc>
          <w:tcPr>
            <w:tcW w:type="dxa" w:w="382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进入条件</w:t>
            </w:r>
          </w:p>
        </w:tc>
        <w:tc>
          <w:tcPr>
            <w:tcW w:type="dxa" w:w="349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/>
                <w:color w:val="1F4D78"/>
                <w:sz w:val="18"/>
              </w:rPr>
              <w:t>主要验证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Replay-ready（当前）</w:t>
            </w:r>
          </w:p>
        </w:tc>
        <w:tc>
          <w:tcPr>
            <w:tcW w:type="dxa" w:w="38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公开/合成数据、完整 schema、无生产写回</w:t>
            </w:r>
          </w:p>
        </w:tc>
        <w:tc>
          <w:tcPr>
            <w:tcW w:type="dxa" w:w="34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工程行为、证据结构与失败关闭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Shadow-ready</w:t>
            </w:r>
          </w:p>
        </w:tc>
        <w:tc>
          <w:tcPr>
            <w:tcW w:type="dxa" w:w="38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10-30 个客户历史案例、来源签署、只读 Connector</w:t>
            </w:r>
          </w:p>
        </w:tc>
        <w:tc>
          <w:tcPr>
            <w:tcW w:type="dxa" w:w="34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计划员基线、Top-K 覆盖、阈值校准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Controlled-pilot-ready</w:t>
            </w:r>
          </w:p>
        </w:tc>
        <w:tc>
          <w:tcPr>
            <w:tcW w:type="dxa" w:w="38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客户 Sandbox、双审批、回滚、安全与审计验收</w:t>
            </w:r>
          </w:p>
        </w:tc>
        <w:tc>
          <w:tcPr>
            <w:tcW w:type="dxa" w:w="34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小范围受控执行与结果复盘</w:t>
            </w:r>
          </w:p>
        </w:tc>
      </w:tr>
      <w:tr>
        <w:trPr>
          <w:cantSplit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Production acceptance</w:t>
            </w:r>
          </w:p>
        </w:tc>
        <w:tc>
          <w:tcPr>
            <w:tcW w:type="dxa" w:w="38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客户 IdP、HA/DR、运维、数据授权、现场签字</w:t>
            </w:r>
          </w:p>
        </w:tc>
        <w:tc>
          <w:tcPr>
            <w:tcW w:type="dxa" w:w="34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Arial Unicode MS" w:cs="Arial Unicode MS"/>
                <w:b w:val="0"/>
                <w:sz w:val="18"/>
              </w:rPr>
              <w:t>稳定性、组织流程、真实价值与责任边界</w:t>
            </w:r>
          </w:p>
        </w:tc>
      </w:tr>
    </w:tbl>
    <w:p>
      <w:pPr>
        <w:spacing w:after="40"/>
      </w:pPr>
    </w:p>
    <w:p>
      <w:pPr>
        <w:keepNext/>
        <w:spacing w:before="320" w:after="160"/>
      </w:pPr>
      <w:r>
        <w:rPr>
          <w:rFonts w:ascii="Calibri" w:hAnsi="Calibri" w:eastAsia="Arial Unicode MS" w:cs="Arial Unicode MS"/>
          <w:b/>
          <w:color w:val="2E74B5"/>
          <w:sz w:val="32"/>
        </w:rPr>
        <w:t>10. 证据索引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公开仓库：https://github.com/eulalee001020-star/reorch-zhice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产品 PRD：docs/product/prd_decision_workbench.md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业务流程与原型：docs/portfolio/business_process_flow.md；docs/portfolio/prototype_logic.md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评测与失败：docs/portfolio/evaluation_guardrail_cases.md；docs/portfolio/failure_iteration_log.md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运行时验证：docs/validation/production_runtime_completion_report_20260712.md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可行性恢复：docs/validation/feasibility_restoration_validation_20260713.md</w:t>
      </w:r>
    </w:p>
    <w:p>
      <w:pPr>
        <w:spacing w:after="160" w:line="280" w:lineRule="auto"/>
        <w:ind w:left="720" w:hanging="360"/>
      </w:pPr>
      <w:r>
        <w:rPr>
          <w:rFonts w:ascii="Calibri" w:hAnsi="Calibri" w:eastAsia="Arial Unicode MS" w:cs="Arial Unicode MS"/>
          <w:b/>
          <w:color w:val="176B4D"/>
          <w:sz w:val="21"/>
        </w:rPr>
        <w:t xml:space="preserve">• </w:t>
      </w:r>
      <w:r>
        <w:rPr>
          <w:rFonts w:ascii="Calibri" w:hAnsi="Calibri" w:eastAsia="Arial Unicode MS" w:cs="Arial Unicode MS"/>
          <w:color w:val="191F1D"/>
          <w:sz w:val="21"/>
        </w:rPr>
        <w:t>个人贡献：docs/portfolio/personal_contribution.md</w:t>
      </w:r>
    </w:p>
    <w:sectPr>
      <w:footerReference w:type="default" r:id="rId9"/>
      <w:pgSz w:w="12240" w:h="15840"/>
      <w:pgMar w:top="1123" w:right="1440" w:bottom="1037" w:left="1440" w:header="461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Arial Unicode MS" w:cs="Arial Unicode MS"/>
        <w:color w:val="5B6560"/>
        <w:sz w:val="17"/>
      </w:rPr>
      <w:t xml:space="preserve">ReOrch 智策  |  Page </w:t>
    </w:r>
    <w: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Arial Unicode M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ReOrch 智策 AI 产品作品集</dc:title>
  <dc:subject>工业异常恢复决策 Copilot</dc:subject>
  <dc:creator/>
  <cp:keywords>Industrial AI, Agent, Scheduling, Decision Support, Portfolio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