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1.png" ContentType="image/png"/>
  <Override PartName="/word/media/rId11.png" ContentType="image/png"/>
  <Override PartName="/word/media/rId18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14.png" ContentType="image/png"/>
  <Override PartName="/word/media/rId23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c7ced2eb3f39c3f3d46960a004ccd1e1c4c04c1"/>
    <w:p>
      <w:pPr>
        <w:pStyle w:val="Heading1"/>
      </w:pPr>
      <w:r>
        <w:t xml:space="preserve">Relatório final: peptídeos GORE frente às tripsinas de</w:t>
      </w:r>
      <w:r>
        <w:t xml:space="preserve"> </w:t>
      </w:r>
      <w:r>
        <w:rPr>
          <w:i/>
          <w:iCs/>
        </w:rPr>
        <w:t xml:space="preserve">A. gemmatalis</w:t>
      </w:r>
      <w:r>
        <w:t xml:space="preserve">,</w:t>
      </w:r>
      <w:r>
        <w:t xml:space="preserve"> </w:t>
      </w:r>
      <w:r>
        <w:rPr>
          <w:i/>
          <w:iCs/>
        </w:rPr>
        <w:t xml:space="preserve">S. frugiperda</w:t>
      </w:r>
      <w:r>
        <w:t xml:space="preserve"> </w:t>
      </w:r>
      <w:r>
        <w:t xml:space="preserve">e bovina (Boltz-2)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03/10/2026.</w:t>
      </w:r>
      <w:r>
        <w:t xml:space="preserve"> </w:t>
      </w:r>
      <w:r>
        <w:rPr>
          <w:b/>
          <w:bCs/>
        </w:rPr>
        <w:t xml:space="preserve">Escopo (fixado pelo usuário):</w:t>
      </w:r>
      <w:r>
        <w:t xml:space="preserve"> </w:t>
      </w:r>
      <w:r>
        <w:t xml:space="preserve">só Boltz-2 (interação e afinidade), ranking por energia, mapa de resíduos de interação a menos de 5 Å, análise em dois estados de ionização do ligante (8,2 e 10, este exploratório). Sem MD, sem outro co-folder, sem PROPKA.</w:t>
      </w:r>
      <w:r>
        <w:t xml:space="preserve"> </w:t>
      </w:r>
      <w:r>
        <w:rPr>
          <w:b/>
          <w:bCs/>
        </w:rPr>
        <w:t xml:space="preserve">Substitui</w:t>
      </w:r>
      <w:r>
        <w:t xml:space="preserve"> </w:t>
      </w:r>
      <w:r>
        <w:rPr>
          <w:rStyle w:val="VerbatimChar"/>
        </w:rPr>
        <w:t xml:space="preserve">COMPARATIVO_GORE_Boltz2.md</w:t>
      </w:r>
      <w:r>
        <w:t xml:space="preserve"> </w:t>
      </w:r>
      <w:r>
        <w:t xml:space="preserve">(30/09, só semente 101). Metodologia detalhada e QC:</w:t>
      </w:r>
      <w:r>
        <w:t xml:space="preserve"> </w:t>
      </w:r>
      <w:r>
        <w:rPr>
          <w:rStyle w:val="VerbatimChar"/>
        </w:rPr>
        <w:t xml:space="preserve">RESULTADOS_vivo.md</w:t>
      </w:r>
      <w:r>
        <w:t xml:space="preserve">.</w:t>
      </w:r>
      <w:r>
        <w:t xml:space="preserve"> </w:t>
      </w:r>
      <w:r>
        <w:rPr>
          <w:b/>
          <w:bCs/>
        </w:rPr>
        <w:t xml:space="preserve">Códigos:</w:t>
      </w:r>
      <w:r>
        <w:t xml:space="preserve"> </w:t>
      </w:r>
      <w:r>
        <w:t xml:space="preserve">L01–L11 = série da imagem (L01 = peptídeo-mãe do GORE3); G1 e G2 = GORE1 e GORE2; N1–N4 = controles negativos; X1–X3 = controles cristalográficos (tripsina suína). Receptores: Ag =</w:t>
      </w:r>
      <w:r>
        <w:t xml:space="preserve"> </w:t>
      </w:r>
      <w:r>
        <w:rPr>
          <w:i/>
          <w:iCs/>
        </w:rPr>
        <w:t xml:space="preserve">A. gemmatalis</w:t>
      </w:r>
      <w:r>
        <w:t xml:space="preserve"> </w:t>
      </w:r>
      <w:r>
        <w:t xml:space="preserve">(DN1937), Sf =</w:t>
      </w:r>
      <w:r>
        <w:t xml:space="preserve"> </w:t>
      </w:r>
      <w:r>
        <w:rPr>
          <w:i/>
          <w:iCs/>
        </w:rPr>
        <w:t xml:space="preserve">S. frugiperda</w:t>
      </w:r>
      <w:r>
        <w:t xml:space="preserve"> </w:t>
      </w:r>
      <w:r>
        <w:t xml:space="preserve">(A0A9R0D3A2), Bov = bovina; D189G = mutante do Asp189. As sequências ficam só em</w:t>
      </w:r>
      <w:r>
        <w:t xml:space="preserve"> </w:t>
      </w:r>
      <w:r>
        <w:rPr>
          <w:rStyle w:val="VerbatimChar"/>
        </w:rPr>
        <w:t xml:space="preserve">data/private/ligands.tsv</w:t>
      </w:r>
      <w:r>
        <w:t xml:space="preserve"> </w:t>
      </w:r>
      <w:r>
        <w:t xml:space="preserve">(fora do git).</w:t>
      </w:r>
    </w:p>
    <w:bookmarkStart w:id="9" w:name="resumo"/>
    <w:p>
      <w:pPr>
        <w:pStyle w:val="Heading2"/>
      </w:pPr>
      <w:r>
        <w:t xml:space="preserve">1. Resumo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Rodadas completas com 2 sementes (101 e 102).</w:t>
      </w:r>
      <w:r>
        <w:t xml:space="preserve"> </w:t>
      </w:r>
      <w:r>
        <w:t xml:space="preserve">Interação (braço P, 880 poses) e afinidade (braço S, 94 complexos × 2 sementes) mais os conjuntos de ionização (C82 e C10, 51 complexos cada, 2 sementes; C10Kn e C10Ym, 1 semente).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qualidade estrutural se mantém.</w:t>
      </w:r>
      <w:r>
        <w:t xml:space="preserve"> </w:t>
      </w:r>
      <w:r>
        <w:t xml:space="preserve">59 de 60 modelos de receptor, 877 de 880 poses do braço P e 564 de 564 do braço S passam no QC pré-registrado. As 3 poses reprovadas têm a tríade catalítica aberta (His57···Asp102 de 4,9 Å).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semente 102 não muda nenhuma conclusão da fase 1.</w:t>
      </w:r>
      <w:r>
        <w:t xml:space="preserve"> </w:t>
      </w:r>
      <w:r>
        <w:t xml:space="preserve">Concordância entre sementes da afinidade: ρ = 0,989 (n = 94), diferença mediana de 0,05 unidade de log₁₀ IC₅₀. O critério fixado antes do resultado (ρ &lt; 0,7 tira o ranking das conclusões) não foi acionado. O D189G reaparece nas duas sementes. A inversão G2 &gt; L01 persiste.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Ranking por energia (neutro, 3 receptores):</w:t>
      </w:r>
      <w:r>
        <w:t xml:space="preserve"> </w:t>
      </w:r>
      <w:r>
        <w:t xml:space="preserve">L03 (posto médio 2,0), G2 (2,3) e L01 (3,7) lideram; L11 (12,3) e L05 (11,3) são os últimos. Só L03 fica entre os 3 primeiros nos três receptores.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Mapa a menos de 5 Å:</w:t>
      </w:r>
      <w:r>
        <w:t xml:space="preserve"> </w:t>
      </w:r>
      <w:r>
        <w:t xml:space="preserve">o bolsão S1 e a tríade são contatados em praticamente todos os complexos; o que distingue os ligantes é a borda do sítio (11 resíduos variáveis por receptor, Figura 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Dois estados de ionização (exploratório):</w:t>
      </w:r>
      <w:r>
        <w:t xml:space="preserve"> </w:t>
      </w:r>
      <w:r>
        <w:t xml:space="preserve">a ordem dos ligantes se mantém entre 8,2 e 10 (ρ = 0,74 no Ag; 0,92 no Sf; 0,90 no bovino) e o deslocamento médio é próximo de zero (−0,05 a −0,19 kcal/mol, sem significância). Não é leitura do efeito do pH sobre a tripsina; ver seção 6 antes de usar este resultado.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afinidade do Boltz-2 continua não confiável para ranking de potência.</w:t>
      </w:r>
      <w:r>
        <w:t xml:space="preserve"> </w:t>
      </w:r>
      <w:r>
        <w:t xml:space="preserve">A ordem experimental G2 &gt; L01 só sai correta no Sf, e a magnitude prevista erra o Ki em 1 a 4 ordens. É a segunda falha, depois de 12/08.</w:t>
      </w:r>
    </w:p>
    <w:bookmarkEnd w:id="9"/>
    <w:bookmarkStart w:id="10" w:name="métodos-em-uma-página"/>
    <w:p>
      <w:pPr>
        <w:pStyle w:val="Heading2"/>
      </w:pPr>
      <w:r>
        <w:t xml:space="preserve">2. Métodos em uma página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Boltz-2 2.2.1</w:t>
      </w:r>
      <w:r>
        <w:t xml:space="preserve">, 5 receptores (Ag, Sf, Bov, Ag D189G, Sf D189G; Pig só para os cristais), 17 ligantes (13 alvos + 4 negativos) + benzamidina.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Braço P:</w:t>
      </w:r>
      <w:r>
        <w:t xml:space="preserve"> </w:t>
      </w:r>
      <w:r>
        <w:t xml:space="preserve">peptídeo como cadeia de proteína, 5 amostras de difusão, 880 poses (2 sementes). Mede interação.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Braço S:</w:t>
      </w:r>
      <w:r>
        <w:t xml:space="preserve"> </w:t>
      </w:r>
      <w:r>
        <w:t xml:space="preserve">peptídeo como ligante SMILES +</w:t>
      </w:r>
      <w:r>
        <w:t xml:space="preserve"> </w:t>
      </w:r>
      <w:r>
        <w:rPr>
          <w:rStyle w:val="VerbatimChar"/>
        </w:rPr>
        <w:t xml:space="preserve">properties.affinity</w:t>
      </w:r>
      <w:r>
        <w:t xml:space="preserve">, 3 amostras, 564 poses (2 sementes). Mede afinidade; o Boltz-2 devolve log₁₀ IC₅₀ (µM) e probabilidade de ligante, cada um como média de 2 modelos do ensemble.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Energia:</w:t>
      </w:r>
      <w:r>
        <w:t xml:space="preserve"> </w:t>
      </w:r>
      <w:r>
        <w:t xml:space="preserve">ΔG = −1,364 · (6 − log₁₀ IC₅₀[µM]) kcal/mol (convenção da documentação do Boltz-2). É conversão de um IC₅₀ previsto; não é energia livre calculada.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Mapa:</w:t>
      </w:r>
      <w:r>
        <w:t xml:space="preserve"> </w:t>
      </w:r>
      <w:r>
        <w:t xml:space="preserve">contato = qualquer átomo do peptídeo a menos de 5 Å de qualquer átomo do resíduo; frequência sobre as poses (2 sementes × amostras), numeração de tripsina (alinhamento ao 1BTY).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Ionização:</w:t>
      </w:r>
      <w:r>
        <w:t xml:space="preserve"> </w:t>
      </w:r>
      <w:r>
        <w:t xml:space="preserve">o Boltz-2 aplica</w:t>
      </w:r>
      <w:r>
        <w:t xml:space="preserve"> </w:t>
      </w:r>
      <w:r>
        <w:rPr>
          <w:rStyle w:val="VerbatimChar"/>
        </w:rPr>
        <w:t xml:space="preserve">standardize()</w:t>
      </w:r>
      <w:r>
        <w:t xml:space="preserve"> </w:t>
      </w:r>
      <w:r>
        <w:t xml:space="preserve">ao SMILES quando há afinidade, o que neutraliza cargas (erratum de 02/10). Para obter ligantes carregados,</w:t>
      </w:r>
      <w:r>
        <w:t xml:space="preserve"> </w:t>
      </w:r>
      <w:r>
        <w:rPr>
          <w:rStyle w:val="VerbatimChar"/>
        </w:rPr>
        <w:t xml:space="preserve">bin/boltz_nostd.py</w:t>
      </w:r>
      <w:r>
        <w:t xml:space="preserve"> </w:t>
      </w:r>
      <w:r>
        <w:t xml:space="preserve">desativa essa etapa em processo próprio (o Boltz instalado não foi alterado). Conjuntos: C82 (pH 8,2: N-terminal e Lys protonados), C10 (pH 10: N-terminal neutro, Lys protonada, Tyr neutra), C10Kn (Lys neutra) e C10Ym (Tyr fenolato). Três receptores nativos.</w:t>
      </w:r>
    </w:p>
    <w:bookmarkEnd w:id="10"/>
    <w:bookmarkStart w:id="17" w:name="qualidade-dos-modelos"/>
    <w:p>
      <w:pPr>
        <w:pStyle w:val="Heading2"/>
      </w:pPr>
      <w:r>
        <w:t xml:space="preserve">3. Qualidade dos modelos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Resultado (2 sementes)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Receptores</w:t>
            </w:r>
          </w:p>
        </w:tc>
        <w:tc>
          <w:tcPr/>
          <w:p>
            <w:pPr>
              <w:pStyle w:val="Compact"/>
            </w:pPr>
            <w:r>
              <w:t xml:space="preserve">59/60 passam (única reprovação: 1 modelo do Pig, tríade quebrada); TM-score vs 1BTY 0,93 (Ag), 0,94 (Sf), ≥ 0,99 (Bov, Pig); bolsão S1 a ≤ 0,6 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Poses, braço P</w:t>
            </w:r>
          </w:p>
        </w:tc>
        <w:tc>
          <w:tcPr/>
          <w:p>
            <w:pPr>
              <w:pStyle w:val="Compact"/>
            </w:pPr>
            <w:r>
              <w:t xml:space="preserve">877/880 passam; reprovadas: Sf–N4 (s101), Ag–L08 (s102), Bov–L01 (s102), todas por His57···Asp102 de 4,9 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Poses, braço S</w:t>
            </w:r>
          </w:p>
        </w:tc>
        <w:tc>
          <w:tcPr/>
          <w:p>
            <w:pPr>
              <w:pStyle w:val="Compact"/>
            </w:pPr>
            <w:r>
              <w:t xml:space="preserve">564/564 passam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Controles cristalográficos (só semente 101)</w:t>
            </w:r>
          </w:p>
        </w:tc>
        <w:tc>
          <w:tcPr/>
          <w:p>
            <w:pPr>
              <w:pStyle w:val="Compact"/>
            </w:pPr>
            <w:r>
              <w:t xml:space="preserve">LRMSD 0,83 Å (X1), 0,88 Å (X2), 0,61 Å (X3); fnat 0,97–0,99; P1 a 2,7–2,9 Å do Asp189, no cristal e no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Reprodutibilidade</w:t>
            </w:r>
          </w:p>
        </w:tc>
        <w:tc>
          <w:tcPr/>
          <w:p>
            <w:pPr>
              <w:pStyle w:val="Compact"/>
            </w:pPr>
            <w:r>
              <w:t xml:space="preserve">ver seção 5.1</w:t>
            </w:r>
          </w:p>
        </w:tc>
      </w:tr>
    </w:tbl>
    <w:p>
      <w:pPr>
        <w:pStyle w:val="BodyText"/>
      </w:pPr>
      <w:r>
        <w:t xml:space="preserve">Ressalva: X1–X3 são anteriores ao corte de treino do Boltz-2 (01/06/2023). Validam o procedimento, não a generalização. O</w:t>
      </w:r>
      <w:r>
        <w:t xml:space="preserve"> </w:t>
      </w:r>
      <w:r>
        <w:rPr>
          <w:rStyle w:val="VerbatimChar"/>
        </w:rPr>
        <w:t xml:space="preserve">probe</w:t>
      </w:r>
      <w:r>
        <w:t xml:space="preserve"> </w:t>
      </w:r>
      <w:r>
        <w:t xml:space="preserve">(MolProbity clashscore) não rodou no servidor; usei contagem própria de contatos &lt; 2,2 Å.</w:t>
      </w:r>
    </w:p>
    <w:p>
      <w:pPr>
        <w:pStyle w:val="CaptionedFigure"/>
      </w:pPr>
      <w:r>
        <w:drawing>
          <wp:inline>
            <wp:extent cx="5334000" cy="1406236"/>
            <wp:effectExtent b="0" l="0" r="0" t="0"/>
            <wp:docPr descr="Figura 1. QC dos receptores." title="" id="12" name="Picture"/>
            <a:graphic>
              <a:graphicData uri="http://schemas.openxmlformats.org/drawingml/2006/picture">
                <pic:pic>
                  <pic:nvPicPr>
                    <pic:cNvPr descr="results/figuras/fig1_qc_receptor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QC dos receptores.</w:t>
      </w:r>
    </w:p>
    <w:p>
      <w:pPr>
        <w:pStyle w:val="CaptionedFigure"/>
      </w:pPr>
      <w:r>
        <w:drawing>
          <wp:inline>
            <wp:extent cx="5334000" cy="1551709"/>
            <wp:effectExtent b="0" l="0" r="0" t="0"/>
            <wp:docPr descr="Figura 7. QC por pose." title="" id="15" name="Picture"/>
            <a:graphic>
              <a:graphicData uri="http://schemas.openxmlformats.org/drawingml/2006/picture">
                <pic:pic>
                  <pic:nvPicPr>
                    <pic:cNvPr descr="results/figuras/fig7_qc_pos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QC por pose.</w:t>
      </w:r>
    </w:p>
    <w:bookmarkEnd w:id="17"/>
    <w:bookmarkStart w:id="21" w:name="interação"/>
    <w:p>
      <w:pPr>
        <w:pStyle w:val="Heading2"/>
      </w:pPr>
      <w:r>
        <w:t xml:space="preserve">4. Interação</w:t>
      </w:r>
    </w:p>
    <w:p>
      <w:pPr>
        <w:pStyle w:val="FirstParagraph"/>
      </w:pPr>
      <w:r>
        <w:rPr>
          <w:b/>
          <w:bCs/>
        </w:rPr>
        <w:t xml:space="preserve">Tabela 1. Confiança estrutural (média dos 13 alvos; negativos entre parênteses)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Receptor</w:t>
            </w:r>
          </w:p>
        </w:tc>
        <w:tc>
          <w:tcPr/>
          <w:p>
            <w:pPr>
              <w:pStyle w:val="Compact"/>
            </w:pPr>
            <w:r>
              <w:t xml:space="preserve">ipTM</w:t>
            </w:r>
          </w:p>
        </w:tc>
        <w:tc>
          <w:tcPr/>
          <w:p>
            <w:pPr>
              <w:pStyle w:val="Compact"/>
            </w:pPr>
            <w:r>
              <w:t xml:space="preserve">ipSAE</w:t>
            </w:r>
          </w:p>
        </w:tc>
        <w:tc>
          <w:tcPr/>
          <w:p>
            <w:pPr>
              <w:pStyle w:val="Compact"/>
            </w:pPr>
            <w:r>
              <w:t xml:space="preserve">P1 no S1 (braço 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</w:t>
            </w:r>
          </w:p>
        </w:tc>
        <w:tc>
          <w:tcPr/>
          <w:p>
            <w:pPr>
              <w:pStyle w:val="Compact"/>
            </w:pPr>
            <w:r>
              <w:t xml:space="preserve">0,95 (0,86)</w:t>
            </w:r>
          </w:p>
        </w:tc>
        <w:tc>
          <w:tcPr/>
          <w:p>
            <w:pPr>
              <w:pStyle w:val="Compact"/>
            </w:pPr>
            <w:r>
              <w:t xml:space="preserve">0,69 (0,25)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</w:t>
            </w:r>
          </w:p>
        </w:tc>
        <w:tc>
          <w:tcPr/>
          <w:p>
            <w:pPr>
              <w:pStyle w:val="Compact"/>
            </w:pPr>
            <w:r>
              <w:t xml:space="preserve">0,98 (0,92)</w:t>
            </w:r>
          </w:p>
        </w:tc>
        <w:tc>
          <w:tcPr/>
          <w:p>
            <w:pPr>
              <w:pStyle w:val="Compact"/>
            </w:pPr>
            <w:r>
              <w:t xml:space="preserve">0,86 (0,42)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Bov</w:t>
            </w:r>
          </w:p>
        </w:tc>
        <w:tc>
          <w:tcPr/>
          <w:p>
            <w:pPr>
              <w:pStyle w:val="Compact"/>
            </w:pPr>
            <w:r>
              <w:t xml:space="preserve">0,97 (0,87)</w:t>
            </w:r>
          </w:p>
        </w:tc>
        <w:tc>
          <w:tcPr/>
          <w:p>
            <w:pPr>
              <w:pStyle w:val="Compact"/>
            </w:pPr>
            <w:r>
              <w:t xml:space="preserve">0,77 (0,27)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 D189G</w:t>
            </w:r>
          </w:p>
        </w:tc>
        <w:tc>
          <w:tcPr/>
          <w:p>
            <w:pPr>
              <w:pStyle w:val="Compact"/>
            </w:pPr>
            <w:r>
              <w:t xml:space="preserve">0,94 (0,78)</w:t>
            </w:r>
          </w:p>
        </w:tc>
        <w:tc>
          <w:tcPr/>
          <w:p>
            <w:pPr>
              <w:pStyle w:val="Compact"/>
            </w:pPr>
            <w:r>
              <w:t xml:space="preserve">0,63 (0,25)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 D189G</w:t>
            </w:r>
          </w:p>
        </w:tc>
        <w:tc>
          <w:tcPr/>
          <w:p>
            <w:pPr>
              <w:pStyle w:val="Compact"/>
            </w:pPr>
            <w:r>
              <w:t xml:space="preserve">0,97 (0,89)</w:t>
            </w:r>
          </w:p>
        </w:tc>
        <w:tc>
          <w:tcPr/>
          <w:p>
            <w:pPr>
              <w:pStyle w:val="Compact"/>
            </w:pPr>
            <w:r>
              <w:t xml:space="preserve">0,80 (0,40)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O ipTM é alto para tudo, inclusive negativos (0,78–0,92); o</w:t>
      </w:r>
      <w:r>
        <w:t xml:space="preserve"> </w:t>
      </w:r>
      <w:r>
        <w:rPr>
          <w:b/>
          <w:bCs/>
        </w:rPr>
        <w:t xml:space="preserve">ipSAE separa melhor</w:t>
      </w:r>
      <w:r>
        <w:t xml:space="preserve"> </w:t>
      </w:r>
      <w:r>
        <w:t xml:space="preserve">alvos de negativos.</w:t>
      </w:r>
    </w:p>
    <w:p>
      <w:pPr>
        <w:pStyle w:val="Compact"/>
        <w:numPr>
          <w:ilvl w:val="0"/>
          <w:numId w:val="1003"/>
        </w:numPr>
      </w:pPr>
      <w:r>
        <w:t xml:space="preserve">No D189G o P1 básico sai do S1, mas ipTM e ipSAE quase não mudam (ΔipSAE ≈ −0,06): a confiança estrutural não detecta a perda do sítio de reconhecimento.</w:t>
      </w:r>
    </w:p>
    <w:p>
      <w:pPr>
        <w:pStyle w:val="Compact"/>
        <w:numPr>
          <w:ilvl w:val="0"/>
          <w:numId w:val="1003"/>
        </w:numPr>
      </w:pPr>
      <w:r>
        <w:t xml:space="preserve">Sf tem ipSAE maior que Ag em todos os 13 alvos, mas o pLDDT do receptor Sf é o menor dos três (94,4 contra 97,5–98,1). Não reflete melhor dobramento.</w:t>
      </w:r>
    </w:p>
    <w:p>
      <w:pPr>
        <w:pStyle w:val="CaptionedFigure"/>
      </w:pPr>
      <w:r>
        <w:drawing>
          <wp:inline>
            <wp:extent cx="5334000" cy="2311400"/>
            <wp:effectExtent b="0" l="0" r="0" t="0"/>
            <wp:docPr descr="Figura 2. Interação: ipTM, ipSAE e ocupação do S1." title="" id="19" name="Picture"/>
            <a:graphic>
              <a:graphicData uri="http://schemas.openxmlformats.org/drawingml/2006/picture">
                <pic:pic>
                  <pic:nvPicPr>
                    <pic:cNvPr descr="results/figuras/fig2_interacao_heatmap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Interação: ipTM, ipSAE e ocupação do S1.</w:t>
      </w:r>
    </w:p>
    <w:bookmarkEnd w:id="21"/>
    <w:bookmarkStart w:id="43" w:name="afinidade-e-ranking-por-energia"/>
    <w:p>
      <w:pPr>
        <w:pStyle w:val="Heading2"/>
      </w:pPr>
      <w:r>
        <w:t xml:space="preserve">5. Afinidade e ranking por energia</w:t>
      </w:r>
    </w:p>
    <w:bookmarkStart w:id="22" w:name="reprodutibilidade"/>
    <w:p>
      <w:pPr>
        <w:pStyle w:val="Heading3"/>
      </w:pPr>
      <w:r>
        <w:t xml:space="preserve">5.1 Reprodutibilidade</w:t>
      </w:r>
    </w:p>
    <w:p>
      <w:pPr>
        <w:pStyle w:val="Compact"/>
        <w:numPr>
          <w:ilvl w:val="0"/>
          <w:numId w:val="1004"/>
        </w:numPr>
      </w:pPr>
      <w:r>
        <w:t xml:space="preserve">Entre sementes (S, 94 complexos): ρ = 0,989; |Δ| mediano 0,05 e máximo 0,35 em log₁₀ IC₅₀ (≈ 0,07 e 0,48 kcal/mol). Por receptor, ρ = 0,97–1,00.</w:t>
      </w:r>
    </w:p>
    <w:p>
      <w:pPr>
        <w:pStyle w:val="Compact"/>
        <w:numPr>
          <w:ilvl w:val="0"/>
          <w:numId w:val="1004"/>
        </w:numPr>
      </w:pPr>
      <w:r>
        <w:t xml:space="preserve">Entre os 2 modelos do ensemble: ρ = 0,58 e diferença média de 0,86 em log₁₀ IC₅₀ (≈ 1,2 kcal/mol).</w:t>
      </w:r>
      <w:r>
        <w:t xml:space="preserve"> </w:t>
      </w:r>
      <w:r>
        <w:rPr>
          <w:b/>
          <w:bCs/>
        </w:rPr>
        <w:t xml:space="preserve">Esta é a incerteza que importa</w:t>
      </w:r>
      <w:r>
        <w:t xml:space="preserve">: a repetição por semente mede precisão, não acerto, e é muito menor que a discordância interna do próprio Boltz-2. Diferenças de ΔG menores que cerca de 1 kcal/mol entre dois ligantes não devem sustentar conclusão.</w:t>
      </w:r>
    </w:p>
    <w:bookmarkEnd w:id="22"/>
    <w:bookmarkStart w:id="26" w:name="ranking-por-energia"/>
    <w:p>
      <w:pPr>
        <w:pStyle w:val="Heading3"/>
      </w:pPr>
      <w:r>
        <w:t xml:space="preserve">5.2 Ranking por energia</w:t>
      </w:r>
    </w:p>
    <w:p>
      <w:pPr>
        <w:pStyle w:val="FirstParagraph"/>
      </w:pPr>
      <w:r>
        <w:rPr>
          <w:b/>
          <w:bCs/>
        </w:rPr>
        <w:t xml:space="preserve">Tabela 2. ΔG previsto (kcal/mol; mais negativo = mais forte), neutro, 2 sementes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Ligante</w:t>
            </w:r>
          </w:p>
        </w:tc>
        <w:tc>
          <w:tcPr/>
          <w:p>
            <w:pPr>
              <w:pStyle w:val="Compact"/>
            </w:pPr>
            <w:r>
              <w:t xml:space="preserve">ΔG Ag</w:t>
            </w:r>
          </w:p>
        </w:tc>
        <w:tc>
          <w:tcPr/>
          <w:p>
            <w:pPr>
              <w:pStyle w:val="Compact"/>
            </w:pPr>
            <w:r>
              <w:t xml:space="preserve">ΔG Sf</w:t>
            </w:r>
          </w:p>
        </w:tc>
        <w:tc>
          <w:tcPr/>
          <w:p>
            <w:pPr>
              <w:pStyle w:val="Compact"/>
            </w:pPr>
            <w:r>
              <w:t xml:space="preserve">ΔG Bov</w:t>
            </w:r>
          </w:p>
        </w:tc>
        <w:tc>
          <w:tcPr/>
          <w:p>
            <w:pPr>
              <w:pStyle w:val="Compact"/>
            </w:pPr>
            <w:r>
              <w:t xml:space="preserve">Posto Ag</w:t>
            </w:r>
          </w:p>
        </w:tc>
        <w:tc>
          <w:tcPr/>
          <w:p>
            <w:pPr>
              <w:pStyle w:val="Compact"/>
            </w:pPr>
            <w:r>
              <w:t xml:space="preserve">Posto Sf</w:t>
            </w:r>
          </w:p>
        </w:tc>
        <w:tc>
          <w:tcPr/>
          <w:p>
            <w:pPr>
              <w:pStyle w:val="Compact"/>
            </w:pPr>
            <w:r>
              <w:t xml:space="preserve">Posto Bov</w:t>
            </w:r>
          </w:p>
        </w:tc>
        <w:tc>
          <w:tcPr/>
          <w:p>
            <w:pPr>
              <w:pStyle w:val="Compact"/>
            </w:pPr>
            <w:r>
              <w:t xml:space="preserve">Posto 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L03</w:t>
            </w:r>
          </w:p>
        </w:tc>
        <w:tc>
          <w:tcPr/>
          <w:p>
            <w:pPr>
              <w:pStyle w:val="Compact"/>
            </w:pPr>
            <w:r>
              <w:t xml:space="preserve">-7,58</w:t>
            </w:r>
          </w:p>
        </w:tc>
        <w:tc>
          <w:tcPr/>
          <w:p>
            <w:pPr>
              <w:pStyle w:val="Compact"/>
            </w:pPr>
            <w:r>
              <w:t xml:space="preserve">-7,98</w:t>
            </w:r>
          </w:p>
        </w:tc>
        <w:tc>
          <w:tcPr/>
          <w:p>
            <w:pPr>
              <w:pStyle w:val="Compact"/>
            </w:pPr>
            <w:r>
              <w:t xml:space="preserve">-7,74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-7,94</w:t>
            </w:r>
          </w:p>
        </w:tc>
        <w:tc>
          <w:tcPr/>
          <w:p>
            <w:pPr>
              <w:pStyle w:val="Compact"/>
            </w:pPr>
            <w:r>
              <w:t xml:space="preserve">-8,68</w:t>
            </w:r>
          </w:p>
        </w:tc>
        <w:tc>
          <w:tcPr/>
          <w:p>
            <w:pPr>
              <w:pStyle w:val="Compact"/>
            </w:pPr>
            <w:r>
              <w:t xml:space="preserve">-7,07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L01</w:t>
            </w:r>
          </w:p>
        </w:tc>
        <w:tc>
          <w:tcPr/>
          <w:p>
            <w:pPr>
              <w:pStyle w:val="Compact"/>
            </w:pPr>
            <w:r>
              <w:t xml:space="preserve">-8,52</w:t>
            </w:r>
          </w:p>
        </w:tc>
        <w:tc>
          <w:tcPr/>
          <w:p>
            <w:pPr>
              <w:pStyle w:val="Compact"/>
            </w:pPr>
            <w:r>
              <w:t xml:space="preserve">-7,25</w:t>
            </w:r>
          </w:p>
        </w:tc>
        <w:tc>
          <w:tcPr/>
          <w:p>
            <w:pPr>
              <w:pStyle w:val="Compact"/>
            </w:pPr>
            <w:r>
              <w:t xml:space="preserve">-7,61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L02</w:t>
            </w:r>
          </w:p>
        </w:tc>
        <w:tc>
          <w:tcPr/>
          <w:p>
            <w:pPr>
              <w:pStyle w:val="Compact"/>
            </w:pPr>
            <w:r>
              <w:t xml:space="preserve">-7,38</w:t>
            </w:r>
          </w:p>
        </w:tc>
        <w:tc>
          <w:tcPr/>
          <w:p>
            <w:pPr>
              <w:pStyle w:val="Compact"/>
            </w:pPr>
            <w:r>
              <w:t xml:space="preserve">-7,47</w:t>
            </w:r>
          </w:p>
        </w:tc>
        <w:tc>
          <w:tcPr/>
          <w:p>
            <w:pPr>
              <w:pStyle w:val="Compact"/>
            </w:pPr>
            <w:r>
              <w:t xml:space="preserve">-7,65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L09</w:t>
            </w:r>
          </w:p>
        </w:tc>
        <w:tc>
          <w:tcPr/>
          <w:p>
            <w:pPr>
              <w:pStyle w:val="Compact"/>
            </w:pPr>
            <w:r>
              <w:t xml:space="preserve">-6,96</w:t>
            </w:r>
          </w:p>
        </w:tc>
        <w:tc>
          <w:tcPr/>
          <w:p>
            <w:pPr>
              <w:pStyle w:val="Compact"/>
            </w:pPr>
            <w:r>
              <w:t xml:space="preserve">-7,84</w:t>
            </w:r>
          </w:p>
        </w:tc>
        <w:tc>
          <w:tcPr/>
          <w:p>
            <w:pPr>
              <w:pStyle w:val="Compact"/>
            </w:pPr>
            <w:r>
              <w:t xml:space="preserve">-6,78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-7,46</w:t>
            </w:r>
          </w:p>
        </w:tc>
        <w:tc>
          <w:tcPr/>
          <w:p>
            <w:pPr>
              <w:pStyle w:val="Compact"/>
            </w:pPr>
            <w:r>
              <w:t xml:space="preserve">-7,43</w:t>
            </w:r>
          </w:p>
        </w:tc>
        <w:tc>
          <w:tcPr/>
          <w:p>
            <w:pPr>
              <w:pStyle w:val="Compact"/>
            </w:pPr>
            <w:r>
              <w:t xml:space="preserve">-6,09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L06</w:t>
            </w:r>
          </w:p>
        </w:tc>
        <w:tc>
          <w:tcPr/>
          <w:p>
            <w:pPr>
              <w:pStyle w:val="Compact"/>
            </w:pPr>
            <w:r>
              <w:t xml:space="preserve">-6,40</w:t>
            </w:r>
          </w:p>
        </w:tc>
        <w:tc>
          <w:tcPr/>
          <w:p>
            <w:pPr>
              <w:pStyle w:val="Compact"/>
            </w:pPr>
            <w:r>
              <w:t xml:space="preserve">-7,44</w:t>
            </w:r>
          </w:p>
        </w:tc>
        <w:tc>
          <w:tcPr/>
          <w:p>
            <w:pPr>
              <w:pStyle w:val="Compact"/>
            </w:pPr>
            <w:r>
              <w:t xml:space="preserve">-6,69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L04</w:t>
            </w:r>
          </w:p>
        </w:tc>
        <w:tc>
          <w:tcPr/>
          <w:p>
            <w:pPr>
              <w:pStyle w:val="Compact"/>
            </w:pPr>
            <w:r>
              <w:t xml:space="preserve">-7,43</w:t>
            </w:r>
          </w:p>
        </w:tc>
        <w:tc>
          <w:tcPr/>
          <w:p>
            <w:pPr>
              <w:pStyle w:val="Compact"/>
            </w:pPr>
            <w:r>
              <w:t xml:space="preserve">-5,93</w:t>
            </w:r>
          </w:p>
        </w:tc>
        <w:tc>
          <w:tcPr/>
          <w:p>
            <w:pPr>
              <w:pStyle w:val="Compact"/>
            </w:pPr>
            <w:r>
              <w:t xml:space="preserve">-5,82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L08</w:t>
            </w:r>
          </w:p>
        </w:tc>
        <w:tc>
          <w:tcPr/>
          <w:p>
            <w:pPr>
              <w:pStyle w:val="Compact"/>
            </w:pPr>
            <w:r>
              <w:t xml:space="preserve">-6,34</w:t>
            </w:r>
          </w:p>
        </w:tc>
        <w:tc>
          <w:tcPr/>
          <w:p>
            <w:pPr>
              <w:pStyle w:val="Compact"/>
            </w:pPr>
            <w:r>
              <w:t xml:space="preserve">-6,96</w:t>
            </w:r>
          </w:p>
        </w:tc>
        <w:tc>
          <w:tcPr/>
          <w:p>
            <w:pPr>
              <w:pStyle w:val="Compact"/>
            </w:pPr>
            <w:r>
              <w:t xml:space="preserve">-6,14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L07</w:t>
            </w:r>
          </w:p>
        </w:tc>
        <w:tc>
          <w:tcPr/>
          <w:p>
            <w:pPr>
              <w:pStyle w:val="Compact"/>
            </w:pPr>
            <w:r>
              <w:t xml:space="preserve">-7,48</w:t>
            </w:r>
          </w:p>
        </w:tc>
        <w:tc>
          <w:tcPr/>
          <w:p>
            <w:pPr>
              <w:pStyle w:val="Compact"/>
            </w:pPr>
            <w:r>
              <w:t xml:space="preserve">-5,87</w:t>
            </w:r>
          </w:p>
        </w:tc>
        <w:tc>
          <w:tcPr/>
          <w:p>
            <w:pPr>
              <w:pStyle w:val="Compact"/>
            </w:pPr>
            <w:r>
              <w:t xml:space="preserve">-4,63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9,3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-7,10</w:t>
            </w:r>
          </w:p>
        </w:tc>
        <w:tc>
          <w:tcPr/>
          <w:p>
            <w:pPr>
              <w:pStyle w:val="Compact"/>
            </w:pPr>
            <w:r>
              <w:t xml:space="preserve">-6,35</w:t>
            </w:r>
          </w:p>
        </w:tc>
        <w:tc>
          <w:tcPr/>
          <w:p>
            <w:pPr>
              <w:pStyle w:val="Compact"/>
            </w:pPr>
            <w:r>
              <w:t xml:space="preserve">-5,48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L05</w:t>
            </w:r>
          </w:p>
        </w:tc>
        <w:tc>
          <w:tcPr/>
          <w:p>
            <w:pPr>
              <w:pStyle w:val="Compact"/>
            </w:pPr>
            <w:r>
              <w:t xml:space="preserve">-5,99</w:t>
            </w:r>
          </w:p>
        </w:tc>
        <w:tc>
          <w:tcPr/>
          <w:p>
            <w:pPr>
              <w:pStyle w:val="Compact"/>
            </w:pPr>
            <w:r>
              <w:t xml:space="preserve">-5,81</w:t>
            </w:r>
          </w:p>
        </w:tc>
        <w:tc>
          <w:tcPr/>
          <w:p>
            <w:pPr>
              <w:pStyle w:val="Compact"/>
            </w:pPr>
            <w:r>
              <w:t xml:space="preserve">-5,91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11,3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-6,20</w:t>
            </w:r>
          </w:p>
        </w:tc>
        <w:tc>
          <w:tcPr/>
          <w:p>
            <w:pPr>
              <w:pStyle w:val="Compact"/>
            </w:pPr>
            <w:r>
              <w:t xml:space="preserve">-5,49</w:t>
            </w:r>
          </w:p>
        </w:tc>
        <w:tc>
          <w:tcPr/>
          <w:p>
            <w:pPr>
              <w:pStyle w:val="Compact"/>
            </w:pPr>
            <w:r>
              <w:t xml:space="preserve">-5,04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12,3</w:t>
            </w:r>
          </w:p>
        </w:tc>
      </w:tr>
    </w:tbl>
    <w:p>
      <w:pPr>
        <w:pStyle w:val="BodyText"/>
      </w:pPr>
      <w:r>
        <w:t xml:space="preserve">Referências (fora do ranking), Ag/Sf/Bov: N1 −4,54/−4,40/−4,16; N2 −5,39/−5,23/−5,29; N3 −6,75/−6,94/−6,46; N4 −7,52/−6,72/−6,44; benzamidina −5,78/−5,69/−6,00.</w:t>
      </w:r>
    </w:p>
    <w:p>
      <w:pPr>
        <w:pStyle w:val="BodyText"/>
      </w:pPr>
      <w:r>
        <w:rPr>
          <w:b/>
          <w:bCs/>
        </w:rPr>
        <w:t xml:space="preserve">Leitura.</w:t>
      </w:r>
      <w:r>
        <w:t xml:space="preserve"> </w:t>
      </w:r>
      <w:r>
        <w:t xml:space="preserve">Há dois grupos relativamente estáveis: L03, G2, L01 e L02 no topo; L05 e L11 no fim. No meio, os postos mudam muito entre receptores (L07 é 4º no Ag e 13º no bovino; L09 é 9º no Ag e 3º no Sf), então o posto médio não deve ser lido como ordem fina. N3 e N4 (com troca do P1) recebem ΔG de −6,4 a −7,5, próximo de vários alvos: o módulo de afinidade não pune de forma clara a perda do P1 básico.</w:t>
      </w:r>
    </w:p>
    <w:p>
      <w:pPr>
        <w:pStyle w:val="CaptionedFigure"/>
      </w:pPr>
      <w:r>
        <w:drawing>
          <wp:inline>
            <wp:extent cx="5334000" cy="1842654"/>
            <wp:effectExtent b="0" l="0" r="0" t="0"/>
            <wp:docPr descr="Figura 8. Ranking por energia nos três receptores." title="" id="24" name="Picture"/>
            <a:graphic>
              <a:graphicData uri="http://schemas.openxmlformats.org/drawingml/2006/picture">
                <pic:pic>
                  <pic:nvPicPr>
                    <pic:cNvPr descr="results/figuras/fig8_ranking_energ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Ranking por energia nos três receptores.</w:t>
      </w:r>
    </w:p>
    <w:bookmarkEnd w:id="26"/>
    <w:bookmarkStart w:id="27" w:name="X90a284bb926ed3075c412beefb03c9c9609499d"/>
    <w:p>
      <w:pPr>
        <w:pStyle w:val="Heading3"/>
      </w:pPr>
      <w:r>
        <w:t xml:space="preserve">5.3 Comparação entre receptores (13 alvos, pareada)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Inseto × bovino:</w:t>
      </w:r>
      <w:r>
        <w:t xml:space="preserve"> </w:t>
      </w:r>
      <w:r>
        <w:t xml:space="preserve">afinidade prevista mais forte nos insetos (Ag − Bov = −0,57 em log₁₀ IC₅₀, IC95% [−0,95; −0,24], p = 0,021; Sf − Bov = −0,44, [−0,68; −0,21], p = 0,008; 10 de 13 alvos em cada). Não há dado experimental de seletividade: é hipótese, não resultado.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 × Sf:</w:t>
      </w:r>
      <w:r>
        <w:t xml:space="preserve"> </w:t>
      </w:r>
      <w:r>
        <w:t xml:space="preserve">sem diferença detectável (Δ = −0,13; p = 0,59). A ordem entre alvos concorda bem entre Sf e Bov (ρ = 0,84), pouco entre Ag e Sf (ρ = 0,49, p = 0,09) e Ag e Bov (ρ = 0,41).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Probabilidade de ligante:</w:t>
      </w:r>
      <w:r>
        <w:t xml:space="preserve"> </w:t>
      </w:r>
      <w:r>
        <w:t xml:space="preserve">maior no Sf que no bovino (+0,17; p = 0,0002); sem diferença entre Ag e bovino (p = 0,31).</w:t>
      </w:r>
    </w:p>
    <w:bookmarkEnd w:id="27"/>
    <w:bookmarkStart w:id="28" w:name="controles"/>
    <w:p>
      <w:pPr>
        <w:pStyle w:val="Heading3"/>
      </w:pPr>
      <w:r>
        <w:t xml:space="preserve">5.4 Controles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Alvos × negativos (probabilidade de ligante)</w:t>
            </w:r>
          </w:p>
        </w:tc>
        <w:tc>
          <w:tcPr/>
          <w:p>
            <w:pPr>
              <w:pStyle w:val="Compact"/>
            </w:pPr>
            <w:r>
              <w:t xml:space="preserve">AUC 0,92 (Ag), 1,00 (Sf), 1,00 (Bov); pelo valor de afinidade, 0,69–0,81. Só 4 negativos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Benzamidina</w:t>
            </w:r>
          </w:p>
        </w:tc>
        <w:tc>
          <w:tcPr/>
          <w:p>
            <w:pPr>
              <w:pStyle w:val="Compact"/>
            </w:pPr>
            <w:r>
              <w:t xml:space="preserve">log₁₀ IC₅₀ 1,76 / 1,83 / 1,60 (Ag/Sf/Bov); p(ligante) 0,70 / 0,62 / 0,78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D189G (controle de receptor)</w:t>
            </w:r>
          </w:p>
        </w:tc>
        <w:tc>
          <w:tcPr/>
          <w:p>
            <w:pPr>
              <w:pStyle w:val="Compact"/>
            </w:pPr>
            <w:r>
              <w:t xml:space="preserve">log₁₀ IC₅₀ sobe +0,73 no Ag (IC95% [0,48; 0,97], p = 0,0007) e +0,63 no Sf ([0,33; 0,96], p = 0,0046); reaparece em cada semente (+0,48/+0,53 no Ag, +0,44/+0,53 no Sf, médias sobre os 17 ligantes sem a benzamidina). A afinidade acompanha o D189G; o ipTM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Afinidade × ipSAE</w:t>
            </w:r>
          </w:p>
        </w:tc>
        <w:tc>
          <w:tcPr/>
          <w:p>
            <w:pPr>
              <w:pStyle w:val="Compact"/>
            </w:pPr>
            <w:r>
              <w:t xml:space="preserve">ρ = −0,14 (Ag), −0,40 (Sf), −0,35 (Bov), todos n.s.: as duas métricas não contam a mesma história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Viés de tamanho</w:t>
            </w:r>
          </w:p>
        </w:tc>
        <w:tc>
          <w:tcPr/>
          <w:p>
            <w:pPr>
              <w:pStyle w:val="Compact"/>
            </w:pPr>
            <w:r>
              <w:t xml:space="preserve">afinidade × comprimento: ρ = −0,24 (Ag), −0,21 (Sf), −0,61 (Bov, p = 0,028)</w:t>
            </w:r>
          </w:p>
        </w:tc>
      </w:tr>
    </w:tbl>
    <w:bookmarkEnd w:id="28"/>
    <w:bookmarkStart w:id="38" w:name="contra-o-ki-experimental-conhecido"/>
    <w:p>
      <w:pPr>
        <w:pStyle w:val="Heading3"/>
      </w:pPr>
      <w:r>
        <w:t xml:space="preserve">5.5 Contra o Ki experimental conhecido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Ligante</w:t>
            </w:r>
          </w:p>
        </w:tc>
        <w:tc>
          <w:tcPr/>
          <w:p>
            <w:pPr>
              <w:pStyle w:val="Compact"/>
            </w:pPr>
            <w:r>
              <w:t xml:space="preserve">Receptor</w:t>
            </w:r>
          </w:p>
        </w:tc>
        <w:tc>
          <w:tcPr/>
          <w:p>
            <w:pPr>
              <w:pStyle w:val="Compact"/>
            </w:pPr>
            <w:r>
              <w:t xml:space="preserve">log₁₀ IC₅₀ previsto (µM)</w:t>
            </w:r>
          </w:p>
        </w:tc>
        <w:tc>
          <w:tcPr/>
          <w:p>
            <w:pPr>
              <w:pStyle w:val="Compact"/>
            </w:pPr>
            <w:r>
              <w:t xml:space="preserve">Ki exp. (µM)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Ag / Sf / Bov</w:t>
            </w:r>
          </w:p>
        </w:tc>
        <w:tc>
          <w:tcPr/>
          <w:p>
            <w:pPr>
              <w:pStyle w:val="Compact"/>
            </w:pPr>
            <w:r>
              <w:t xml:space="preserve">0,18 / −0,36 / 0,82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L01</w:t>
            </w:r>
          </w:p>
        </w:tc>
        <w:tc>
          <w:tcPr/>
          <w:p>
            <w:pPr>
              <w:pStyle w:val="Compact"/>
            </w:pPr>
            <w:r>
              <w:t xml:space="preserve">Ag / Sf / Bov</w:t>
            </w:r>
          </w:p>
        </w:tc>
        <w:tc>
          <w:tcPr/>
          <w:p>
            <w:pPr>
              <w:pStyle w:val="Compact"/>
            </w:pPr>
            <w:r>
              <w:t xml:space="preserve">−0,24 / 0,68 / 0,42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Ordem G2 &gt; L01 (G2 é o mais potente):</w:t>
      </w:r>
      <w:r>
        <w:t xml:space="preserve"> </w:t>
      </w:r>
      <w:r>
        <w:t xml:space="preserve">correta só no Sf (Δ = −1,04); invertida no Ag (+0,42) e no bovino (+0,40). Resultado igual ao da semente 101.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Magnitude:</w:t>
      </w:r>
      <w:r>
        <w:t xml:space="preserve"> </w:t>
      </w:r>
      <w:r>
        <w:t xml:space="preserve">previsto 15 a 7.000 vezes mais forte que o Ki. IC₅₀ previsto e Ki não são a mesma grandeza e as condições de ensaio diferem, mas a distância de 1 a 4 ordens de grandeza invalida o valor absoluto.</w:t>
      </w:r>
    </w:p>
    <w:p>
      <w:pPr>
        <w:pStyle w:val="Compact"/>
        <w:numPr>
          <w:ilvl w:val="0"/>
          <w:numId w:val="1006"/>
        </w:numPr>
      </w:pPr>
      <w:r>
        <w:t xml:space="preserve">Só dois pontos experimentais; n = 3 em 12/08, também invertido.</w:t>
      </w:r>
      <w:r>
        <w:t xml:space="preserve"> </w:t>
      </w:r>
      <w:r>
        <w:rPr>
          <w:b/>
          <w:bCs/>
        </w:rPr>
        <w:t xml:space="preserve">Veredito firmado com 2 sementes: a afinidade do Boltz-2 não serve para ranking de potência destes peptídeos.</w:t>
      </w:r>
      <w:r>
        <w:t xml:space="preserve"> </w:t>
      </w:r>
      <w:r>
        <w:t xml:space="preserve">O ranking da seção 5.2 descreve o que o modelo prevê, não a potência real.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Ki e pH do ensaio na fonte (Saikhedkar et al. 2018,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Insect Biochem Mol Biol</w:t>
      </w:r>
      <w:r>
        <w:rPr>
          <w:b/>
          <w:bCs/>
        </w:rPr>
        <w:t xml:space="preserve">, PMID 29486250):</w:t>
      </w:r>
      <w:r>
        <w:t xml:space="preserve"> </w:t>
      </w:r>
      <w:r>
        <w:t xml:space="preserve">texto completo não acessível (sem PMC, sem acesso aberto). O resumo diz só, de forma qualitativa, que os tripeptídeos PRN, PRY e TRE são inibidores potentes e mais eficazes em pH intestinal alcalino.</w:t>
      </w:r>
      <w:r>
        <w:t xml:space="preserve"> </w:t>
      </w:r>
      <w:r>
        <w:rPr>
          <w:b/>
          <w:bCs/>
        </w:rPr>
        <w:t xml:space="preserve">Informação insuficiente</w:t>
      </w:r>
      <w:r>
        <w:t xml:space="preserve"> </w:t>
      </w:r>
      <w:r>
        <w:t xml:space="preserve">para Ki de X1–X3, de G1/G2 e para o pH dos ensaios; não foram inferidos. Os valores de Ki de G1 e G2 usados nos testes (0,10 e 4,00 mM) seguem como foram informados no projeto, sem conferência na fonte.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Figura 3. Afinidade: log₁₀ IC₅₀ e probabilidade de ligante." title="" id="30" name="Picture"/>
            <a:graphic>
              <a:graphicData uri="http://schemas.openxmlformats.org/drawingml/2006/picture">
                <pic:pic>
                  <pic:nvPicPr>
                    <pic:cNvPr descr="results/figuras/fig3_afinidade_heatmap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Afinidade: log₁₀ IC₅₀ e probabilidade de ligante.</w:t>
      </w:r>
    </w:p>
    <w:p>
      <w:pPr>
        <w:pStyle w:val="CaptionedFigure"/>
      </w:pPr>
      <w:r>
        <w:drawing>
          <wp:inline>
            <wp:extent cx="5334000" cy="1745672"/>
            <wp:effectExtent b="0" l="0" r="0" t="0"/>
            <wp:docPr descr="Figura 4. Ag × Sf." title="" id="33" name="Picture"/>
            <a:graphic>
              <a:graphicData uri="http://schemas.openxmlformats.org/drawingml/2006/picture">
                <pic:pic>
                  <pic:nvPicPr>
                    <pic:cNvPr descr="results/figuras/fig4_Ag_vs_Sf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Ag × Sf.</w:t>
      </w:r>
    </w:p>
    <w:p>
      <w:pPr>
        <w:pStyle w:val="CaptionedFigure"/>
      </w:pPr>
      <w:r>
        <w:drawing>
          <wp:inline>
            <wp:extent cx="5334000" cy="2021305"/>
            <wp:effectExtent b="0" l="0" r="0" t="0"/>
            <wp:docPr descr="Figura 5. Controles (S1, D189G, cristais)." title="" id="36" name="Picture"/>
            <a:graphic>
              <a:graphicData uri="http://schemas.openxmlformats.org/drawingml/2006/picture">
                <pic:pic>
                  <pic:nvPicPr>
                    <pic:cNvPr descr="results/figuras/fig5_control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Controles (S1, D189G, cristais).</w:t>
      </w:r>
    </w:p>
    <w:bookmarkEnd w:id="38"/>
    <w:bookmarkStart w:id="42" w:name="cluspro-da-imagem"/>
    <w:p>
      <w:pPr>
        <w:pStyle w:val="Heading3"/>
      </w:pPr>
      <w:r>
        <w:t xml:space="preserve">5.6 ClusPro da imagem</w:t>
      </w:r>
    </w:p>
    <w:p>
      <w:pPr>
        <w:pStyle w:val="FirstParagraph"/>
      </w:pPr>
      <w:r>
        <w:t xml:space="preserve">Em n = 11 (L01–L11): concordância com a afinidade (Lowest Energy) forte no Ag (ρ = 0,82; Score Center 0,92) e não significativa no Sf (0,45) e no bovino (0,43). O próprio ClusPro correlaciona com o comprimento (ρ = 0,69, p = 0,019). Controlando o comprimento, o Ag cai para r = 0,76 (p = 0,006) e Sf e bovino desaparecem (0,20; −0,17). A origem do receptor usado no ClusPro segue desconhecida. São comparações sem correção para múltiplos testes.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Figura 6. Concordância com o ClusPro." title="" id="40" name="Picture"/>
            <a:graphic>
              <a:graphicData uri="http://schemas.openxmlformats.org/drawingml/2006/picture">
                <pic:pic>
                  <pic:nvPicPr>
                    <pic:cNvPr descr="results/figuras/fig6_cluspro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Concordância com o ClusPro.</w:t>
      </w:r>
    </w:p>
    <w:bookmarkEnd w:id="42"/>
    <w:bookmarkEnd w:id="43"/>
    <w:bookmarkStart w:id="47" w:name="mapa-de-resíduos-a-menos-de-5-å"/>
    <w:p>
      <w:pPr>
        <w:pStyle w:val="Heading2"/>
      </w:pPr>
      <w:r>
        <w:t xml:space="preserve">6. Mapa de resíduos a menos de 5 Å</w:t>
      </w:r>
    </w:p>
    <w:p>
      <w:pPr>
        <w:pStyle w:val="CaptionedFigure"/>
      </w:pPr>
      <w:r>
        <w:drawing>
          <wp:inline>
            <wp:extent cx="5334000" cy="2274498"/>
            <wp:effectExtent b="0" l="0" r="0" t="0"/>
            <wp:docPr descr="Figura 9. Resíduos a menos de 5 Å, por ligante e receptor (braço P)." title="" id="45" name="Picture"/>
            <a:graphic>
              <a:graphicData uri="http://schemas.openxmlformats.org/drawingml/2006/picture">
                <pic:pic>
                  <pic:nvPicPr>
                    <pic:cNvPr descr="results/figuras/fig9_mapa_5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Resíduos a menos de 5 Å, por ligante e receptor (braço 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Constantes.</w:t>
      </w:r>
      <w:r>
        <w:t xml:space="preserve"> </w:t>
      </w:r>
      <w:r>
        <w:t xml:space="preserve">Contato em ≥ 90% das poses de todos os 13 alvos: 9 resíduos no Ag, 17 no Sf e 15 no bovino, concentrados no bolsão S1 (189–192, 213–220, 226), na tríade (His57, Ser195) e nos resíduos 193–195. Isto era esperado pelo desenho (P1 básico no S1).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Variáveis.</w:t>
      </w:r>
      <w:r>
        <w:t xml:space="preserve"> </w:t>
      </w:r>
      <w:r>
        <w:t xml:space="preserve">Distinguem os ligantes: Ag, 41, 42, 99, 102, 146, 172, 175, 194, 221, 226, 227; Sf, 42, 146, 147, 172, 173, 174, 217, 221, 225, 227, 228; bovino, 94, 97, 98, 172, 175, 217, 221, 224, 225, 227, 228. Os resíduos 172, 221 e 227 variam nos três. N1 e N2 (controles negativos) mostram contatos mais esparsos que os alvos.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Uso e limite.</w:t>
      </w:r>
      <w:r>
        <w:t xml:space="preserve"> </w:t>
      </w:r>
      <w:r>
        <w:t xml:space="preserve">O mapa é descritivo. Frequências entre 0,3 e 0,7 resumem poucas amostras (2 sementes × 5 amostras) e não há baseline de ruído por semente para o mapa; diferenças de 1 a 2 resíduos nessa faixa não são interpretáveis. As listas completas (resíduo × ligante, mediana da distância mínima, posição do peptídeo) estão em</w:t>
      </w:r>
      <w:r>
        <w:t xml:space="preserve"> </w:t>
      </w:r>
      <w:r>
        <w:rPr>
          <w:rStyle w:val="VerbatimChar"/>
        </w:rPr>
        <w:t xml:space="preserve">results/contatos_5A_&lt;receptor&gt;.csv</w:t>
      </w:r>
      <w:r>
        <w:t xml:space="preserve">.</w:t>
      </w:r>
    </w:p>
    <w:bookmarkEnd w:id="47"/>
    <w:bookmarkStart w:id="54" w:name="Xddd14231ec28cc9026b1eb1c368e1bc7310c3ac"/>
    <w:p>
      <w:pPr>
        <w:pStyle w:val="Heading2"/>
      </w:pPr>
      <w:r>
        <w:t xml:space="preserve">7. Dois estados de ionização do ligante (exploratório)</w:t>
      </w:r>
    </w:p>
    <w:p>
      <w:pPr>
        <w:pStyle w:val="FirstParagraph"/>
      </w:pPr>
      <w:r>
        <w:rPr>
          <w:b/>
          <w:bCs/>
        </w:rPr>
        <w:t xml:space="preserve">Rótulo obrigatório: exploratório. Entrada carregada fora da distribuição de treino do módulo de afinidade; sem validação.</w:t>
      </w:r>
      <w:r>
        <w:t xml:space="preserve"> </w:t>
      </w:r>
      <w:r>
        <w:t xml:space="preserve">A coluna validada continua sendo a neutra (padrão do Boltz-2).</w:t>
      </w:r>
    </w:p>
    <w:p>
      <w:pPr>
        <w:pStyle w:val="BodyText"/>
      </w:pPr>
      <w:r>
        <w:rPr>
          <w:b/>
          <w:bCs/>
        </w:rPr>
        <w:t xml:space="preserve">O que o experimento é e o que não é.</w:t>
      </w:r>
      <w:r>
        <w:t xml:space="preserve"> </w:t>
      </w:r>
      <w:r>
        <w:t xml:space="preserve">O Boltz-2 não titula nada: o receptor entra como sequência e a única coisa que muda entre C82 e C10 é a carga declarada no SMILES do ligante (N-terminal NH₃⁺ → NH₂; Lys ε com 76% protonada em pH 10; Tyr com cerca de 56% neutra). O resultado mede a</w:t>
      </w:r>
      <w:r>
        <w:t xml:space="preserve"> </w:t>
      </w:r>
      <w:r>
        <w:rPr>
          <w:b/>
          <w:bCs/>
        </w:rPr>
        <w:t xml:space="preserve">sensibilidade da predição à carga do ligante</w:t>
      </w:r>
      <w:r>
        <w:t xml:space="preserve">, não o efeito físico do pH na tripsina (que inclui, por exemplo, a ponte salina Ile16–Asp194). O braço P é invariante ao pH por construção e não foi refeito.</w:t>
      </w:r>
    </w:p>
    <w:p>
      <w:pPr>
        <w:pStyle w:val="BodyText"/>
      </w:pPr>
      <w:r>
        <w:rPr>
          <w:b/>
          <w:bCs/>
        </w:rPr>
        <w:t xml:space="preserve">Resultados (13 alvos por receptor):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Receptor</w:t>
            </w:r>
          </w:p>
        </w:tc>
        <w:tc>
          <w:tcPr/>
          <w:p>
            <w:pPr>
              <w:pStyle w:val="Compact"/>
            </w:pPr>
            <w:r>
              <w:t xml:space="preserve">Δ(C10 − C82), média ± DP (kcal/mol)</w:t>
            </w:r>
          </w:p>
        </w:tc>
        <w:tc>
          <w:tcPr/>
          <w:p>
            <w:pPr>
              <w:pStyle w:val="Compact"/>
            </w:pPr>
            <w:r>
              <w:t xml:space="preserve">Wilcoxon p</w:t>
            </w:r>
          </w:p>
        </w:tc>
        <w:tc>
          <w:tcPr/>
          <w:p>
            <w:pPr>
              <w:pStyle w:val="Compact"/>
            </w:pPr>
            <w:r>
              <w:t xml:space="preserve">ρ entre C82 e C10</w:t>
            </w:r>
          </w:p>
        </w:tc>
        <w:tc>
          <w:tcPr/>
          <w:p>
            <w:pPr>
              <w:pStyle w:val="Compact"/>
            </w:pPr>
            <w:r>
              <w:t xml:space="preserve">Jaccard médio do mapa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</w:t>
            </w:r>
          </w:p>
        </w:tc>
        <w:tc>
          <w:tcPr/>
          <w:p>
            <w:pPr>
              <w:pStyle w:val="Compact"/>
            </w:pPr>
            <w:r>
              <w:t xml:space="preserve">−0,05 ± 0,53</w:t>
            </w:r>
          </w:p>
        </w:tc>
        <w:tc>
          <w:tcPr/>
          <w:p>
            <w:pPr>
              <w:pStyle w:val="Compact"/>
            </w:pPr>
            <w:r>
              <w:t xml:space="preserve">0,69</w:t>
            </w:r>
          </w:p>
        </w:tc>
        <w:tc>
          <w:tcPr/>
          <w:p>
            <w:pPr>
              <w:pStyle w:val="Compact"/>
            </w:pPr>
            <w:r>
              <w:t xml:space="preserve">0,74</w:t>
            </w:r>
          </w:p>
        </w:tc>
        <w:tc>
          <w:tcPr/>
          <w:p>
            <w:pPr>
              <w:pStyle w:val="Compact"/>
            </w:pPr>
            <w:r>
              <w:t xml:space="preserve">0,93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</w:t>
            </w:r>
          </w:p>
        </w:tc>
        <w:tc>
          <w:tcPr/>
          <w:p>
            <w:pPr>
              <w:pStyle w:val="Compact"/>
            </w:pPr>
            <w:r>
              <w:t xml:space="preserve">−0,19 ± 0,33</w:t>
            </w:r>
          </w:p>
        </w:tc>
        <w:tc>
          <w:tcPr/>
          <w:p>
            <w:pPr>
              <w:pStyle w:val="Compact"/>
            </w:pPr>
            <w:r>
              <w:t xml:space="preserve">0,068</w:t>
            </w:r>
          </w:p>
        </w:tc>
        <w:tc>
          <w:tcPr/>
          <w:p>
            <w:pPr>
              <w:pStyle w:val="Compact"/>
            </w:pPr>
            <w:r>
              <w:t xml:space="preserve">0,92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Bov</w:t>
            </w:r>
          </w:p>
        </w:tc>
        <w:tc>
          <w:tcPr/>
          <w:p>
            <w:pPr>
              <w:pStyle w:val="Compact"/>
            </w:pPr>
            <w:r>
              <w:t xml:space="preserve">−0,12 ± 0,40</w:t>
            </w:r>
          </w:p>
        </w:tc>
        <w:tc>
          <w:tcPr/>
          <w:p>
            <w:pPr>
              <w:pStyle w:val="Compact"/>
            </w:pPr>
            <w:r>
              <w:t xml:space="preserve">0,64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Ruído entre sementes:</w:t>
      </w:r>
      <w:r>
        <w:t xml:space="preserve"> </w:t>
      </w:r>
      <w:r>
        <w:t xml:space="preserve">|Δ| mediano de 0,05 kcal/mol (DP 0,12 em C82; 0,07 em C10), ρ = 0,98–0,99. Os deslocamentos por ligante (|Δ| mediano 0,22–0,25, até 1,21) são bem maiores que o ruído, mas têm sinal misto e média próxima de zero.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posto médio nos três receptores — C82: G2 2,0; L03 3,0; L01 4,0; L09 e G1 5,3. C10: G2 2,0; L03 2,3; L01 3,7; L02 e L09 5,0. Topo estável (G2, L03, L01); meio e fim embaralham.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Declarar a carga muda a previsão mais que o ruído:</w:t>
      </w:r>
      <w:r>
        <w:t xml:space="preserve"> </w:t>
      </w:r>
      <w:r>
        <w:t xml:space="preserve">neutro × C82 tem |ΔG| mediano de 0,16–0,36 kcal/mol (até 1,19) e ρ = 0,84–0,88. Parte do que aparece como</w:t>
      </w:r>
      <w:r>
        <w:t xml:space="preserve"> </w:t>
      </w:r>
      <w:r>
        <w:t xml:space="preserve">“efeito do pH”</w:t>
      </w:r>
      <w:r>
        <w:t xml:space="preserve"> </w:t>
      </w:r>
      <w:r>
        <w:t xml:space="preserve">é, portanto, efeito de sair da distribuição de treino, sem como separar os dois.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Variantes C10Kn e C10Ym (1 semente):</w:t>
      </w:r>
      <w:r>
        <w:t xml:space="preserve"> </w:t>
      </w:r>
      <w:r>
        <w:t xml:space="preserve">Lys neutra − C10 = +0,38 ± 0,47 kcal/mol (n = 15, máx. 0,95); Tyr fenolato − C10 = +0,14 ± 0,50 (n = 9, máx. 0,75). Sem baseline para dizer se isso é efeito ou ruído de entrada.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Controles de leitura (G2 &gt; L01):</w:t>
      </w:r>
      <w:r>
        <w:t xml:space="preserve"> </w:t>
      </w:r>
      <w:r>
        <w:t xml:space="preserve">com carga, a ordem sai correta no Ag (C82 e C10) e no Sf, e invertida no bovino em C82 e C10. O Ag</w:t>
      </w:r>
      <w:r>
        <w:t xml:space="preserve"> </w:t>
      </w:r>
      <w:r>
        <w:t xml:space="preserve">“melhora”</w:t>
      </w:r>
      <w:r>
        <w:t xml:space="preserve"> </w:t>
      </w:r>
      <w:r>
        <w:t xml:space="preserve">só com a entrada carregada. Como o módulo não foi validado nessa condição, não conto isso como acerto.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Mapa:</w:t>
      </w:r>
      <w:r>
        <w:t xml:space="preserve"> </w:t>
      </w:r>
      <w:r>
        <w:t xml:space="preserve">o consenso (freq. ≥ 0,5) muda pouco entre pH (Jaccard 0,93–0,95; mínimo 0,74). Os resíduos que mais mudam (Ag: 41, 221; Sf: 42, 227; bovino: 228) são de borda, sem leitura segura.</w:t>
      </w:r>
    </w:p>
    <w:p>
      <w:pPr>
        <w:pStyle w:val="FirstParagraph"/>
      </w:pPr>
      <w:r>
        <w:rPr>
          <w:b/>
          <w:bCs/>
        </w:rPr>
        <w:t xml:space="preserve">Conclusão desta seção:</w:t>
      </w:r>
      <w:r>
        <w:t xml:space="preserve"> </w:t>
      </w:r>
      <w:r>
        <w:t xml:space="preserve">com o Boltz-2 e dentro do escopo,</w:t>
      </w:r>
      <w:r>
        <w:t xml:space="preserve"> </w:t>
      </w:r>
      <w:r>
        <w:rPr>
          <w:b/>
          <w:bCs/>
        </w:rPr>
        <w:t xml:space="preserve">não há diferença sistemática detectável entre os dois estados de ionização</w:t>
      </w:r>
      <w:r>
        <w:t xml:space="preserve">: a ordem dos ligantes se preserva e o ΔG médio não se desloca de forma significativa. Isso não é evidência de que o pH não importe para a tripsina; o modelo simplesmente não o representa.</w:t>
      </w:r>
    </w:p>
    <w:p>
      <w:pPr>
        <w:pStyle w:val="CaptionedFigure"/>
      </w:pPr>
      <w:r>
        <w:drawing>
          <wp:inline>
            <wp:extent cx="5334000" cy="1836849"/>
            <wp:effectExtent b="0" l="0" r="0" t="0"/>
            <wp:docPr descr="Figura 10. ΔG em pH 8,2 × pH 10 (carregado)." title="" id="49" name="Picture"/>
            <a:graphic>
              <a:graphicData uri="http://schemas.openxmlformats.org/drawingml/2006/picture">
                <pic:pic>
                  <pic:nvPicPr>
                    <pic:cNvPr descr="results/figuras/fig10_dois_pH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 ΔG em pH 8,2 × pH 10 (carregado).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Figura 11. Deslocamento neutro × carregado frente ao ruído entre sementes." title="" id="52" name="Picture"/>
            <a:graphic>
              <a:graphicData uri="http://schemas.openxmlformats.org/drawingml/2006/picture">
                <pic:pic>
                  <pic:nvPicPr>
                    <pic:cNvPr descr="results/figuras/fig11_neutro_vs_carregad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 Deslocamento neutro × carregado frente ao ruído entre sementes.</w:t>
      </w:r>
    </w:p>
    <w:bookmarkEnd w:id="54"/>
    <w:bookmarkStart w:id="55" w:name="o-que-se-sustenta-e-o-que-não"/>
    <w:p>
      <w:pPr>
        <w:pStyle w:val="Heading2"/>
      </w:pPr>
      <w:r>
        <w:t xml:space="preserve">8. O que se sustenta e o que não</w:t>
      </w:r>
    </w:p>
    <w:p>
      <w:pPr>
        <w:pStyle w:val="FirstParagraph"/>
      </w:pPr>
      <w:r>
        <w:rPr>
          <w:b/>
          <w:bCs/>
        </w:rPr>
        <w:t xml:space="preserve">Sustentado:</w:t>
      </w:r>
      <w:r>
        <w:t xml:space="preserve"> </w:t>
      </w:r>
      <w:r>
        <w:t xml:space="preserve">- Modelos de receptor e poses de boa qualidade estrutural; procedimento reproduz tripeptídeos cristalográficos pré-corte.</w:t>
      </w:r>
      <w:r>
        <w:t xml:space="preserve"> </w:t>
      </w:r>
      <w:r>
        <w:t xml:space="preserve">- Boltz-2 coloca o P1 básico no S1 nos receptores nativos e o tira no D189G; a afinidade prevista acompanha, o ipTM não.</w:t>
      </w:r>
      <w:r>
        <w:t xml:space="preserve"> </w:t>
      </w:r>
      <w:r>
        <w:t xml:space="preserve">- A probabilidade de ligante separa os 13 alvos dos 4 negativos.</w:t>
      </w:r>
      <w:r>
        <w:t xml:space="preserve"> </w:t>
      </w:r>
      <w:r>
        <w:t xml:space="preserve">- Resultados reprodutíveis entre sementes (ρ = 0,989), com o ranking de topo estável em ionização neutra e carregada.</w:t>
      </w:r>
    </w:p>
    <w:p>
      <w:pPr>
        <w:pStyle w:val="BodyText"/>
      </w:pPr>
      <w:r>
        <w:rPr>
          <w:b/>
          <w:bCs/>
        </w:rPr>
        <w:t xml:space="preserve">Não sustentado:</w:t>
      </w:r>
      <w:r>
        <w:t xml:space="preserve"> </w:t>
      </w:r>
      <w:r>
        <w:t xml:space="preserve">- Ranking de potência entre os peptídeos: ordem G2/L01 invertida em 2 de 3 receptores, magnitude errada em 1 a 4 ordens, 2 pontos experimentais.</w:t>
      </w:r>
      <w:r>
        <w:t xml:space="preserve"> </w:t>
      </w:r>
      <w:r>
        <w:t xml:space="preserve">- Seletividade inseto × mamífero (sem dado experimental).</w:t>
      </w:r>
      <w:r>
        <w:t xml:space="preserve"> </w:t>
      </w:r>
      <w:r>
        <w:t xml:space="preserve">- Diferença entre Ag e Sf em afinidade (p = 0,59).</w:t>
      </w:r>
      <w:r>
        <w:t xml:space="preserve"> </w:t>
      </w:r>
      <w:r>
        <w:t xml:space="preserve">- Qualquer efeito do pH sobre a ligação.</w:t>
      </w:r>
      <w:r>
        <w:t xml:space="preserve"> </w:t>
      </w:r>
      <w:r>
        <w:t xml:space="preserve">- Generalização: sem controle pós-corte.</w:t>
      </w:r>
    </w:p>
    <w:bookmarkEnd w:id="55"/>
    <w:bookmarkStart w:id="56" w:name="pendências"/>
    <w:p>
      <w:pPr>
        <w:pStyle w:val="Heading2"/>
      </w:pPr>
      <w:r>
        <w:t xml:space="preserve">9. Pendências</w:t>
      </w:r>
    </w:p>
    <w:p>
      <w:pPr>
        <w:pStyle w:val="Compact"/>
        <w:numPr>
          <w:ilvl w:val="0"/>
          <w:numId w:val="1009"/>
        </w:numPr>
      </w:pPr>
      <w:r>
        <w:t xml:space="preserve">Ki de G1, G2 e X1–X3 e o pH dos ensaios: requer o texto completo de Saikhedkar 2018 e a fonte de G1/G2 (não acessíveis neste ambiente).</w:t>
      </w:r>
    </w:p>
    <w:p>
      <w:pPr>
        <w:pStyle w:val="Compact"/>
        <w:numPr>
          <w:ilvl w:val="0"/>
          <w:numId w:val="1009"/>
        </w:numPr>
      </w:pPr>
      <w:r>
        <w:t xml:space="preserve">Origem do receptor do ClusPro.</w:t>
      </w:r>
    </w:p>
    <w:p>
      <w:pPr>
        <w:pStyle w:val="Compact"/>
        <w:numPr>
          <w:ilvl w:val="0"/>
          <w:numId w:val="1009"/>
        </w:numPr>
      </w:pPr>
      <w:r>
        <w:t xml:space="preserve">Uma terceira semente não é necessária para as conclusões acima (ρ = 0,989); o gargalo é a validação experimental, não a precisão.</w:t>
      </w:r>
    </w:p>
    <w:p>
      <w:pPr>
        <w:pStyle w:val="Compact"/>
        <w:numPr>
          <w:ilvl w:val="0"/>
          <w:numId w:val="1009"/>
        </w:numPr>
      </w:pPr>
      <w:r>
        <w:t xml:space="preserve">Revisar este texto no Word antes de qualquer uso externo. Nada foi commitado; as sequências patenteadas não aparecem em nenhum texto, tabela ou figura.</w:t>
      </w:r>
    </w:p>
    <w:bookmarkEnd w:id="56"/>
    <w:bookmarkStart w:id="57" w:name="reprodutibilidade-e-arquivos"/>
    <w:p>
      <w:pPr>
        <w:pStyle w:val="Heading2"/>
      </w:pPr>
      <w:r>
        <w:t xml:space="preserve">10. Reprodutibilidade e arquivos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Servidor:</w:t>
      </w:r>
      <w:r>
        <w:t xml:space="preserve"> </w:t>
      </w:r>
      <w:r>
        <w:rPr>
          <w:rStyle w:val="VerbatimChar"/>
        </w:rPr>
        <w:t xml:space="preserve">~/GOREs-boltz/</w:t>
      </w:r>
      <w:r>
        <w:t xml:space="preserve">; Boltz 2.2.1 (</w:t>
      </w:r>
      <w:r>
        <w:rPr>
          <w:rStyle w:val="VerbatimChar"/>
        </w:rPr>
        <w:t xml:space="preserve">boltz2-env</w:t>
      </w:r>
      <w:r>
        <w:t xml:space="preserve">); semente 101 e 102;</w:t>
      </w:r>
      <w:r>
        <w:t xml:space="preserve"> </w:t>
      </w:r>
      <w:r>
        <w:rPr>
          <w:rStyle w:val="VerbatimChar"/>
        </w:rPr>
        <w:t xml:space="preserve">diffusion_samples</w:t>
      </w:r>
      <w:r>
        <w:t xml:space="preserve"> </w:t>
      </w:r>
      <w:r>
        <w:t xml:space="preserve">5 (P) e 3 (S),</w:t>
      </w:r>
      <w:r>
        <w:t xml:space="preserve"> </w:t>
      </w:r>
      <w:r>
        <w:rPr>
          <w:rStyle w:val="VerbatimChar"/>
        </w:rPr>
        <w:t xml:space="preserve">recycling_steps</w:t>
      </w:r>
      <w:r>
        <w:t xml:space="preserve"> </w:t>
      </w:r>
      <w:r>
        <w:t xml:space="preserve">3,</w:t>
      </w:r>
      <w:r>
        <w:t xml:space="preserve"> </w:t>
      </w:r>
      <w:r>
        <w:rPr>
          <w:rStyle w:val="VerbatimChar"/>
        </w:rPr>
        <w:t xml:space="preserve">sampling_steps</w:t>
      </w:r>
      <w:r>
        <w:t xml:space="preserve"> </w:t>
      </w:r>
      <w:r>
        <w:t xml:space="preserve">200,</w:t>
      </w:r>
      <w:r>
        <w:t xml:space="preserve"> </w:t>
      </w:r>
      <w:r>
        <w:rPr>
          <w:rStyle w:val="VerbatimChar"/>
        </w:rPr>
        <w:t xml:space="preserve">--use_potentials</w:t>
      </w:r>
      <w:r>
        <w:t xml:space="preserve">. Entrada carregada via</w:t>
      </w:r>
      <w:r>
        <w:t xml:space="preserve"> </w:t>
      </w:r>
      <w:r>
        <w:rPr>
          <w:rStyle w:val="VerbatimChar"/>
        </w:rPr>
        <w:t xml:space="preserve">bin/boltz_nostd.py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Fila:</w:t>
      </w:r>
      <w:r>
        <w:t xml:space="preserve"> </w:t>
      </w:r>
      <w:r>
        <w:rPr>
          <w:rStyle w:val="VerbatimChar"/>
        </w:rPr>
        <w:t xml:space="preserve">03.status</w:t>
      </w:r>
      <w:r>
        <w:t xml:space="preserve"> </w:t>
      </w:r>
      <w:r>
        <w:t xml:space="preserve">(lote S 8,2 s102) e</w:t>
      </w:r>
      <w:r>
        <w:t xml:space="preserve"> </w:t>
      </w:r>
      <w:r>
        <w:rPr>
          <w:rStyle w:val="VerbatimChar"/>
        </w:rPr>
        <w:t xml:space="preserve">05.status</w:t>
      </w:r>
      <w:r>
        <w:t xml:space="preserve"> </w:t>
      </w:r>
      <w:r>
        <w:t xml:space="preserve">(C82, C10, C10Kn, C10Ym, P s102), todas concluídas. O bloco c02 do C82 s102 terminou com segfault (rc = 139) no primeiro disparo; os 51 complexos do conjunto existem no fim (fallback por YAML do script).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Cadeia de análise:</w:t>
      </w:r>
      <w:r>
        <w:t xml:space="preserve"> </w:t>
      </w:r>
      <w:r>
        <w:rPr>
          <w:rStyle w:val="VerbatimChar"/>
        </w:rPr>
        <w:t xml:space="preserve">analyze.py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analyze_affinity.py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compare_crystal.py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make_tables.py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ranking_energia.py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contatos_5A.py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--set C82/C10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analise_ph.py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figures.py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figures_final.py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Resultados: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(tabelas, CSVs,</w:t>
      </w:r>
      <w:r>
        <w:t xml:space="preserve"> </w:t>
      </w:r>
      <w:r>
        <w:rPr>
          <w:rStyle w:val="VerbatimChar"/>
        </w:rPr>
        <w:t xml:space="preserve">affinity_tests.txt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ph_ruido.txt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ranking_energia*.md/csv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contatos_5A*.csv/md</w:t>
      </w:r>
      <w:r>
        <w:t xml:space="preserve">); versão só com semente 101 preservada em</w:t>
      </w:r>
      <w:r>
        <w:t xml:space="preserve"> </w:t>
      </w:r>
      <w:r>
        <w:rPr>
          <w:rStyle w:val="VerbatimChar"/>
        </w:rPr>
        <w:t xml:space="preserve">results_s101_backup/</w:t>
      </w:r>
      <w:r>
        <w:t xml:space="preserve">.</w:t>
      </w:r>
      <w:r>
        <w:t xml:space="preserve"> </w:t>
      </w:r>
      <w:r>
        <w:rPr>
          <w:b/>
          <w:bCs/>
        </w:rPr>
        <w:t xml:space="preserve">Figuras:</w:t>
      </w:r>
      <w:r>
        <w:t xml:space="preserve"> </w:t>
      </w:r>
      <w:r>
        <w:rPr>
          <w:rStyle w:val="VerbatimChar"/>
        </w:rPr>
        <w:t xml:space="preserve">results/figuras/fig1–fig11</w:t>
      </w:r>
      <w:r>
        <w:t xml:space="preserve">. Observação:</w:t>
      </w:r>
      <w:r>
        <w:t xml:space="preserve"> </w:t>
      </w:r>
      <w:r>
        <w:rPr>
          <w:rStyle w:val="VerbatimChar"/>
        </w:rPr>
        <w:t xml:space="preserve">results/affinity_ph.csv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results/propka_ph.csv</w:t>
      </w:r>
      <w:r>
        <w:t xml:space="preserve"> </w:t>
      </w:r>
      <w:r>
        <w:t xml:space="preserve">são resíduos da tentativa de pH por SMILES (vazia) e do desvio de escopo de PROPKA; não são usados neste relatório.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2026-10-03T12:52:33Z</dcterms:created>
  <dcterms:modified xsi:type="dcterms:W3CDTF">2026-10-03T12:52:33Z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