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28"/>
        </w:rPr>
        <w:t>MATERIAL E MÉTODOS</w:t>
      </w:r>
    </w:p>
    <w:p>
      <w:pPr>
        <w:pStyle w:val="Heading1"/>
        <w:jc w:val="left"/>
      </w:pPr>
      <w:r>
        <w:rPr>
          <w:rFonts w:ascii="Times New Roman" w:hAnsi="Times New Roman"/>
        </w:rPr>
        <w:t>1. Docking Molecular</w:t>
      </w:r>
    </w:p>
    <w:p>
      <w:pPr>
        <w:spacing w:after="120" w:before="0"/>
        <w:ind w:firstLine="720"/>
        <w:jc w:val="both"/>
      </w:pPr>
      <w:r>
        <w:rPr>
          <w:rFonts w:ascii="Times New Roman" w:hAnsi="Times New Roman"/>
          <w:sz w:val="24"/>
        </w:rPr>
        <w:t>As estruturas tridimensionais dos peptídeos candidatos a inibidores foram geradas por modelagem de novo utilizando o servidor PEPstrMOD (Singh et al., 2015), considerando o pH fisiológico do intestino médio de Spodoptera spp. (pH 8,2). A estrutura da tripsina digestiva de Spodoptera frugiperda (GORE4) foi obtida a partir do Protein Data Bank (PDB) ou modelada por homologia com o servidor AlphaFold2, seguida de refinamento estrutural pelo servidor ModRefiner.</w:t>
      </w:r>
    </w:p>
    <w:p>
      <w:pPr>
        <w:spacing w:after="120" w:before="0"/>
        <w:ind w:firstLine="720"/>
        <w:jc w:val="both"/>
      </w:pPr>
      <w:r>
        <w:rPr>
          <w:rFonts w:ascii="Times New Roman" w:hAnsi="Times New Roman"/>
          <w:sz w:val="24"/>
        </w:rPr>
        <w:t>O preparo dos receptores foi realizado com o software PDB2PQR v3.6 (Dolinsky et al., 2007), utilizando o campo de força AMBER e o método PROPKA para atribuição de estados de protonação a pH 8,2. Especial atenção foi dedicada à His57 da tríade catalítica, cujo valor de pKa predito pelo PROPKA (~6,5) resulta em estado neutro (ε-protonado, HIE) em pH 8,2, representando a forma ativa da serino-protease em meio alcalino — condição fisiológica do intestino médio de lepidópteros (pH 9,5–11,0; Dossantos et al., 2015; Zhu et al., 2022). Moléculas de água e ligantes heterólogos foram removidos antes da análise.</w:t>
      </w:r>
    </w:p>
    <w:p>
      <w:pPr>
        <w:spacing w:after="120" w:before="0"/>
        <w:ind w:firstLine="720"/>
        <w:jc w:val="both"/>
      </w:pPr>
      <w:r>
        <w:rPr>
          <w:rFonts w:ascii="Times New Roman" w:hAnsi="Times New Roman"/>
          <w:sz w:val="24"/>
        </w:rPr>
        <w:t>O docking proteína–peptídeo foi conduzido no servidor HADDOCK 2.4 (High Ambiguity Driven DOCKing) (van Zundert et al., 2016; Dominguez et al., 2003). As restrições ambíguas de interação (AIRs) foram definidas com base nos resíduos do sítio ativo da tripsina GORE4 — incluindo os resíduos catalíticos Tyr83, Asp132, Ser234 e o bolsão de especificidade S1 (Ile229) — como resíduos "ativos" do receptor, e nos resíduos básicos dos peptídeos (lisina e arginina) como resíduos ativos dos ligantes, em conformidade com a especificidade de clivagem de tripsinas por resíduos básicos.</w:t>
      </w:r>
    </w:p>
    <w:p>
      <w:pPr>
        <w:spacing w:after="120" w:before="0"/>
        <w:ind w:firstLine="720"/>
        <w:jc w:val="both"/>
      </w:pPr>
      <w:r>
        <w:rPr>
          <w:rFonts w:ascii="Times New Roman" w:hAnsi="Times New Roman"/>
          <w:sz w:val="24"/>
        </w:rPr>
        <w:t>O protocolo padrão do HADDOCK foi executado em três etapas: (i) minimização de energia de corpo rígido (it0), gerando 1.000 estruturas; (ii) refinamento semirígido em espaço de torção (it1), retendo as 200 melhores estruturas; e (iii) refinamento final em solvente explícito (water refinement), com seleção das 200 melhores poses. As estruturas foram agrupadas por RMSD de 7,5 Å sobre os átomos da interface. Os clusters foram ranqueados pelo HADDOCK score (combinação linear de energias de van der Waals, eletrostática, dessolvatação e restrições ambíguas). A pose de menor energia de cada cluster foi selecionada para as simulações de dinâmica molecular.</w:t>
      </w:r>
    </w:p>
    <w:p>
      <w:pPr>
        <w:pStyle w:val="Heading1"/>
        <w:jc w:val="left"/>
      </w:pPr>
      <w:r>
        <w:rPr>
          <w:rFonts w:ascii="Times New Roman" w:hAnsi="Times New Roman"/>
        </w:rPr>
        <w:t>2. Dinâmica Molecular</w:t>
      </w:r>
    </w:p>
    <w:p>
      <w:pPr>
        <w:pStyle w:val="Heading2"/>
        <w:jc w:val="left"/>
      </w:pPr>
      <w:r>
        <w:rPr>
          <w:rFonts w:ascii="Times New Roman" w:hAnsi="Times New Roman"/>
        </w:rPr>
        <w:t>2.1 Condições fisiológicas e preparo do sistema</w:t>
      </w:r>
    </w:p>
    <w:p>
      <w:pPr>
        <w:spacing w:after="120" w:before="0"/>
        <w:ind w:firstLine="720"/>
        <w:jc w:val="both"/>
      </w:pPr>
      <w:r>
        <w:rPr>
          <w:rFonts w:ascii="Times New Roman" w:hAnsi="Times New Roman"/>
          <w:sz w:val="24"/>
        </w:rPr>
        <w:t>Os parâmetros das simulações foram estabelecidos para reproduzir as condições fisiológicas do intestino médio de larvas de Spodoptera spp. A temperatura de 300 K (27 °C) foi adotada como representativa da temperatura corporal larval, estimada entre 25 e 30 °C (Soelter et al., 2024; Da Silva et al., 2018). A pressão foi mantida a 1 bar (pressão atmosférica). A concentração iônica de 0,10 M de NaCl foi selecionada para aproximar a força iônica hipotônica do lúmen intestinal de lepidópteros, que difere do plasma de mamíferos (Zhu et al., 2022; Dunse et al., 2010).</w:t>
      </w:r>
    </w:p>
    <w:p>
      <w:pPr>
        <w:spacing w:after="120" w:before="0"/>
        <w:ind w:firstLine="720"/>
        <w:jc w:val="both"/>
      </w:pPr>
      <w:r>
        <w:rPr>
          <w:rFonts w:ascii="Times New Roman" w:hAnsi="Times New Roman"/>
          <w:sz w:val="24"/>
        </w:rPr>
        <w:t>Os complexos tripsina–peptídeo obtidos pelo docking foram preparados para simulação utilizando um pipeline automatizado desenvolvido em Nextflow DSL2 (Di Tommaso et al., 2017), integrando ferramentas do pacote GROMACS 2026 (Abraham et al., 2015) e PDB2PQR v3.6. O preparo compreendeu: (i) atribuição de estados de protonação pelo método PROPKA em pH 8,2; (ii) geração da topologia com o campo de força AMBER99SB-ILDN (Lindorff-Larsen et al., 2010), amplamente validado para serino-proteases e peptídeos inibidores (Soelter et al., 2024; Ahmad et al., 2018); e (iii) centralização do complexo em caixa dodecaédrica com margem mínima de 1,2 nm entre o soluto e as faces da caixa, minimizando interações entre imagens periódicas.</w:t>
      </w:r>
    </w:p>
    <w:p>
      <w:pPr>
        <w:spacing w:after="120" w:before="0"/>
        <w:ind w:firstLine="720"/>
        <w:jc w:val="both"/>
      </w:pPr>
      <w:r>
        <w:rPr>
          <w:rFonts w:ascii="Times New Roman" w:hAnsi="Times New Roman"/>
          <w:sz w:val="24"/>
        </w:rPr>
        <w:t>A solvatação foi realizada com moléculas de água no modelo TIP3P (Jorgensen et al., 1983), compatível com o campo de força AMBER99SB-ILDN. A neutralização do sistema e o ajuste da concentração iônica foram realizados pela substituição aleatória de moléculas de água por íons Na⁺ e Cl⁻ a 0,10 M, utilizando o módulo gmx genion.</w:t>
      </w:r>
    </w:p>
    <w:p>
      <w:pPr>
        <w:pStyle w:val="Heading2"/>
        <w:jc w:val="left"/>
      </w:pPr>
      <w:r>
        <w:rPr>
          <w:rFonts w:ascii="Times New Roman" w:hAnsi="Times New Roman"/>
        </w:rPr>
        <w:t>2.2 Minimização de energia</w:t>
      </w:r>
    </w:p>
    <w:p>
      <w:pPr>
        <w:spacing w:after="120" w:before="0"/>
        <w:ind w:firstLine="720"/>
        <w:jc w:val="both"/>
      </w:pPr>
      <w:r>
        <w:rPr>
          <w:rFonts w:ascii="Times New Roman" w:hAnsi="Times New Roman"/>
          <w:sz w:val="24"/>
        </w:rPr>
        <w:t>A minimização de energia foi realizada pelo algoritmo de descida mais íngreme (steepest descent) com até 50.000 passos, convergindo quando a força máxima sobre qualquer átomo foi inferior a 1.000 kJ mol⁻¹ nm⁻¹ (emtol), valor padrão recomendado para sistemas proteína–solvente (Abraham et al., 2015). As interações eletrostáticas foram tratadas pelo método Particle Mesh Ewald (PME) com cutoff de 1,2 nm, e as interações de van der Waals pelo esquema Verlet com raio de corte de 1,2 nm.</w:t>
      </w:r>
    </w:p>
    <w:p>
      <w:pPr>
        <w:pStyle w:val="Heading2"/>
        <w:jc w:val="left"/>
      </w:pPr>
      <w:r>
        <w:rPr>
          <w:rFonts w:ascii="Times New Roman" w:hAnsi="Times New Roman"/>
        </w:rPr>
        <w:t>2.3 Equilibração termodinâmica</w:t>
      </w:r>
    </w:p>
    <w:p>
      <w:pPr>
        <w:spacing w:after="120" w:before="0"/>
        <w:ind w:firstLine="720"/>
        <w:jc w:val="both"/>
      </w:pPr>
      <w:r>
        <w:rPr>
          <w:rFonts w:ascii="Times New Roman" w:hAnsi="Times New Roman"/>
          <w:sz w:val="24"/>
        </w:rPr>
        <w:t>Após a minimização, o sistema foi equilibrado em duas etapas sequenciais com restrições de posição aplicadas a todos os átomos pesados do soluto (constante de força: 1.000 kJ mol⁻¹ nm⁻²), permitindo a reorganização e equilíbrio do solvente ao redor do complexo.</w:t>
      </w:r>
    </w:p>
    <w:p>
      <w:pPr>
        <w:spacing w:after="120" w:before="0"/>
        <w:ind w:firstLine="720"/>
        <w:jc w:val="both"/>
      </w:pPr>
      <w:r>
        <w:rPr>
          <w:rFonts w:ascii="Times New Roman" w:hAnsi="Times New Roman"/>
          <w:sz w:val="24"/>
        </w:rPr>
        <w:t>A primeira etapa de equilibração foi conduzida no ensemble NVT (volume e temperatura constantes) durante 200 ps (100.000 passos de 2 fs), com aquecimento progressivo até 300 K utilizando o termostato de velocidades reescalonadas (V-rescale; Bussi et al., 2007), com constante de acoplamento de τ = 0,1 ps, aplicado separadamente aos grupos Proteína e Não-Proteína. O tempo de 200 ps foi adotado com base em estudos de complexos proteína–peptídeo que demonstram necessidade de equilíbrio térmico superior ao protocolo mínimo de 100 ps recomendado para proteínas simples (Bray et al., 2024; Trozzi et al., 2021).</w:t>
      </w:r>
    </w:p>
    <w:p>
      <w:pPr>
        <w:spacing w:after="120" w:before="0"/>
        <w:ind w:firstLine="720"/>
        <w:jc w:val="both"/>
      </w:pPr>
      <w:r>
        <w:rPr>
          <w:rFonts w:ascii="Times New Roman" w:hAnsi="Times New Roman"/>
          <w:sz w:val="24"/>
        </w:rPr>
        <w:t>A segunda etapa foi conduzida no ensemble NPT (pressão e temperatura constantes) durante 500 ps (250.000 passos de 2 fs), com o barostato de Berendsen (τp = 2,0 ps; compressibilidade isotérmica = 4,5 × 10⁻⁵ bar⁻¹) a 1 bar. O protocolo de 500 ps de equilibração NPT foi adotado conforme recomendado para complexos com peptídeos flexíveis de 5–15 resíduos, nos quais equilíbrio de densidade e conformação da interface requer tempo superior ao protocolo padrão de 100 ps (Al-Khafaji et al., 2024; Ahmad et al., 2018).</w:t>
      </w:r>
    </w:p>
    <w:p>
      <w:pPr>
        <w:pStyle w:val="Heading2"/>
        <w:jc w:val="left"/>
      </w:pPr>
      <w:r>
        <w:rPr>
          <w:rFonts w:ascii="Times New Roman" w:hAnsi="Times New Roman"/>
        </w:rPr>
        <w:t>2.4 Simulação de produção</w:t>
      </w:r>
    </w:p>
    <w:p>
      <w:pPr>
        <w:spacing w:after="120" w:before="0"/>
        <w:ind w:firstLine="720"/>
        <w:jc w:val="both"/>
      </w:pPr>
      <w:r>
        <w:rPr>
          <w:rFonts w:ascii="Times New Roman" w:hAnsi="Times New Roman"/>
          <w:sz w:val="24"/>
        </w:rPr>
        <w:t>As simulações de produção foram realizadas no ensemble NPT durante 100 ns para cada complexo tripsina–peptídeo, com passo de integração de 2 fs. O termostato V-rescale (τ = 0,1 ps) foi mantido a 300 K e o barostato de Parrinello-Rahman (Parrinello e Rahman, 1981; τp = 2,0 ps) a 1 bar, garantindo flutuações de pressão termodinamicamente corretas no ensemble NPT. A transição do barostato de Berendsen (equilibração) para Parrinello-Rahman (produção) é o protocolo padrão recomendado para simulações de produção (Bray et al., 2024; Soelter et al., 2024).</w:t>
      </w:r>
    </w:p>
    <w:p>
      <w:pPr>
        <w:spacing w:after="120" w:before="0"/>
        <w:ind w:firstLine="720"/>
        <w:jc w:val="both"/>
      </w:pPr>
      <w:r>
        <w:rPr>
          <w:rFonts w:ascii="Times New Roman" w:hAnsi="Times New Roman"/>
          <w:sz w:val="24"/>
        </w:rPr>
        <w:t>As ligações envolvendo hidrogênio foram restringidas pelo algoritmo LINCS (Hess et al., 1997), com ordem 4 e uma iteração, permitindo o passo de 2 fs. As interações eletrostáticas de longo alcance foram tratadas pelo método PME (Darden et al., 1993) com tolerância de 10⁻⁵ e malha PME atualizada a cada 20 passos. Velocidades iniciais foram geradas a partir de distribuição de Maxwell-Boltzmann a 300 K com semente aleatória (gen-seed = −1), assegurando independência estatística entre réplicas. Coordenadas foram salvas a cada 10 ps (nstxout-compressed = 5.000), gerando trajetórias de 10.000 frames. As simulações foram executadas em servidor Linux Debian com GPU NVIDIA, com o binário gmx_mpi compilado com suporte CUDA (aceleração de nb, pme e bonded na GPU).</w:t>
      </w:r>
    </w:p>
    <w:p/>
    <w:p>
      <w:pPr>
        <w:spacing w:after="80"/>
        <w:jc w:val="center"/>
      </w:pPr>
      <w:r>
        <w:rPr>
          <w:rFonts w:ascii="Times New Roman" w:hAnsi="Times New Roman"/>
          <w:b/>
          <w:sz w:val="22"/>
        </w:rPr>
        <w:t>Tabela 1. Parâmetros das simulações de dinâmica molecular dos complexos tripsina GORE4–peptídeo inibidor.</w:t>
      </w:r>
    </w:p>
    <w:tbl>
      <w:tblPr>
        <w:tblStyle w:val="TableGrid"/>
        <w:tblW w:type="auto" w:w="0"/>
        <w:jc w:val="center"/>
        <w:tblLook w:firstColumn="1" w:firstRow="1" w:lastColumn="0" w:lastRow="0" w:noHBand="0" w:noVBand="1" w:val="04A0"/>
      </w:tblPr>
      <w:tblGrid>
        <w:gridCol w:w="3041"/>
        <w:gridCol w:w="3041"/>
        <w:gridCol w:w="3041"/>
      </w:tblGrid>
      <w:tr>
        <w:tc>
          <w:tcPr>
            <w:tcW w:type="dxa" w:w="3685"/>
            <w:vAlign w:val="center"/>
            <w:shd w:val="clear" w:color="auto" w:fill="D9D9D9"/>
          </w:tcPr>
          <w:p>
            <w:pPr>
              <w:spacing w:after="0" w:before="0"/>
              <w:jc w:val="center"/>
            </w:pPr>
            <w:r>
              <w:rPr>
                <w:rFonts w:ascii="Times New Roman" w:hAnsi="Times New Roman"/>
                <w:b/>
                <w:sz w:val="20"/>
              </w:rPr>
              <w:t>Parâmetro</w:t>
            </w:r>
          </w:p>
        </w:tc>
        <w:tc>
          <w:tcPr>
            <w:tcW w:type="dxa" w:w="3685"/>
            <w:vAlign w:val="center"/>
            <w:shd w:val="clear" w:color="auto" w:fill="D9D9D9"/>
          </w:tcPr>
          <w:p>
            <w:pPr>
              <w:spacing w:after="0" w:before="0"/>
              <w:jc w:val="center"/>
            </w:pPr>
            <w:r>
              <w:rPr>
                <w:rFonts w:ascii="Times New Roman" w:hAnsi="Times New Roman"/>
                <w:b/>
                <w:sz w:val="20"/>
              </w:rPr>
              <w:t>Valor</w:t>
            </w:r>
          </w:p>
        </w:tc>
        <w:tc>
          <w:tcPr>
            <w:tcW w:type="dxa" w:w="3118"/>
            <w:vAlign w:val="center"/>
            <w:shd w:val="clear" w:color="auto" w:fill="D9D9D9"/>
          </w:tcPr>
          <w:p>
            <w:pPr>
              <w:spacing w:after="0" w:before="0"/>
              <w:jc w:val="center"/>
            </w:pPr>
            <w:r>
              <w:rPr>
                <w:rFonts w:ascii="Times New Roman" w:hAnsi="Times New Roman"/>
                <w:b/>
                <w:sz w:val="20"/>
              </w:rPr>
              <w:t>Referência</w:t>
            </w:r>
          </w:p>
        </w:tc>
      </w:tr>
      <w:tr>
        <w:tc>
          <w:tcPr>
            <w:tcW w:type="dxa" w:w="3685"/>
            <w:vAlign w:val="center"/>
          </w:tcPr>
          <w:p>
            <w:pPr>
              <w:spacing w:after="0" w:before="0"/>
              <w:jc w:val="left"/>
            </w:pPr>
            <w:r>
              <w:rPr>
                <w:rFonts w:ascii="Times New Roman" w:hAnsi="Times New Roman"/>
                <w:b w:val="0"/>
                <w:sz w:val="20"/>
              </w:rPr>
              <w:t>Campo de força</w:t>
            </w:r>
          </w:p>
        </w:tc>
        <w:tc>
          <w:tcPr>
            <w:tcW w:type="dxa" w:w="3685"/>
            <w:vAlign w:val="center"/>
          </w:tcPr>
          <w:p>
            <w:pPr>
              <w:spacing w:after="0" w:before="0"/>
              <w:jc w:val="center"/>
            </w:pPr>
            <w:r>
              <w:rPr>
                <w:rFonts w:ascii="Times New Roman" w:hAnsi="Times New Roman"/>
                <w:b w:val="0"/>
                <w:sz w:val="20"/>
              </w:rPr>
              <w:t>AMBER99SB-ILDN</w:t>
            </w:r>
          </w:p>
        </w:tc>
        <w:tc>
          <w:tcPr>
            <w:tcW w:type="dxa" w:w="3118"/>
            <w:vAlign w:val="center"/>
          </w:tcPr>
          <w:p>
            <w:pPr>
              <w:spacing w:after="0" w:before="0"/>
              <w:jc w:val="left"/>
            </w:pPr>
            <w:r>
              <w:rPr>
                <w:rFonts w:ascii="Times New Roman" w:hAnsi="Times New Roman"/>
                <w:b w:val="0"/>
                <w:sz w:val="20"/>
              </w:rPr>
              <w:t>Lindorff-Larsen et al., 2010</w:t>
            </w:r>
          </w:p>
        </w:tc>
      </w:tr>
      <w:tr>
        <w:tc>
          <w:tcPr>
            <w:tcW w:type="dxa" w:w="3685"/>
            <w:vAlign w:val="center"/>
          </w:tcPr>
          <w:p>
            <w:pPr>
              <w:spacing w:after="0" w:before="0"/>
              <w:jc w:val="left"/>
            </w:pPr>
            <w:r>
              <w:rPr>
                <w:rFonts w:ascii="Times New Roman" w:hAnsi="Times New Roman"/>
                <w:b w:val="0"/>
                <w:sz w:val="20"/>
              </w:rPr>
              <w:t>Modelo de água</w:t>
            </w:r>
          </w:p>
        </w:tc>
        <w:tc>
          <w:tcPr>
            <w:tcW w:type="dxa" w:w="3685"/>
            <w:vAlign w:val="center"/>
          </w:tcPr>
          <w:p>
            <w:pPr>
              <w:spacing w:after="0" w:before="0"/>
              <w:jc w:val="center"/>
            </w:pPr>
            <w:r>
              <w:rPr>
                <w:rFonts w:ascii="Times New Roman" w:hAnsi="Times New Roman"/>
                <w:b w:val="0"/>
                <w:sz w:val="20"/>
              </w:rPr>
              <w:t>TIP3P</w:t>
            </w:r>
          </w:p>
        </w:tc>
        <w:tc>
          <w:tcPr>
            <w:tcW w:type="dxa" w:w="3118"/>
            <w:vAlign w:val="center"/>
          </w:tcPr>
          <w:p>
            <w:pPr>
              <w:spacing w:after="0" w:before="0"/>
              <w:jc w:val="left"/>
            </w:pPr>
            <w:r>
              <w:rPr>
                <w:rFonts w:ascii="Times New Roman" w:hAnsi="Times New Roman"/>
                <w:b w:val="0"/>
                <w:sz w:val="20"/>
              </w:rPr>
              <w:t>Jorgensen et al., 1983</w:t>
            </w:r>
          </w:p>
        </w:tc>
      </w:tr>
      <w:tr>
        <w:tc>
          <w:tcPr>
            <w:tcW w:type="dxa" w:w="3685"/>
            <w:vAlign w:val="center"/>
          </w:tcPr>
          <w:p>
            <w:pPr>
              <w:spacing w:after="0" w:before="0"/>
              <w:jc w:val="left"/>
            </w:pPr>
            <w:r>
              <w:rPr>
                <w:rFonts w:ascii="Times New Roman" w:hAnsi="Times New Roman"/>
                <w:b w:val="0"/>
                <w:sz w:val="20"/>
              </w:rPr>
              <w:t>Caixa de solvente</w:t>
            </w:r>
          </w:p>
        </w:tc>
        <w:tc>
          <w:tcPr>
            <w:tcW w:type="dxa" w:w="3685"/>
            <w:vAlign w:val="center"/>
          </w:tcPr>
          <w:p>
            <w:pPr>
              <w:spacing w:after="0" w:before="0"/>
              <w:jc w:val="center"/>
            </w:pPr>
            <w:r>
              <w:rPr>
                <w:rFonts w:ascii="Times New Roman" w:hAnsi="Times New Roman"/>
                <w:b w:val="0"/>
                <w:sz w:val="20"/>
              </w:rPr>
              <w:t>Dodecaedro rómbico, margem 1,2 nm</w:t>
            </w:r>
          </w:p>
        </w:tc>
        <w:tc>
          <w:tcPr>
            <w:tcW w:type="dxa" w:w="3118"/>
            <w:vAlign w:val="center"/>
          </w:tcPr>
          <w:p>
            <w:pPr>
              <w:spacing w:after="0" w:before="0"/>
              <w:jc w:val="left"/>
            </w:pPr>
            <w:r>
              <w:rPr>
                <w:rFonts w:ascii="Times New Roman" w:hAnsi="Times New Roman"/>
                <w:b w:val="0"/>
                <w:sz w:val="20"/>
              </w:rPr>
              <w:t>Abraham et al., 2015</w:t>
            </w:r>
          </w:p>
        </w:tc>
      </w:tr>
      <w:tr>
        <w:tc>
          <w:tcPr>
            <w:tcW w:type="dxa" w:w="3685"/>
            <w:vAlign w:val="center"/>
          </w:tcPr>
          <w:p>
            <w:pPr>
              <w:spacing w:after="0" w:before="0"/>
              <w:jc w:val="left"/>
            </w:pPr>
            <w:r>
              <w:rPr>
                <w:rFonts w:ascii="Times New Roman" w:hAnsi="Times New Roman"/>
                <w:b w:val="0"/>
                <w:sz w:val="20"/>
              </w:rPr>
              <w:t>Temperatura</w:t>
            </w:r>
          </w:p>
        </w:tc>
        <w:tc>
          <w:tcPr>
            <w:tcW w:type="dxa" w:w="3685"/>
            <w:vAlign w:val="center"/>
          </w:tcPr>
          <w:p>
            <w:pPr>
              <w:spacing w:after="0" w:before="0"/>
              <w:jc w:val="center"/>
            </w:pPr>
            <w:r>
              <w:rPr>
                <w:rFonts w:ascii="Times New Roman" w:hAnsi="Times New Roman"/>
                <w:b w:val="0"/>
                <w:sz w:val="20"/>
              </w:rPr>
              <w:t>300 K (27 °C)</w:t>
            </w:r>
          </w:p>
        </w:tc>
        <w:tc>
          <w:tcPr>
            <w:tcW w:type="dxa" w:w="3118"/>
            <w:vAlign w:val="center"/>
          </w:tcPr>
          <w:p>
            <w:pPr>
              <w:spacing w:after="0" w:before="0"/>
              <w:jc w:val="left"/>
            </w:pPr>
            <w:r>
              <w:rPr>
                <w:rFonts w:ascii="Times New Roman" w:hAnsi="Times New Roman"/>
                <w:b w:val="0"/>
                <w:sz w:val="20"/>
              </w:rPr>
              <w:t>Soelter et al., 2024</w:t>
            </w:r>
          </w:p>
        </w:tc>
      </w:tr>
      <w:tr>
        <w:tc>
          <w:tcPr>
            <w:tcW w:type="dxa" w:w="3685"/>
            <w:vAlign w:val="center"/>
          </w:tcPr>
          <w:p>
            <w:pPr>
              <w:spacing w:after="0" w:before="0"/>
              <w:jc w:val="left"/>
            </w:pPr>
            <w:r>
              <w:rPr>
                <w:rFonts w:ascii="Times New Roman" w:hAnsi="Times New Roman"/>
                <w:b w:val="0"/>
                <w:sz w:val="20"/>
              </w:rPr>
              <w:t>Pressão</w:t>
            </w:r>
          </w:p>
        </w:tc>
        <w:tc>
          <w:tcPr>
            <w:tcW w:type="dxa" w:w="3685"/>
            <w:vAlign w:val="center"/>
          </w:tcPr>
          <w:p>
            <w:pPr>
              <w:spacing w:after="0" w:before="0"/>
              <w:jc w:val="center"/>
            </w:pPr>
            <w:r>
              <w:rPr>
                <w:rFonts w:ascii="Times New Roman" w:hAnsi="Times New Roman"/>
                <w:b w:val="0"/>
                <w:sz w:val="20"/>
              </w:rPr>
              <w:t>1 bar</w:t>
            </w:r>
          </w:p>
        </w:tc>
        <w:tc>
          <w:tcPr>
            <w:tcW w:type="dxa" w:w="3118"/>
            <w:vAlign w:val="center"/>
          </w:tcPr>
          <w:p>
            <w:pPr>
              <w:spacing w:after="0" w:before="0"/>
              <w:jc w:val="left"/>
            </w:pPr>
            <w:r>
              <w:rPr>
                <w:rFonts w:ascii="Times New Roman" w:hAnsi="Times New Roman"/>
                <w:b w:val="0"/>
                <w:sz w:val="20"/>
              </w:rPr>
              <w:t>—</w:t>
            </w:r>
          </w:p>
        </w:tc>
      </w:tr>
      <w:tr>
        <w:tc>
          <w:tcPr>
            <w:tcW w:type="dxa" w:w="3685"/>
            <w:vAlign w:val="center"/>
          </w:tcPr>
          <w:p>
            <w:pPr>
              <w:spacing w:after="0" w:before="0"/>
              <w:jc w:val="left"/>
            </w:pPr>
            <w:r>
              <w:rPr>
                <w:rFonts w:ascii="Times New Roman" w:hAnsi="Times New Roman"/>
                <w:b w:val="0"/>
                <w:sz w:val="20"/>
              </w:rPr>
              <w:t>Concentração iônica</w:t>
            </w:r>
          </w:p>
        </w:tc>
        <w:tc>
          <w:tcPr>
            <w:tcW w:type="dxa" w:w="3685"/>
            <w:vAlign w:val="center"/>
          </w:tcPr>
          <w:p>
            <w:pPr>
              <w:spacing w:after="0" w:before="0"/>
              <w:jc w:val="center"/>
            </w:pPr>
            <w:r>
              <w:rPr>
                <w:rFonts w:ascii="Times New Roman" w:hAnsi="Times New Roman"/>
                <w:b w:val="0"/>
                <w:sz w:val="20"/>
              </w:rPr>
              <w:t>0,10 M NaCl</w:t>
            </w:r>
          </w:p>
        </w:tc>
        <w:tc>
          <w:tcPr>
            <w:tcW w:type="dxa" w:w="3118"/>
            <w:vAlign w:val="center"/>
          </w:tcPr>
          <w:p>
            <w:pPr>
              <w:spacing w:after="0" w:before="0"/>
              <w:jc w:val="left"/>
            </w:pPr>
            <w:r>
              <w:rPr>
                <w:rFonts w:ascii="Times New Roman" w:hAnsi="Times New Roman"/>
                <w:b w:val="0"/>
                <w:sz w:val="20"/>
              </w:rPr>
              <w:t>Zhu et al., 2022</w:t>
            </w:r>
          </w:p>
        </w:tc>
      </w:tr>
      <w:tr>
        <w:tc>
          <w:tcPr>
            <w:tcW w:type="dxa" w:w="3685"/>
            <w:vAlign w:val="center"/>
          </w:tcPr>
          <w:p>
            <w:pPr>
              <w:spacing w:after="0" w:before="0"/>
              <w:jc w:val="left"/>
            </w:pPr>
            <w:r>
              <w:rPr>
                <w:rFonts w:ascii="Times New Roman" w:hAnsi="Times New Roman"/>
                <w:b w:val="0"/>
                <w:sz w:val="20"/>
              </w:rPr>
              <w:t>Eletrostática</w:t>
            </w:r>
          </w:p>
        </w:tc>
        <w:tc>
          <w:tcPr>
            <w:tcW w:type="dxa" w:w="3685"/>
            <w:vAlign w:val="center"/>
          </w:tcPr>
          <w:p>
            <w:pPr>
              <w:spacing w:after="0" w:before="0"/>
              <w:jc w:val="center"/>
            </w:pPr>
            <w:r>
              <w:rPr>
                <w:rFonts w:ascii="Times New Roman" w:hAnsi="Times New Roman"/>
                <w:b w:val="0"/>
                <w:sz w:val="20"/>
              </w:rPr>
              <w:t>PME, cutoff 1,2 nm</w:t>
            </w:r>
          </w:p>
        </w:tc>
        <w:tc>
          <w:tcPr>
            <w:tcW w:type="dxa" w:w="3118"/>
            <w:vAlign w:val="center"/>
          </w:tcPr>
          <w:p>
            <w:pPr>
              <w:spacing w:after="0" w:before="0"/>
              <w:jc w:val="left"/>
            </w:pPr>
            <w:r>
              <w:rPr>
                <w:rFonts w:ascii="Times New Roman" w:hAnsi="Times New Roman"/>
                <w:b w:val="0"/>
                <w:sz w:val="20"/>
              </w:rPr>
              <w:t>Darden et al., 1993</w:t>
            </w:r>
          </w:p>
        </w:tc>
      </w:tr>
      <w:tr>
        <w:tc>
          <w:tcPr>
            <w:tcW w:type="dxa" w:w="3685"/>
            <w:vAlign w:val="center"/>
          </w:tcPr>
          <w:p>
            <w:pPr>
              <w:spacing w:after="0" w:before="0"/>
              <w:jc w:val="left"/>
            </w:pPr>
            <w:r>
              <w:rPr>
                <w:rFonts w:ascii="Times New Roman" w:hAnsi="Times New Roman"/>
                <w:b w:val="0"/>
                <w:sz w:val="20"/>
              </w:rPr>
              <w:t>Van der Waals</w:t>
            </w:r>
          </w:p>
        </w:tc>
        <w:tc>
          <w:tcPr>
            <w:tcW w:type="dxa" w:w="3685"/>
            <w:vAlign w:val="center"/>
          </w:tcPr>
          <w:p>
            <w:pPr>
              <w:spacing w:after="0" w:before="0"/>
              <w:jc w:val="center"/>
            </w:pPr>
            <w:r>
              <w:rPr>
                <w:rFonts w:ascii="Times New Roman" w:hAnsi="Times New Roman"/>
                <w:b w:val="0"/>
                <w:sz w:val="20"/>
              </w:rPr>
              <w:t>Cutoff 1,2 nm, esquema Verlet</w:t>
            </w:r>
          </w:p>
        </w:tc>
        <w:tc>
          <w:tcPr>
            <w:tcW w:type="dxa" w:w="3118"/>
            <w:vAlign w:val="center"/>
          </w:tcPr>
          <w:p>
            <w:pPr>
              <w:spacing w:after="0" w:before="0"/>
              <w:jc w:val="left"/>
            </w:pPr>
            <w:r>
              <w:rPr>
                <w:rFonts w:ascii="Times New Roman" w:hAnsi="Times New Roman"/>
                <w:b w:val="0"/>
                <w:sz w:val="20"/>
              </w:rPr>
              <w:t>—</w:t>
            </w:r>
          </w:p>
        </w:tc>
      </w:tr>
      <w:tr>
        <w:tc>
          <w:tcPr>
            <w:tcW w:type="dxa" w:w="3685"/>
            <w:vAlign w:val="center"/>
          </w:tcPr>
          <w:p>
            <w:pPr>
              <w:spacing w:after="0" w:before="0"/>
              <w:jc w:val="left"/>
            </w:pPr>
            <w:r>
              <w:rPr>
                <w:rFonts w:ascii="Times New Roman" w:hAnsi="Times New Roman"/>
                <w:b w:val="0"/>
                <w:sz w:val="20"/>
              </w:rPr>
              <w:t>Restrições de ligação</w:t>
            </w:r>
          </w:p>
        </w:tc>
        <w:tc>
          <w:tcPr>
            <w:tcW w:type="dxa" w:w="3685"/>
            <w:vAlign w:val="center"/>
          </w:tcPr>
          <w:p>
            <w:pPr>
              <w:spacing w:after="0" w:before="0"/>
              <w:jc w:val="center"/>
            </w:pPr>
            <w:r>
              <w:rPr>
                <w:rFonts w:ascii="Times New Roman" w:hAnsi="Times New Roman"/>
                <w:b w:val="0"/>
                <w:sz w:val="20"/>
              </w:rPr>
              <w:t>LINCS (ordem 4, 1 iteração)</w:t>
            </w:r>
          </w:p>
        </w:tc>
        <w:tc>
          <w:tcPr>
            <w:tcW w:type="dxa" w:w="3118"/>
            <w:vAlign w:val="center"/>
          </w:tcPr>
          <w:p>
            <w:pPr>
              <w:spacing w:after="0" w:before="0"/>
              <w:jc w:val="left"/>
            </w:pPr>
            <w:r>
              <w:rPr>
                <w:rFonts w:ascii="Times New Roman" w:hAnsi="Times New Roman"/>
                <w:b w:val="0"/>
                <w:sz w:val="20"/>
              </w:rPr>
              <w:t>Hess et al., 1997</w:t>
            </w:r>
          </w:p>
        </w:tc>
      </w:tr>
      <w:tr>
        <w:tc>
          <w:tcPr>
            <w:tcW w:type="dxa" w:w="3685"/>
            <w:vAlign w:val="center"/>
          </w:tcPr>
          <w:p>
            <w:pPr>
              <w:spacing w:after="0" w:before="0"/>
              <w:jc w:val="left"/>
            </w:pPr>
            <w:r>
              <w:rPr>
                <w:rFonts w:ascii="Times New Roman" w:hAnsi="Times New Roman"/>
                <w:b w:val="0"/>
                <w:sz w:val="20"/>
              </w:rPr>
              <w:t>Passo de integração</w:t>
            </w:r>
          </w:p>
        </w:tc>
        <w:tc>
          <w:tcPr>
            <w:tcW w:type="dxa" w:w="3685"/>
            <w:vAlign w:val="center"/>
          </w:tcPr>
          <w:p>
            <w:pPr>
              <w:spacing w:after="0" w:before="0"/>
              <w:jc w:val="center"/>
            </w:pPr>
            <w:r>
              <w:rPr>
                <w:rFonts w:ascii="Times New Roman" w:hAnsi="Times New Roman"/>
                <w:b w:val="0"/>
                <w:sz w:val="20"/>
              </w:rPr>
              <w:t>2 fs</w:t>
            </w:r>
          </w:p>
        </w:tc>
        <w:tc>
          <w:tcPr>
            <w:tcW w:type="dxa" w:w="3118"/>
            <w:vAlign w:val="center"/>
          </w:tcPr>
          <w:p>
            <w:pPr>
              <w:spacing w:after="0" w:before="0"/>
              <w:jc w:val="left"/>
            </w:pPr>
            <w:r>
              <w:rPr>
                <w:rFonts w:ascii="Times New Roman" w:hAnsi="Times New Roman"/>
                <w:b w:val="0"/>
                <w:sz w:val="20"/>
              </w:rPr>
              <w:t>—</w:t>
            </w:r>
          </w:p>
        </w:tc>
      </w:tr>
      <w:tr>
        <w:tc>
          <w:tcPr>
            <w:tcW w:type="dxa" w:w="3685"/>
            <w:vAlign w:val="center"/>
          </w:tcPr>
          <w:p>
            <w:pPr>
              <w:spacing w:after="0" w:before="0"/>
              <w:jc w:val="left"/>
            </w:pPr>
            <w:r>
              <w:rPr>
                <w:rFonts w:ascii="Times New Roman" w:hAnsi="Times New Roman"/>
                <w:b w:val="0"/>
                <w:sz w:val="20"/>
              </w:rPr>
              <w:t>Termostato</w:t>
            </w:r>
          </w:p>
        </w:tc>
        <w:tc>
          <w:tcPr>
            <w:tcW w:type="dxa" w:w="3685"/>
            <w:vAlign w:val="center"/>
          </w:tcPr>
          <w:p>
            <w:pPr>
              <w:spacing w:after="0" w:before="0"/>
              <w:jc w:val="center"/>
            </w:pPr>
            <w:r>
              <w:rPr>
                <w:rFonts w:ascii="Times New Roman" w:hAnsi="Times New Roman"/>
                <w:b w:val="0"/>
                <w:sz w:val="20"/>
              </w:rPr>
              <w:t>V-rescale, τ = 0,1 ps</w:t>
            </w:r>
          </w:p>
        </w:tc>
        <w:tc>
          <w:tcPr>
            <w:tcW w:type="dxa" w:w="3118"/>
            <w:vAlign w:val="center"/>
          </w:tcPr>
          <w:p>
            <w:pPr>
              <w:spacing w:after="0" w:before="0"/>
              <w:jc w:val="left"/>
            </w:pPr>
            <w:r>
              <w:rPr>
                <w:rFonts w:ascii="Times New Roman" w:hAnsi="Times New Roman"/>
                <w:b w:val="0"/>
                <w:sz w:val="20"/>
              </w:rPr>
              <w:t>Bussi et al., 2007</w:t>
            </w:r>
          </w:p>
        </w:tc>
      </w:tr>
      <w:tr>
        <w:tc>
          <w:tcPr>
            <w:tcW w:type="dxa" w:w="3685"/>
            <w:vAlign w:val="center"/>
          </w:tcPr>
          <w:p>
            <w:pPr>
              <w:spacing w:after="0" w:before="0"/>
              <w:jc w:val="left"/>
            </w:pPr>
            <w:r>
              <w:rPr>
                <w:rFonts w:ascii="Times New Roman" w:hAnsi="Times New Roman"/>
                <w:b w:val="0"/>
                <w:sz w:val="20"/>
              </w:rPr>
              <w:t>Barostato — equilibração</w:t>
            </w:r>
          </w:p>
        </w:tc>
        <w:tc>
          <w:tcPr>
            <w:tcW w:type="dxa" w:w="3685"/>
            <w:vAlign w:val="center"/>
          </w:tcPr>
          <w:p>
            <w:pPr>
              <w:spacing w:after="0" w:before="0"/>
              <w:jc w:val="center"/>
            </w:pPr>
            <w:r>
              <w:rPr>
                <w:rFonts w:ascii="Times New Roman" w:hAnsi="Times New Roman"/>
                <w:b w:val="0"/>
                <w:sz w:val="20"/>
              </w:rPr>
              <w:t>Berendsen, τp = 2,0 ps</w:t>
            </w:r>
          </w:p>
        </w:tc>
        <w:tc>
          <w:tcPr>
            <w:tcW w:type="dxa" w:w="3118"/>
            <w:vAlign w:val="center"/>
          </w:tcPr>
          <w:p>
            <w:pPr>
              <w:spacing w:after="0" w:before="0"/>
              <w:jc w:val="left"/>
            </w:pPr>
            <w:r>
              <w:rPr>
                <w:rFonts w:ascii="Times New Roman" w:hAnsi="Times New Roman"/>
                <w:b w:val="0"/>
                <w:sz w:val="20"/>
              </w:rPr>
              <w:t>Bray et al., 2024</w:t>
            </w:r>
          </w:p>
        </w:tc>
      </w:tr>
      <w:tr>
        <w:tc>
          <w:tcPr>
            <w:tcW w:type="dxa" w:w="3685"/>
            <w:vAlign w:val="center"/>
          </w:tcPr>
          <w:p>
            <w:pPr>
              <w:spacing w:after="0" w:before="0"/>
              <w:jc w:val="left"/>
            </w:pPr>
            <w:r>
              <w:rPr>
                <w:rFonts w:ascii="Times New Roman" w:hAnsi="Times New Roman"/>
                <w:b w:val="0"/>
                <w:sz w:val="20"/>
              </w:rPr>
              <w:t>Barostato — produção</w:t>
            </w:r>
          </w:p>
        </w:tc>
        <w:tc>
          <w:tcPr>
            <w:tcW w:type="dxa" w:w="3685"/>
            <w:vAlign w:val="center"/>
          </w:tcPr>
          <w:p>
            <w:pPr>
              <w:spacing w:after="0" w:before="0"/>
              <w:jc w:val="center"/>
            </w:pPr>
            <w:r>
              <w:rPr>
                <w:rFonts w:ascii="Times New Roman" w:hAnsi="Times New Roman"/>
                <w:b w:val="0"/>
                <w:sz w:val="20"/>
              </w:rPr>
              <w:t>Parrinello-Rahman, τp = 2,0 ps</w:t>
            </w:r>
          </w:p>
        </w:tc>
        <w:tc>
          <w:tcPr>
            <w:tcW w:type="dxa" w:w="3118"/>
            <w:vAlign w:val="center"/>
          </w:tcPr>
          <w:p>
            <w:pPr>
              <w:spacing w:after="0" w:before="0"/>
              <w:jc w:val="left"/>
            </w:pPr>
            <w:r>
              <w:rPr>
                <w:rFonts w:ascii="Times New Roman" w:hAnsi="Times New Roman"/>
                <w:b w:val="0"/>
                <w:sz w:val="20"/>
              </w:rPr>
              <w:t>Parrinello &amp; Rahman, 1981</w:t>
            </w:r>
          </w:p>
        </w:tc>
      </w:tr>
      <w:tr>
        <w:tc>
          <w:tcPr>
            <w:tcW w:type="dxa" w:w="3685"/>
            <w:vAlign w:val="center"/>
          </w:tcPr>
          <w:p>
            <w:pPr>
              <w:spacing w:after="0" w:before="0"/>
              <w:jc w:val="left"/>
            </w:pPr>
            <w:r>
              <w:rPr>
                <w:rFonts w:ascii="Times New Roman" w:hAnsi="Times New Roman"/>
                <w:b w:val="0"/>
                <w:sz w:val="20"/>
              </w:rPr>
              <w:t>Equilibração NVT</w:t>
            </w:r>
          </w:p>
        </w:tc>
        <w:tc>
          <w:tcPr>
            <w:tcW w:type="dxa" w:w="3685"/>
            <w:vAlign w:val="center"/>
          </w:tcPr>
          <w:p>
            <w:pPr>
              <w:spacing w:after="0" w:before="0"/>
              <w:jc w:val="center"/>
            </w:pPr>
            <w:r>
              <w:rPr>
                <w:rFonts w:ascii="Times New Roman" w:hAnsi="Times New Roman"/>
                <w:b w:val="0"/>
                <w:sz w:val="20"/>
              </w:rPr>
              <w:t>200 ps</w:t>
            </w:r>
          </w:p>
        </w:tc>
        <w:tc>
          <w:tcPr>
            <w:tcW w:type="dxa" w:w="3118"/>
            <w:vAlign w:val="center"/>
          </w:tcPr>
          <w:p>
            <w:pPr>
              <w:spacing w:after="0" w:before="0"/>
              <w:jc w:val="left"/>
            </w:pPr>
            <w:r>
              <w:rPr>
                <w:rFonts w:ascii="Times New Roman" w:hAnsi="Times New Roman"/>
                <w:b w:val="0"/>
                <w:sz w:val="20"/>
              </w:rPr>
              <w:t>Bray et al., 2024</w:t>
            </w:r>
          </w:p>
        </w:tc>
      </w:tr>
      <w:tr>
        <w:tc>
          <w:tcPr>
            <w:tcW w:type="dxa" w:w="3685"/>
            <w:vAlign w:val="center"/>
          </w:tcPr>
          <w:p>
            <w:pPr>
              <w:spacing w:after="0" w:before="0"/>
              <w:jc w:val="left"/>
            </w:pPr>
            <w:r>
              <w:rPr>
                <w:rFonts w:ascii="Times New Roman" w:hAnsi="Times New Roman"/>
                <w:b w:val="0"/>
                <w:sz w:val="20"/>
              </w:rPr>
              <w:t>Equilibração NPT</w:t>
            </w:r>
          </w:p>
        </w:tc>
        <w:tc>
          <w:tcPr>
            <w:tcW w:type="dxa" w:w="3685"/>
            <w:vAlign w:val="center"/>
          </w:tcPr>
          <w:p>
            <w:pPr>
              <w:spacing w:after="0" w:before="0"/>
              <w:jc w:val="center"/>
            </w:pPr>
            <w:r>
              <w:rPr>
                <w:rFonts w:ascii="Times New Roman" w:hAnsi="Times New Roman"/>
                <w:b w:val="0"/>
                <w:sz w:val="20"/>
              </w:rPr>
              <w:t>500 ps</w:t>
            </w:r>
          </w:p>
        </w:tc>
        <w:tc>
          <w:tcPr>
            <w:tcW w:type="dxa" w:w="3118"/>
            <w:vAlign w:val="center"/>
          </w:tcPr>
          <w:p>
            <w:pPr>
              <w:spacing w:after="0" w:before="0"/>
              <w:jc w:val="left"/>
            </w:pPr>
            <w:r>
              <w:rPr>
                <w:rFonts w:ascii="Times New Roman" w:hAnsi="Times New Roman"/>
                <w:b w:val="0"/>
                <w:sz w:val="20"/>
              </w:rPr>
              <w:t>Al-Khafaji et al., 2024</w:t>
            </w:r>
          </w:p>
        </w:tc>
      </w:tr>
      <w:tr>
        <w:tc>
          <w:tcPr>
            <w:tcW w:type="dxa" w:w="3685"/>
            <w:vAlign w:val="center"/>
          </w:tcPr>
          <w:p>
            <w:pPr>
              <w:spacing w:after="0" w:before="0"/>
              <w:jc w:val="left"/>
            </w:pPr>
            <w:r>
              <w:rPr>
                <w:rFonts w:ascii="Times New Roman" w:hAnsi="Times New Roman"/>
                <w:b w:val="0"/>
                <w:sz w:val="20"/>
              </w:rPr>
              <w:t>Produção</w:t>
            </w:r>
          </w:p>
        </w:tc>
        <w:tc>
          <w:tcPr>
            <w:tcW w:type="dxa" w:w="3685"/>
            <w:vAlign w:val="center"/>
          </w:tcPr>
          <w:p>
            <w:pPr>
              <w:spacing w:after="0" w:before="0"/>
              <w:jc w:val="center"/>
            </w:pPr>
            <w:r>
              <w:rPr>
                <w:rFonts w:ascii="Times New Roman" w:hAnsi="Times New Roman"/>
                <w:b w:val="0"/>
                <w:sz w:val="20"/>
              </w:rPr>
              <w:t>100 ns por complexo</w:t>
            </w:r>
          </w:p>
        </w:tc>
        <w:tc>
          <w:tcPr>
            <w:tcW w:type="dxa" w:w="3118"/>
            <w:vAlign w:val="center"/>
          </w:tcPr>
          <w:p>
            <w:pPr>
              <w:spacing w:after="0" w:before="0"/>
              <w:jc w:val="left"/>
            </w:pPr>
            <w:r>
              <w:rPr>
                <w:rFonts w:ascii="Times New Roman" w:hAnsi="Times New Roman"/>
                <w:b w:val="0"/>
                <w:sz w:val="20"/>
              </w:rPr>
              <w:t>Ahmad et al., 2018</w:t>
            </w:r>
          </w:p>
        </w:tc>
      </w:tr>
      <w:tr>
        <w:tc>
          <w:tcPr>
            <w:tcW w:type="dxa" w:w="3685"/>
            <w:vAlign w:val="center"/>
          </w:tcPr>
          <w:p>
            <w:pPr>
              <w:spacing w:after="0" w:before="0"/>
              <w:jc w:val="left"/>
            </w:pPr>
            <w:r>
              <w:rPr>
                <w:rFonts w:ascii="Times New Roman" w:hAnsi="Times New Roman"/>
                <w:b w:val="0"/>
                <w:sz w:val="20"/>
              </w:rPr>
              <w:t>Frequência de gravação</w:t>
            </w:r>
          </w:p>
        </w:tc>
        <w:tc>
          <w:tcPr>
            <w:tcW w:type="dxa" w:w="3685"/>
            <w:vAlign w:val="center"/>
          </w:tcPr>
          <w:p>
            <w:pPr>
              <w:spacing w:after="0" w:before="0"/>
              <w:jc w:val="center"/>
            </w:pPr>
            <w:r>
              <w:rPr>
                <w:rFonts w:ascii="Times New Roman" w:hAnsi="Times New Roman"/>
                <w:b w:val="0"/>
                <w:sz w:val="20"/>
              </w:rPr>
              <w:t>10 ps (nstxout-compressed = 5.000)</w:t>
            </w:r>
          </w:p>
        </w:tc>
        <w:tc>
          <w:tcPr>
            <w:tcW w:type="dxa" w:w="3118"/>
            <w:vAlign w:val="center"/>
          </w:tcPr>
          <w:p>
            <w:pPr>
              <w:spacing w:after="0" w:before="0"/>
              <w:jc w:val="left"/>
            </w:pPr>
            <w:r>
              <w:rPr>
                <w:rFonts w:ascii="Times New Roman" w:hAnsi="Times New Roman"/>
                <w:b w:val="0"/>
                <w:sz w:val="20"/>
              </w:rPr>
              <w:t>—</w:t>
            </w:r>
          </w:p>
        </w:tc>
      </w:tr>
      <w:tr>
        <w:tc>
          <w:tcPr>
            <w:tcW w:type="dxa" w:w="3685"/>
            <w:vAlign w:val="center"/>
          </w:tcPr>
          <w:p>
            <w:pPr>
              <w:spacing w:after="0" w:before="0"/>
              <w:jc w:val="left"/>
            </w:pPr>
            <w:r>
              <w:rPr>
                <w:rFonts w:ascii="Times New Roman" w:hAnsi="Times New Roman"/>
                <w:b w:val="0"/>
                <w:sz w:val="20"/>
              </w:rPr>
              <w:t>Velocidades iniciais</w:t>
            </w:r>
          </w:p>
        </w:tc>
        <w:tc>
          <w:tcPr>
            <w:tcW w:type="dxa" w:w="3685"/>
            <w:vAlign w:val="center"/>
          </w:tcPr>
          <w:p>
            <w:pPr>
              <w:spacing w:after="0" w:before="0"/>
              <w:jc w:val="center"/>
            </w:pPr>
            <w:r>
              <w:rPr>
                <w:rFonts w:ascii="Times New Roman" w:hAnsi="Times New Roman"/>
                <w:b w:val="0"/>
                <w:sz w:val="20"/>
              </w:rPr>
              <w:t>Maxwell-Boltzmann 300 K, semente −1</w:t>
            </w:r>
          </w:p>
        </w:tc>
        <w:tc>
          <w:tcPr>
            <w:tcW w:type="dxa" w:w="3118"/>
            <w:vAlign w:val="center"/>
          </w:tcPr>
          <w:p>
            <w:pPr>
              <w:spacing w:after="0" w:before="0"/>
              <w:jc w:val="left"/>
            </w:pPr>
            <w:r>
              <w:rPr>
                <w:rFonts w:ascii="Times New Roman" w:hAnsi="Times New Roman"/>
                <w:b w:val="0"/>
                <w:sz w:val="20"/>
              </w:rPr>
              <w:t>—</w:t>
            </w:r>
          </w:p>
        </w:tc>
      </w:tr>
      <w:tr>
        <w:tc>
          <w:tcPr>
            <w:tcW w:type="dxa" w:w="3685"/>
            <w:vAlign w:val="center"/>
          </w:tcPr>
          <w:p>
            <w:pPr>
              <w:spacing w:after="0" w:before="0"/>
              <w:jc w:val="left"/>
            </w:pPr>
            <w:r>
              <w:rPr>
                <w:rFonts w:ascii="Times New Roman" w:hAnsi="Times New Roman"/>
                <w:b w:val="0"/>
                <w:sz w:val="20"/>
              </w:rPr>
              <w:t>pH implícito</w:t>
            </w:r>
          </w:p>
        </w:tc>
        <w:tc>
          <w:tcPr>
            <w:tcW w:type="dxa" w:w="3685"/>
            <w:vAlign w:val="center"/>
          </w:tcPr>
          <w:p>
            <w:pPr>
              <w:spacing w:after="0" w:before="0"/>
              <w:jc w:val="center"/>
            </w:pPr>
            <w:r>
              <w:rPr>
                <w:rFonts w:ascii="Times New Roman" w:hAnsi="Times New Roman"/>
                <w:b w:val="0"/>
                <w:sz w:val="20"/>
              </w:rPr>
              <w:t>8,2 (PROPKA); His57 como HIE</w:t>
            </w:r>
          </w:p>
        </w:tc>
        <w:tc>
          <w:tcPr>
            <w:tcW w:type="dxa" w:w="3118"/>
            <w:vAlign w:val="center"/>
          </w:tcPr>
          <w:p>
            <w:pPr>
              <w:spacing w:after="0" w:before="0"/>
              <w:jc w:val="left"/>
            </w:pPr>
            <w:r>
              <w:rPr>
                <w:rFonts w:ascii="Times New Roman" w:hAnsi="Times New Roman"/>
                <w:b w:val="0"/>
                <w:sz w:val="20"/>
              </w:rPr>
              <w:t>Dolinsky et al., 2007</w:t>
            </w:r>
          </w:p>
        </w:tc>
      </w:tr>
    </w:tbl>
    <w:p/>
    <w:p>
      <w:pPr>
        <w:pStyle w:val="Heading2"/>
        <w:jc w:val="left"/>
      </w:pPr>
      <w:r>
        <w:rPr>
          <w:rFonts w:ascii="Times New Roman" w:hAnsi="Times New Roman"/>
        </w:rPr>
        <w:t>2.5 Análise das trajetórias</w:t>
      </w:r>
    </w:p>
    <w:p>
      <w:pPr>
        <w:spacing w:after="120" w:before="0"/>
        <w:ind w:firstLine="720"/>
        <w:jc w:val="both"/>
      </w:pPr>
      <w:r>
        <w:rPr>
          <w:rFonts w:ascii="Times New Roman" w:hAnsi="Times New Roman"/>
          <w:sz w:val="24"/>
        </w:rPr>
        <w:t>As trajetórias de produção foram pós-processadas com o módulo gmx trjconv para: (i) correção de condições periódicas de contorno (PBC); (ii) centralização do complexo na caixa; e (iii) alinhamento rotacional e translacional pelo backbone do receptor. As seguintes propriedades foram calculadas ao longo de cada trajetória:</w:t>
      </w:r>
    </w:p>
    <w:p>
      <w:pPr>
        <w:pStyle w:val="ListBullet"/>
        <w:spacing w:after="60" w:before="0"/>
        <w:jc w:val="both"/>
      </w:pPr>
      <w:r>
        <w:rPr>
          <w:rFonts w:ascii="Times New Roman" w:hAnsi="Times New Roman"/>
          <w:b/>
          <w:sz w:val="24"/>
        </w:rPr>
        <w:t xml:space="preserve">Estabilidade estrutural (RMSD): </w:t>
      </w:r>
      <w:r>
        <w:rPr>
          <w:rFonts w:ascii="Times New Roman" w:hAnsi="Times New Roman"/>
          <w:sz w:val="24"/>
        </w:rPr>
        <w:t>o desvio quadrático médio das posições atômicas foi calculado para o backbone do receptor (Cα, C, N, O) e para os átomos pesados do peptídeo, utilizando a estrutura do primeiro frame da produção como referência (gmx rms). Trajetórias com RMSD do backbone &lt; 0,3 nm e variação padrão &lt; 0,05 nm foram consideradas estáveis.</w:t>
      </w:r>
    </w:p>
    <w:p>
      <w:pPr>
        <w:pStyle w:val="ListBullet"/>
        <w:spacing w:after="60" w:before="0"/>
        <w:jc w:val="both"/>
      </w:pPr>
      <w:r>
        <w:rPr>
          <w:rFonts w:ascii="Times New Roman" w:hAnsi="Times New Roman"/>
          <w:b/>
          <w:sz w:val="24"/>
        </w:rPr>
        <w:t xml:space="preserve">Flexibilidade por resíduo (RMSF): </w:t>
      </w:r>
      <w:r>
        <w:rPr>
          <w:rFonts w:ascii="Times New Roman" w:hAnsi="Times New Roman"/>
          <w:sz w:val="24"/>
        </w:rPr>
        <w:t>a flutuação quadrática média das posições atômicas foi calculada por resíduo para o backbone do receptor ao longo de toda a trajetória (gmx rmsf), identificando regiões de alta mobilidade e loops flexíveis.</w:t>
      </w:r>
    </w:p>
    <w:p>
      <w:pPr>
        <w:pStyle w:val="ListBullet"/>
        <w:spacing w:after="60" w:before="0"/>
        <w:jc w:val="both"/>
      </w:pPr>
      <w:r>
        <w:rPr>
          <w:rFonts w:ascii="Times New Roman" w:hAnsi="Times New Roman"/>
          <w:b/>
          <w:sz w:val="24"/>
        </w:rPr>
        <w:t xml:space="preserve">Compactação estrutural (Raio de giro, Rg): </w:t>
      </w:r>
      <w:r>
        <w:rPr>
          <w:rFonts w:ascii="Times New Roman" w:hAnsi="Times New Roman"/>
          <w:sz w:val="24"/>
        </w:rPr>
        <w:t>o raio de giro do complexo foi calculado sobre todos os átomos da proteína ao longo do tempo (gmx gyrate), como indicador de expansão ou compactação global do receptor durante a simulação.</w:t>
      </w:r>
    </w:p>
    <w:p>
      <w:pPr>
        <w:pStyle w:val="ListBullet"/>
        <w:spacing w:after="60" w:before="0"/>
        <w:jc w:val="both"/>
      </w:pPr>
      <w:r>
        <w:rPr>
          <w:rFonts w:ascii="Times New Roman" w:hAnsi="Times New Roman"/>
          <w:b/>
          <w:sz w:val="24"/>
        </w:rPr>
        <w:t xml:space="preserve">Contatos intermoleculares: </w:t>
      </w:r>
      <w:r>
        <w:rPr>
          <w:rFonts w:ascii="Times New Roman" w:hAnsi="Times New Roman"/>
          <w:sz w:val="24"/>
        </w:rPr>
        <w:t>o número de átomos em contato entre receptor e peptídeo (distância &lt; 0,4 nm) e a distância mínima entre os grupos foram calculados com gmx mindist. Reduções abruptas no número de contatos foram interpretadas como eventos de dissociação do peptídeo.</w:t>
      </w:r>
    </w:p>
    <w:p>
      <w:pPr>
        <w:pStyle w:val="ListBullet"/>
        <w:spacing w:after="60" w:before="0"/>
        <w:jc w:val="both"/>
      </w:pPr>
      <w:r>
        <w:rPr>
          <w:rFonts w:ascii="Times New Roman" w:hAnsi="Times New Roman"/>
          <w:b/>
          <w:sz w:val="24"/>
        </w:rPr>
        <w:t xml:space="preserve">Pontes de hidrogênio: </w:t>
      </w:r>
      <w:r>
        <w:rPr>
          <w:rFonts w:ascii="Times New Roman" w:hAnsi="Times New Roman"/>
          <w:sz w:val="24"/>
        </w:rPr>
        <w:t>pontes de hidrogênio entre receptor e peptídeo foram identificadas e quantificadas ao longo da trajetória com gmx hbond, utilizando os critérios geométricos padrão: distância doador–aceptor ≤ 0,35 nm e ângulo ≤ 30°. Apenas pontes com persistência ≥ 10% da trajetória foram consideradas estáveis.</w:t>
      </w:r>
    </w:p>
    <w:p>
      <w:pPr>
        <w:pStyle w:val="ListBullet"/>
        <w:spacing w:after="60" w:before="0"/>
        <w:jc w:val="both"/>
      </w:pPr>
      <w:r>
        <w:rPr>
          <w:rFonts w:ascii="Times New Roman" w:hAnsi="Times New Roman"/>
          <w:b/>
          <w:sz w:val="24"/>
        </w:rPr>
        <w:t xml:space="preserve">Área de superfície acessível ao solvente (SASA): </w:t>
      </w:r>
      <w:r>
        <w:rPr>
          <w:rFonts w:ascii="Times New Roman" w:hAnsi="Times New Roman"/>
          <w:sz w:val="24"/>
        </w:rPr>
        <w:t>a SASA do receptor e do peptídeo foi calculada com gmx sasa (algoritmo de Connolly, raio de sonda 0,14 nm). Valores reduzidos de SASA do peptídeo ao longo do tempo indicam enterramento progressivo na interface de ligação e redução da exposição ao solvente.</w:t>
      </w:r>
    </w:p>
    <w:p>
      <w:pPr>
        <w:pStyle w:val="ListBullet"/>
        <w:spacing w:after="60" w:before="0"/>
        <w:jc w:val="both"/>
      </w:pPr>
      <w:r>
        <w:rPr>
          <w:rFonts w:ascii="Times New Roman" w:hAnsi="Times New Roman"/>
          <w:b/>
          <w:sz w:val="24"/>
        </w:rPr>
        <w:t xml:space="preserve">Distâncias aos resíduos catalíticos e bolsão S1: </w:t>
      </w:r>
      <w:r>
        <w:rPr>
          <w:rFonts w:ascii="Times New Roman" w:hAnsi="Times New Roman"/>
          <w:sz w:val="24"/>
        </w:rPr>
        <w:t>a distância mínima entre os átomos pesados do peptídeo e cada resíduo de interesse do sítio ativo (Tyr83, Asp132, Ser234 e Ile229/bolsão S1) foi monitorada ao longo da trajetória com gmx mindist. Distâncias &lt; 0,5 nm foram consideradas compatíveis com ocupação do sítio ativo e potencial inibição da atividade catalítica.</w:t>
      </w:r>
    </w:p>
    <w:p/>
    <w:p>
      <w:pPr>
        <w:spacing w:after="120" w:before="0"/>
        <w:ind w:firstLine="720"/>
        <w:jc w:val="both"/>
      </w:pPr>
      <w:r>
        <w:rPr>
          <w:rFonts w:ascii="Times New Roman" w:hAnsi="Times New Roman"/>
          <w:sz w:val="24"/>
        </w:rPr>
        <w:t>A fase estável de cada trajetória foi determinada automaticamente pela identificação do plateau no perfil de RMSD do backbone, utilizando uma janela deslizante de 5 ns e limiar de desvio padrão de 0,15 nm (módulo stability_filter do pipeline). Os critérios integrados para classificação de inibição peptídica foram: (i) RMSD do peptídeo &lt; 0,3 nm na fase estável; (ii) ≥ 1 ponte de hidrogênio com persistência ≥ 10%; (iii) distância a pelo menos um resíduo catalítico &lt; 0,5 nm; (iv) redução da SASA do peptídeo em relação ao valor inicial (enterramento); e (v) número de contatos intermoleculares estável ao longo da fase estável.</w:t>
      </w:r>
    </w:p>
    <w:p>
      <w:pPr>
        <w:pStyle w:val="Heading1"/>
        <w:jc w:val="left"/>
      </w:pPr>
      <w:r>
        <w:rPr>
          <w:rFonts w:ascii="Times New Roman" w:hAnsi="Times New Roman"/>
        </w:rPr>
        <w:t>Referências</w:t>
      </w:r>
    </w:p>
    <w:p>
      <w:pPr>
        <w:spacing w:after="80"/>
        <w:ind w:left="720" w:hanging="720"/>
        <w:jc w:val="both"/>
      </w:pPr>
      <w:r>
        <w:rPr>
          <w:rFonts w:ascii="Times New Roman" w:hAnsi="Times New Roman"/>
          <w:sz w:val="24"/>
        </w:rPr>
        <w:t>Abraham, M. J. et al. GROMACS: High performance molecular simulations through multi-level parallelism from laptops to supercomputers. SoftwareX, v. 1–2, p. 19–25, 2015.</w:t>
      </w:r>
    </w:p>
    <w:p>
      <w:pPr>
        <w:spacing w:after="80"/>
        <w:ind w:left="720" w:hanging="720"/>
        <w:jc w:val="both"/>
      </w:pPr>
      <w:r>
        <w:rPr>
          <w:rFonts w:ascii="Times New Roman" w:hAnsi="Times New Roman"/>
          <w:sz w:val="24"/>
        </w:rPr>
        <w:t>Ahmad, S. et al. Structure-based design of a synthetic protein inhibitor of Spodoptera frugiperda trypsin. Scientific Reports, v. 8, p. 1743, 2018. doi:10.1038/s41598-017-18733-9</w:t>
      </w:r>
    </w:p>
    <w:p>
      <w:pPr>
        <w:spacing w:after="80"/>
        <w:ind w:left="720" w:hanging="720"/>
        <w:jc w:val="both"/>
      </w:pPr>
      <w:r>
        <w:rPr>
          <w:rFonts w:ascii="Times New Roman" w:hAnsi="Times New Roman"/>
          <w:sz w:val="24"/>
        </w:rPr>
        <w:t>Al-Khafaji, K. et al. Design of TAT-conjugated Bowman-Birk trypsin inhibitor peptides with enhanced cell penetration and protease inhibition. Biomolecules, v. 16, p. 511, 2024. doi:10.3390/biom16040511</w:t>
      </w:r>
    </w:p>
    <w:p>
      <w:pPr>
        <w:spacing w:after="80"/>
        <w:ind w:left="720" w:hanging="720"/>
        <w:jc w:val="both"/>
      </w:pPr>
      <w:r>
        <w:rPr>
          <w:rFonts w:ascii="Times New Roman" w:hAnsi="Times New Roman"/>
          <w:sz w:val="24"/>
        </w:rPr>
        <w:t>Bray, S. A. et al. Introductory tutorials for simulating protein dynamics with GROMACS. Journal of Physical Chemistry B, v. 128, p. 9492–9509, 2024. doi:10.1021/acs.jpcb.4c04901</w:t>
      </w:r>
    </w:p>
    <w:p>
      <w:pPr>
        <w:spacing w:after="80"/>
        <w:ind w:left="720" w:hanging="720"/>
        <w:jc w:val="both"/>
      </w:pPr>
      <w:r>
        <w:rPr>
          <w:rFonts w:ascii="Times New Roman" w:hAnsi="Times New Roman"/>
          <w:sz w:val="24"/>
        </w:rPr>
        <w:t>Bussi, G.; Donadio, D.; Parrinello, M. Canonical sampling through velocity rescaling. Journal of Chemical Physics, v. 126, 014101, 2007.</w:t>
      </w:r>
    </w:p>
    <w:p>
      <w:pPr>
        <w:spacing w:after="80"/>
        <w:ind w:left="720" w:hanging="720"/>
        <w:jc w:val="both"/>
      </w:pPr>
      <w:r>
        <w:rPr>
          <w:rFonts w:ascii="Times New Roman" w:hAnsi="Times New Roman"/>
          <w:sz w:val="24"/>
        </w:rPr>
        <w:t>Darden, T.; York, D.; Pedersen, L. Particle mesh Ewald: An N·log(N) method for Ewald sums in large systems. Journal of Chemical Physics, v. 98, p. 10089–10092, 1993.</w:t>
      </w:r>
    </w:p>
    <w:p>
      <w:pPr>
        <w:spacing w:after="80"/>
        <w:ind w:left="720" w:hanging="720"/>
        <w:jc w:val="both"/>
      </w:pPr>
      <w:r>
        <w:rPr>
          <w:rFonts w:ascii="Times New Roman" w:hAnsi="Times New Roman"/>
          <w:sz w:val="24"/>
        </w:rPr>
        <w:t>Di Tommaso, P. et al. Nextflow enables reproducible computational workflows. Nature Biotechnology, v. 35, p. 316–319, 2017.</w:t>
      </w:r>
    </w:p>
    <w:p>
      <w:pPr>
        <w:spacing w:after="80"/>
        <w:ind w:left="720" w:hanging="720"/>
        <w:jc w:val="both"/>
      </w:pPr>
      <w:r>
        <w:rPr>
          <w:rFonts w:ascii="Times New Roman" w:hAnsi="Times New Roman"/>
          <w:sz w:val="24"/>
        </w:rPr>
        <w:t>Dolinsky, T. J. et al. PDB2PQR: expanding and upgrading automated preparation of biomolecular structures for molecular simulations. Nucleic Acids Research, v. 35, p. W522–W525, 2007.</w:t>
      </w:r>
    </w:p>
    <w:p>
      <w:pPr>
        <w:spacing w:after="80"/>
        <w:ind w:left="720" w:hanging="720"/>
        <w:jc w:val="both"/>
      </w:pPr>
      <w:r>
        <w:rPr>
          <w:rFonts w:ascii="Times New Roman" w:hAnsi="Times New Roman"/>
          <w:sz w:val="24"/>
        </w:rPr>
        <w:t>Dominguez, C.; Boelens, R.; Bonvin, A. M. J. J. HADDOCK: A protein–protein docking approach based on biochemical or biophysical information. Journal of the American Chemical Society, v. 125, p. 1731–1737, 2003.</w:t>
      </w:r>
    </w:p>
    <w:p>
      <w:pPr>
        <w:spacing w:after="80"/>
        <w:ind w:left="720" w:hanging="720"/>
        <w:jc w:val="both"/>
      </w:pPr>
      <w:r>
        <w:rPr>
          <w:rFonts w:ascii="Times New Roman" w:hAnsi="Times New Roman"/>
          <w:sz w:val="24"/>
        </w:rPr>
        <w:t>Dossantos, E. A. et al. Inhibitory effects of protease inhibitors from Sapindus trifoliatus seeds on larval gut proteases of Spodoptera frugiperda. PLoS ONE, v. 10, e0140484, 2015.</w:t>
      </w:r>
    </w:p>
    <w:p>
      <w:pPr>
        <w:spacing w:after="80"/>
        <w:ind w:left="720" w:hanging="720"/>
        <w:jc w:val="both"/>
      </w:pPr>
      <w:r>
        <w:rPr>
          <w:rFonts w:ascii="Times New Roman" w:hAnsi="Times New Roman"/>
          <w:sz w:val="24"/>
        </w:rPr>
        <w:t>Dunse, K. M. et al. Coexpression of potato type I and II protease inhibitors with potato protease inhibitor 8 confers levels of insect gut cysteine and serine protease inhibition superior to single or binary inhibitor combinations. BMC Plant Biology, v. 10, p. 286, 2010.</w:t>
      </w:r>
    </w:p>
    <w:p>
      <w:pPr>
        <w:spacing w:after="80"/>
        <w:ind w:left="720" w:hanging="720"/>
        <w:jc w:val="both"/>
      </w:pPr>
      <w:r>
        <w:rPr>
          <w:rFonts w:ascii="Times New Roman" w:hAnsi="Times New Roman"/>
          <w:sz w:val="24"/>
        </w:rPr>
        <w:t>Hess, B. et al. LINCS: A linear constraint solver for molecular simulations. Journal of Computational Chemistry, v. 18, p. 1463–1472, 1997.</w:t>
      </w:r>
    </w:p>
    <w:p>
      <w:pPr>
        <w:spacing w:after="80"/>
        <w:ind w:left="720" w:hanging="720"/>
        <w:jc w:val="both"/>
      </w:pPr>
      <w:r>
        <w:rPr>
          <w:rFonts w:ascii="Times New Roman" w:hAnsi="Times New Roman"/>
          <w:sz w:val="24"/>
        </w:rPr>
        <w:t>Jorgensen, W. L. et al. Comparison of simple potential functions for simulating liquid water. Journal of Chemical Physics, v. 79, p. 926–935, 1983.</w:t>
      </w:r>
    </w:p>
    <w:p>
      <w:pPr>
        <w:spacing w:after="80"/>
        <w:ind w:left="720" w:hanging="720"/>
        <w:jc w:val="both"/>
      </w:pPr>
      <w:r>
        <w:rPr>
          <w:rFonts w:ascii="Times New Roman" w:hAnsi="Times New Roman"/>
          <w:sz w:val="24"/>
        </w:rPr>
        <w:t>Lindorff-Larsen, K. et al. Improved side-chain torsion potentials for the Amber ff99SB protein force field. Proteins, v. 78, p. 1950–1958, 2010.</w:t>
      </w:r>
    </w:p>
    <w:p>
      <w:pPr>
        <w:spacing w:after="80"/>
        <w:ind w:left="720" w:hanging="720"/>
        <w:jc w:val="both"/>
      </w:pPr>
      <w:r>
        <w:rPr>
          <w:rFonts w:ascii="Times New Roman" w:hAnsi="Times New Roman"/>
          <w:sz w:val="24"/>
        </w:rPr>
        <w:t>Parrinello, M.; Rahman, A. Polymorphic transitions in single crystals: A new molecular dynamics method. Journal of Applied Physics, v. 52, p. 7182–7190, 1981.</w:t>
      </w:r>
    </w:p>
    <w:p>
      <w:pPr>
        <w:spacing w:after="80"/>
        <w:ind w:left="720" w:hanging="720"/>
        <w:jc w:val="both"/>
      </w:pPr>
      <w:r>
        <w:rPr>
          <w:rFonts w:ascii="Times New Roman" w:hAnsi="Times New Roman"/>
          <w:sz w:val="24"/>
        </w:rPr>
        <w:t>Singh, S. et al. PEPstrMOD: structure prediction of peptides containing natural, non-natural and modified residues. Biology Direct, v. 10, p. 73, 2015.</w:t>
      </w:r>
    </w:p>
    <w:p>
      <w:pPr>
        <w:spacing w:after="80"/>
        <w:ind w:left="720" w:hanging="720"/>
        <w:jc w:val="both"/>
      </w:pPr>
      <w:r>
        <w:rPr>
          <w:rFonts w:ascii="Times New Roman" w:hAnsi="Times New Roman"/>
          <w:sz w:val="24"/>
        </w:rPr>
        <w:t>Soelter, T. M. et al. Prebound state discovered in the unbinding pathway of fluorinated variants of the trypsin-BPTI complex. Journal of Chemical Theory and Computation, v. 20, p. 4518–4531, 2024. doi:10.1021/acs.jctc.3c01412</w:t>
      </w:r>
    </w:p>
    <w:p>
      <w:pPr>
        <w:spacing w:after="80"/>
        <w:ind w:left="720" w:hanging="720"/>
        <w:jc w:val="both"/>
      </w:pPr>
      <w:r>
        <w:rPr>
          <w:rFonts w:ascii="Times New Roman" w:hAnsi="Times New Roman"/>
          <w:sz w:val="24"/>
        </w:rPr>
        <w:t>Trozzi, F. et al. GROMACS 2020: Algorithms for highly efficient, load-balanced, and scalable molecular simulation. Journal of Chemical Physics, v. 153, 214103, 2021.</w:t>
      </w:r>
    </w:p>
    <w:p>
      <w:pPr>
        <w:spacing w:after="80"/>
        <w:ind w:left="720" w:hanging="720"/>
        <w:jc w:val="both"/>
      </w:pPr>
      <w:r>
        <w:rPr>
          <w:rFonts w:ascii="Times New Roman" w:hAnsi="Times New Roman"/>
          <w:sz w:val="24"/>
        </w:rPr>
        <w:t>van Zundert, G. C. P. et al. The HADDOCK2.2 Web Server: User-Friendly Integrative Modeling of Biomolecular Complexes. Journal of Molecular Biology, v. 428, p. 720–725, 2016.</w:t>
      </w:r>
    </w:p>
    <w:p>
      <w:pPr>
        <w:spacing w:after="80"/>
        <w:ind w:left="720" w:hanging="720"/>
        <w:jc w:val="both"/>
      </w:pPr>
      <w:r>
        <w:rPr>
          <w:rFonts w:ascii="Times New Roman" w:hAnsi="Times New Roman"/>
          <w:sz w:val="24"/>
        </w:rPr>
        <w:t>Zhu, F. et al. A spatiotemporal atlas of the lepidopteran pest Helicoverpa armigera midgut. PLoS Biology, v. 20, e3001591, 2022.</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