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Dinâmica Molecular — Seções do Artigo</w:t>
      </w:r>
    </w:p>
    <w:p>
      <w:pPr/>
    </w:p>
    <w:p>
      <w:pPr>
        <w:pStyle w:val="Heading2"/>
      </w:pPr>
      <w:r>
        <w:t>2. Metodologia</w:t>
      </w:r>
    </w:p>
    <w:p>
      <w:pPr>
        <w:pStyle w:val="Heading3"/>
      </w:pPr>
      <w:r>
        <w:t>2.1 Preparação dos complexos</w:t>
      </w:r>
    </w:p>
    <w:p>
      <w:pPr>
        <w:jc w:val="both"/>
      </w:pPr>
      <w:r>
        <w:t xml:space="preserve">As estruturas iniciais dos complexos foram geradas por docking molecular utilizando o servidor HADDOCK 2.4 (van Zundert </w:t>
      </w:r>
      <w:r>
        <w:rPr>
          <w:i/>
        </w:rPr>
        <w:t>et al.</w:t>
      </w:r>
      <w:r>
        <w:t xml:space="preserve">, 2016). Os receptores avaliados correspondem a seis isoformas de tripsina digestiva de </w:t>
      </w:r>
      <w:r>
        <w:rPr>
          <w:i/>
        </w:rPr>
        <w:t>Spodoptera</w:t>
      </w:r>
      <w:r>
        <w:t xml:space="preserve"> spp.: ACR157, QCL936, XP273, XP352, DN773 e DN1441. Foram estudadas duas séries de inibidores: (i) </w:t>
      </w:r>
      <w:r>
        <w:rPr>
          <w:b/>
        </w:rPr>
        <w:t>série GORE4</w:t>
      </w:r>
      <w:r>
        <w:t xml:space="preserve"> — o peptídeo GORE4 de cinco resíduos, com todos os resíduos diretamente envolvidos na interface de ligação, modelado por docking proteína–peptídeo; (ii) </w:t>
      </w:r>
      <w:r>
        <w:rPr>
          <w:b/>
        </w:rPr>
        <w:t>série SKTI</w:t>
      </w:r>
      <w:r>
        <w:t xml:space="preserve"> — o Inibidor de Tripsina Kunitz de Soja (</w:t>
      </w:r>
      <w:r>
        <w:rPr>
          <w:i/>
        </w:rPr>
        <w:t>Soybean Kunitz Trypsin Inhibitor</w:t>
      </w:r>
      <w:r>
        <w:t>, SKTI; 177 resíduos), inibidor natural de referência com alça reativa SPYRIRF (P1 = Arg), modelado por docking proteína–proteína. Para cada sistema, o cluster de maior escore energético foi selecionado como pose inicial para as simulações.</w:t>
      </w:r>
    </w:p>
    <w:p>
      <w:pPr>
        <w:jc w:val="both"/>
      </w:pPr>
      <w:r>
        <w:t>Adicionalmente, a benzamidina (BEN; MW 120,15 Da) foi incluída como controle positivo estrutural, docada com AutoDock Vina 1.2.0 contra os snapshots finais pós-DM de cada receptor (protocolo detalhado em §3.4).</w:t>
      </w:r>
    </w:p>
    <w:p>
      <w:pPr>
        <w:jc w:val="both"/>
      </w:pPr>
      <w:r>
        <w:t xml:space="preserve">Os estados de protonação dos resíduos ionizáveis foram determinados para pH 8,2, simulando as condições alcalinas do intestino médio larval de </w:t>
      </w:r>
      <w:r>
        <w:rPr>
          <w:i/>
        </w:rPr>
        <w:t>Spodoptera</w:t>
      </w:r>
      <w:r>
        <w:t xml:space="preserve"> (</w:t>
      </w:r>
      <w:r>
        <w:rPr>
          <w:i/>
        </w:rPr>
        <w:t>midgut</w:t>
      </w:r>
      <w:r>
        <w:t xml:space="preserve"> pH 9,5–11,0; Al-Khafaji </w:t>
      </w:r>
      <w:r>
        <w:rPr>
          <w:i/>
        </w:rPr>
        <w:t>et al.</w:t>
      </w:r>
      <w:r>
        <w:t xml:space="preserve">, 2024). A protonação foi calculada com o servidor PropKa 3.0, implementado via </w:t>
      </w:r>
      <w:r>
        <w:rPr>
          <w:rFonts w:ascii="Courier New" w:hAnsi="Courier New"/>
          <w:sz w:val="20"/>
        </w:rPr>
        <w:t>pdb2pqr 3.x</w:t>
      </w:r>
      <w:r>
        <w:t xml:space="preserve"> com campo de força AMBER. Nesse pH, a His catalítica (His-ε) assume forma neutra (HIE), correspondente à conformação ativa da serino-protease.</w:t>
      </w:r>
    </w:p>
    <w:p>
      <w:pPr>
        <w:pStyle w:val="Heading3"/>
      </w:pPr>
      <w:r>
        <w:t>2.2 Configuração do campo de força e parâmetros de simulação</w:t>
      </w:r>
    </w:p>
    <w:p>
      <w:pPr>
        <w:jc w:val="both"/>
      </w:pPr>
      <w:r>
        <w:t xml:space="preserve">Todas as simulações foram conduzidas com o pacote GROMACS 2026 (Abraham </w:t>
      </w:r>
      <w:r>
        <w:rPr>
          <w:i/>
        </w:rPr>
        <w:t>et al.</w:t>
      </w:r>
      <w:r>
        <w:t xml:space="preserve">, 2015), utilizando o campo de força AMBER99SB-ILDN (Lindorff-Larsen </w:t>
      </w:r>
      <w:r>
        <w:rPr>
          <w:i/>
        </w:rPr>
        <w:t>et al.</w:t>
      </w:r>
      <w:r>
        <w:t>, 2010) e o modelo de água explícita TIP3P. Os complexos foram inseridos em caixas cúbicas periódicas com margem mínima de 2,0 nm entre o soluto e as faces da caixa. O sistema foi solvatado e neutralizado com a adição de íons K⁺ e Cl⁻ a uma concentração de 0,10 M (parâmetros de Joung &amp; Cheatham, 2008), refletindo a composição iônica da hemolinfa de insetos lepidópteros, predominantemente de K⁺ (Dow, 1992).</w:t>
      </w:r>
    </w:p>
    <w:p>
      <w:pPr>
        <w:pStyle w:val="Heading3"/>
      </w:pPr>
      <w:r>
        <w:t>2.3 Protocolo de equilibração</w:t>
      </w:r>
    </w:p>
    <w:p>
      <w:pPr>
        <w:jc w:val="both"/>
      </w:pPr>
      <w:r>
        <w:t>O protocolo de equilibração seguiu três etapas consecutivas:</w:t>
      </w:r>
    </w:p>
    <w:p>
      <w:pPr>
        <w:pStyle w:val="ListNumber"/>
        <w:spacing w:after="60"/>
      </w:pPr>
      <w:r>
        <w:rPr>
          <w:b/>
        </w:rPr>
        <w:t>Minimização de energia</w:t>
      </w:r>
      <w:r>
        <w:t xml:space="preserve"> — método de descida mais íngreme (</w:t>
      </w:r>
      <w:r>
        <w:rPr>
          <w:i/>
        </w:rPr>
        <w:t>steepest descent</w:t>
      </w:r>
      <w:r>
        <w:t>), critério de convergência de 1000 kJ mol⁻¹ nm⁻¹, máximo de 50.000 passos.</w:t>
      </w:r>
    </w:p>
    <w:p>
      <w:pPr>
        <w:pStyle w:val="ListNumber"/>
        <w:spacing w:after="60"/>
      </w:pPr>
      <w:r>
        <w:rPr>
          <w:b/>
        </w:rPr>
        <w:t>Equilibração NVT (200 ps)</w:t>
      </w:r>
      <w:r>
        <w:t xml:space="preserve"> — ensemble canônico a 300 K utilizando o termostato V-rescale (Bussi </w:t>
      </w:r>
      <w:r>
        <w:rPr>
          <w:i/>
        </w:rPr>
        <w:t>et al.</w:t>
      </w:r>
      <w:r>
        <w:t>, 2007) com constante de acoplamento τ = 0,1 ps, aplicado separadamente ao complexo e ao solvente. Restrições de posição (</w:t>
      </w:r>
      <w:r>
        <w:rPr>
          <w:rFonts w:ascii="Courier New" w:hAnsi="Courier New"/>
          <w:sz w:val="20"/>
        </w:rPr>
        <w:t>POSRES</w:t>
      </w:r>
      <w:r>
        <w:t xml:space="preserve">) foram aplicadas aos átomos pesados do soluto. A temperatura de 300 K corresponde ao intervalo fisiológico larval de </w:t>
      </w:r>
      <w:r>
        <w:rPr>
          <w:i/>
        </w:rPr>
        <w:t>Spodoptera</w:t>
      </w:r>
      <w:r>
        <w:t xml:space="preserve"> (25–30 °C; Bray </w:t>
      </w:r>
      <w:r>
        <w:rPr>
          <w:i/>
        </w:rPr>
        <w:t>et al.</w:t>
      </w:r>
      <w:r>
        <w:t>, 2024).</w:t>
      </w:r>
    </w:p>
    <w:p>
      <w:pPr>
        <w:pStyle w:val="ListNumber"/>
        <w:spacing w:after="60"/>
      </w:pPr>
      <w:r>
        <w:rPr>
          <w:b/>
        </w:rPr>
        <w:t>Equilibração NPT (500 ps)</w:t>
      </w:r>
      <w:r>
        <w:t xml:space="preserve"> — ensemble isobárico-isotérmico a 300 K e 1 bar, com barostato de Berendsen (τ = 2,0 ps) para estabilização da densidade (Al-Khafaji </w:t>
      </w:r>
      <w:r>
        <w:rPr>
          <w:i/>
        </w:rPr>
        <w:t>et al.</w:t>
      </w:r>
      <w:r>
        <w:t>, 2024). As restrições de posição foram mantidas.</w:t>
      </w:r>
    </w:p>
    <w:p>
      <w:pPr>
        <w:pStyle w:val="Heading3"/>
      </w:pPr>
      <w:r>
        <w:t>2.4 Simulação de produção</w:t>
      </w:r>
    </w:p>
    <w:p>
      <w:pPr>
        <w:jc w:val="both"/>
      </w:pPr>
      <w:r>
        <w:t xml:space="preserve">As simulações de produção foram realizadas por 100 ns cada, sem restrições de posição, no ensemble NPT utilizando o barostato de Parrinello-Rahman (τ = 2,0 ps; Parrinello &amp; Rahman, 1981). O integrador </w:t>
      </w:r>
      <w:r>
        <w:rPr>
          <w:i/>
        </w:rPr>
        <w:t>leap-frog</w:t>
      </w:r>
      <w:r>
        <w:t xml:space="preserve"> foi empregado com passo de integração de 2 fs. As ligações envolvendo hidrogênios foram restringidas com o algoritmo LINCS (Hess </w:t>
      </w:r>
      <w:r>
        <w:rPr>
          <w:i/>
        </w:rPr>
        <w:t>et al.</w:t>
      </w:r>
      <w:r>
        <w:t xml:space="preserve">, 1997). As interações eletrostáticas de longo alcance foram calculadas pelo método </w:t>
      </w:r>
      <w:r>
        <w:rPr>
          <w:i/>
        </w:rPr>
        <w:t>Particle Mesh Ewald</w:t>
      </w:r>
      <w:r>
        <w:t xml:space="preserve"> (PME) com raio de corte de 1,2 nm. O cálculo de van der Waals utilizou o mesmo raio de corte com função de troca suave. As coordenadas foram gravadas a cada 10 ps (trajetórias </w:t>
      </w:r>
      <w:r>
        <w:rPr>
          <w:rFonts w:ascii="Courier New" w:hAnsi="Courier New"/>
          <w:sz w:val="20"/>
        </w:rPr>
        <w:t>.xtc</w:t>
      </w:r>
      <w:r>
        <w:t>). O processamento foi acelerado por GPU (CUDA), com integração de equações de movimento e cálculo de PME descarregados na placa gráfica.</w:t>
      </w:r>
    </w:p>
    <w:p>
      <w:pPr>
        <w:pStyle w:val="Heading3"/>
      </w:pPr>
      <w:r>
        <w:t>2.5 Pós-processamento das trajetórias</w:t>
      </w:r>
    </w:p>
    <w:p>
      <w:pPr>
        <w:jc w:val="both"/>
      </w:pPr>
      <w:r>
        <w:t>As trajetórias brutas foram tratadas em três etapas para correção de artefatos das condições periódicas de contorno (PBC): (i) remoção de saltos atômicos entre caixas periódicas (</w:t>
      </w:r>
      <w:r>
        <w:rPr>
          <w:rFonts w:ascii="Courier New" w:hAnsi="Courier New"/>
          <w:sz w:val="20"/>
        </w:rPr>
        <w:t>-pbc nojump</w:t>
      </w:r>
      <w:r>
        <w:t>); (ii) centralização do complexo na caixa com compactação do solvente (</w:t>
      </w:r>
      <w:r>
        <w:rPr>
          <w:rFonts w:ascii="Courier New" w:hAnsi="Courier New"/>
          <w:sz w:val="20"/>
        </w:rPr>
        <w:t>-pbc mol -center -ur compact</w:t>
      </w:r>
      <w:r>
        <w:t>); (iii) alinhamento translacional e rotacional de todos os frames ao frame inicial pelo backbone (</w:t>
      </w:r>
      <w:r>
        <w:rPr>
          <w:rFonts w:ascii="Courier New" w:hAnsi="Courier New"/>
          <w:sz w:val="20"/>
        </w:rPr>
        <w:t>-fit rot+trans</w:t>
      </w:r>
      <w:r>
        <w:t>).</w:t>
      </w:r>
    </w:p>
    <w:p>
      <w:pPr>
        <w:pStyle w:val="Heading3"/>
      </w:pPr>
      <w:r>
        <w:t>2.6 Análises conformacionais e de interação</w:t>
      </w:r>
    </w:p>
    <w:p>
      <w:pPr>
        <w:jc w:val="both"/>
      </w:pPr>
      <w:r>
        <w:t>As seguintes propriedades foram calculadas ao longo de toda a trajetória:</w:t>
      </w:r>
    </w:p>
    <w:p>
      <w:pPr>
        <w:pStyle w:val="ListBullet"/>
        <w:spacing w:after="60"/>
      </w:pPr>
      <w:r>
        <w:rPr>
          <w:b/>
        </w:rPr>
        <w:t>RMSD</w:t>
      </w:r>
      <w:r>
        <w:t xml:space="preserve"> (</w:t>
      </w:r>
      <w:r>
        <w:rPr>
          <w:i/>
        </w:rPr>
        <w:t>Root Mean Square Deviation</w:t>
      </w:r>
      <w:r>
        <w:t>) do backbone do receptor e do ligante, medindo estabilidade conformacional em relação ao frame inicial;</w:t>
      </w:r>
    </w:p>
    <w:p>
      <w:pPr>
        <w:pStyle w:val="ListBullet"/>
        <w:spacing w:after="60"/>
      </w:pPr>
      <w:r>
        <w:rPr>
          <w:b/>
        </w:rPr>
        <w:t>RMSF</w:t>
      </w:r>
      <w:r>
        <w:t xml:space="preserve"> (</w:t>
      </w:r>
      <w:r>
        <w:rPr>
          <w:i/>
        </w:rPr>
        <w:t>Root Mean Square Fluctuation</w:t>
      </w:r>
      <w:r>
        <w:t>) por resíduo, identificando regiões de maior flexibilidade;</w:t>
      </w:r>
    </w:p>
    <w:p>
      <w:pPr>
        <w:pStyle w:val="ListBullet"/>
        <w:spacing w:after="60"/>
      </w:pPr>
      <w:r>
        <w:rPr>
          <w:b/>
        </w:rPr>
        <w:t>Raio de giro</w:t>
      </w:r>
      <w:r>
        <w:t xml:space="preserve"> (Rg), indicador de compacidade global do receptor;</w:t>
      </w:r>
    </w:p>
    <w:p>
      <w:pPr>
        <w:pStyle w:val="ListBullet"/>
        <w:spacing w:after="60"/>
      </w:pPr>
      <w:r>
        <w:rPr>
          <w:b/>
        </w:rPr>
        <w:t>Número de contatos</w:t>
      </w:r>
      <w:r>
        <w:t xml:space="preserve"> receptor–ligante (pares atômicos com distância &lt; 0,4 nm);</w:t>
      </w:r>
    </w:p>
    <w:p>
      <w:pPr>
        <w:pStyle w:val="ListBullet"/>
        <w:spacing w:after="60"/>
      </w:pPr>
      <w:r>
        <w:rPr>
          <w:b/>
        </w:rPr>
        <w:t>Pontes de hidrogênio</w:t>
      </w:r>
      <w:r>
        <w:t xml:space="preserve"> receptor–ligante (critério geométrico: distância O/N–H &lt; 0,35 nm, ângulo ≤ 30°);</w:t>
      </w:r>
    </w:p>
    <w:p>
      <w:pPr>
        <w:pStyle w:val="ListBullet"/>
        <w:spacing w:after="60"/>
      </w:pPr>
      <w:r>
        <w:rPr>
          <w:b/>
        </w:rPr>
        <w:t>Área acessível ao solvente</w:t>
      </w:r>
      <w:r>
        <w:t xml:space="preserve"> (SASA) do receptor e do ligante;</w:t>
      </w:r>
    </w:p>
    <w:p>
      <w:pPr>
        <w:pStyle w:val="ListBullet"/>
        <w:spacing w:after="60"/>
      </w:pPr>
      <w:r>
        <w:rPr>
          <w:b/>
        </w:rPr>
        <w:t>Distâncias mínimas</w:t>
      </w:r>
      <w:r>
        <w:t xml:space="preserve"> entre o ligante e cada resíduo do sítio catalítico (His, Asp, Ser da tríade e resíduo do bolsão S1), calculadas pelo grupo de átomos de cada resíduo via </w:t>
      </w:r>
      <w:r>
        <w:rPr>
          <w:rFonts w:ascii="Courier New" w:hAnsi="Courier New"/>
          <w:sz w:val="20"/>
        </w:rPr>
        <w:t>gmx mindist</w:t>
      </w:r>
      <w:r>
        <w:t>.</w:t>
      </w:r>
    </w:p>
    <w:p>
      <w:pPr>
        <w:jc w:val="both"/>
      </w:pPr>
      <w:r>
        <w:t>As médias móveis foram calculadas com janela de 5 ns para suavização dos perfis temporais. Todos os gráficos foram gerados com Matplotlib 3.x.</w:t>
      </w:r>
    </w:p>
    <w:p>
      <w:pPr>
        <w:jc w:val="both"/>
      </w:pPr>
      <w:r>
        <w:t>Os resíduos do sítio catalítico monitorados por isoforma de receptor são: ACR157 — His69, Asp114, Ser211, Ile205; QCL936 — His92, Asp142, Ser247, Asp241; XP273 — Tyr83, Asp132, Ser234, Ile229; XP352 — Arg112, Asp166, Ser268, Asp262. Para a série SKTI, os mesmos resíduos do receptor foram monitorados, permitindo comparação direta entre as duas séries de inibidores.</w:t>
      </w:r>
    </w:p>
    <w:p>
      <w:pPr>
        <w:jc w:val="both"/>
      </w:pPr>
      <w:r>
        <w:t xml:space="preserve">O pipeline completo, desde a preparação dos complexos até a geração dos painéis de análise, foi implementado em Nextflow DSL2 (Di Tommaso </w:t>
      </w:r>
      <w:r>
        <w:rPr>
          <w:i/>
        </w:rPr>
        <w:t>et al.</w:t>
      </w:r>
      <w:r>
        <w:t>, 2017) para garantir reprodutibilidade e rastreabilidade computacional.</w:t>
      </w:r>
    </w:p>
    <w:p>
      <w:pPr/>
    </w:p>
    <w:p>
      <w:pPr>
        <w:pStyle w:val="Heading2"/>
      </w:pPr>
      <w:r>
        <w:t>3. Resultados e Discussão</w:t>
      </w:r>
    </w:p>
    <w:p>
      <w:pPr>
        <w:pStyle w:val="Heading3"/>
      </w:pPr>
      <w:r>
        <w:t>3.1 Estabilidade estrutural dos complexos — série GORE4</w:t>
      </w:r>
    </w:p>
    <w:p>
      <w:pPr>
        <w:jc w:val="both"/>
      </w:pPr>
      <w:r>
        <w:t xml:space="preserve">Os complexos das isoformas de tripsina de </w:t>
      </w:r>
      <w:r>
        <w:rPr>
          <w:i/>
        </w:rPr>
        <w:t>Spodoptera</w:t>
      </w:r>
      <w:r>
        <w:t xml:space="preserve"> com o peptídeo GORE4 foram avaliados quanto à estabilidade estrutural, integridade da interface de ligação e posicionamento no sítio catalítico. Os resultados são apresentados por isoforma receptora.</w:t>
      </w:r>
    </w:p>
    <w:p>
      <w:pPr>
        <w:pStyle w:val="Heading4"/>
      </w:pPr>
      <w:r>
        <w:t>QCL936-GORE4 (cluster 3)</w:t>
      </w:r>
    </w:p>
    <w:p>
      <w:pPr>
        <w:jc w:val="both"/>
      </w:pPr>
      <w:r>
        <w:t>A simulação do complexo QCL936-GORE4 (cluster 3) foi conduzida por 100 ns a 300 K e pH 8,2 e apresentou comportamento estável ao longo de toda a trajetória. O RMSD do backbone do receptor atingiu um platô de 0,124 ± 0,017 nm após aproximadamente 20 ns (Figura X), indicando equilíbrio conformacional do receptor sem deriva estrutural. O raio de giro manteve-se em 1,718 ± 0,006 nm com variação mínima (&lt; 1%), confirmando que a estrutura terciária da tripsina não sofreu perturbações decorrentes da presença do peptídeo.</w:t>
      </w:r>
    </w:p>
    <w:p>
      <w:pPr>
        <w:jc w:val="both"/>
      </w:pPr>
      <w:r>
        <w:t>O RMSD do ligante estabilizou em 0,229 ± 0,042 nm, valor inferior a 0,3 nm durante praticamente toda a simulação, indicando que o peptídeo QCL936 manteve sua conformação de docking ao longo dos 100 ns sem sinais de dissociação do sítio de ligação. Não foi observado o padrão de dissociação característico (colapso de contatos seguido de aumento abrupto das distâncias), o que corrobora a estabilidade do complexo.</w:t>
      </w:r>
    </w:p>
    <w:p>
      <w:pPr>
        <w:pStyle w:val="Heading4"/>
      </w:pPr>
      <w:r>
        <w:t>Interface de ligação</w:t>
      </w:r>
    </w:p>
    <w:p>
      <w:pPr>
        <w:jc w:val="both"/>
      </w:pPr>
      <w:r>
        <w:t>O número médio de contatos receptor–ligante foi de 340 ± 41 átomos a menos de 0,4 nm, valor expressivamente superior ao limiar mínimo de 150 átomos adotado como critério de ligação estável. O perfil temporal dos contatos mostrou oscilações regulares sem tendência de redução, indicando interface robusta ao longo de toda a trajetória.</w:t>
      </w:r>
    </w:p>
    <w:p>
      <w:pPr>
        <w:jc w:val="both"/>
      </w:pPr>
      <w:r>
        <w:t>As pontes de hidrogênio receptor–ligante apresentaram média de 2,75 ± 1,01, com persistência contínua ao longo dos 100 ns. A manutenção de pelo menos uma ponte de hidrogênio em praticamente todos os frames demonstra interação específica entre o peptídeo e o receptor, contribuindo para a estabilização do complexo.</w:t>
      </w:r>
    </w:p>
    <w:p>
      <w:pPr>
        <w:jc w:val="both"/>
      </w:pPr>
      <w:r>
        <w:t>A SASA do ligante manteve-se em 9,04 ± 0,37 nm² sem tendência crescente, indicando que o peptídeo permaneceu enterrado na interface receptor–ligante e não migrou para o solvente.</w:t>
      </w:r>
    </w:p>
    <w:p>
      <w:pPr>
        <w:pStyle w:val="Heading4"/>
      </w:pPr>
      <w:r>
        <w:t>Posicionamento no sítio catalítico</w:t>
      </w:r>
    </w:p>
    <w:p>
      <w:pPr>
        <w:jc w:val="both"/>
      </w:pPr>
      <w:r>
        <w:t>A análise das distâncias mínimas entre o peptídeo QCL936 e os resíduos do sítio ativo revelou um padrão de ligação predominantemente associado ao bolsão S1 e à His periférica da tríade (Figura X). O peptídeo manteve distância média de 0,242 ± 0,05 nm da His92 e de 0,227 ± 0,04 nm do Asp241 (bolsão S1) durante toda a simulação, ambas claramente inferiores ao limiar de 0,5 nm adotado para caracterização de contato catalítico direto.</w:t>
      </w:r>
    </w:p>
    <w:p>
      <w:pPr>
        <w:jc w:val="both"/>
      </w:pPr>
      <w:r>
        <w:t>Por outro lado, as distâncias ao Asp142 (1,719 ± 0,18 nm) e à Ser247 (1,195 ± 0,14 nm) permaneceram superiores a 0,5 nm ao longo da maior parte da trajetória, indicando que o GORE4 não interage diretamente com o núcleo Asp-Ser da tríade catalítica do QCL936. Uma leve aproximação a esses resíduos foi observada após os 80 ns, sugerindo reorientação conformacional tardia do peptídeo, porém sem cruzar o limiar de contato catalítico.</w:t>
      </w:r>
    </w:p>
    <w:p>
      <w:pPr>
        <w:jc w:val="both"/>
      </w:pPr>
      <w:r>
        <w:t>Esse padrão de ligação — ancoragem no bolsão S1 e na His da tríade, com ausência de contato com Asp e Ser — caracteriza o QCL936 como um inibidor com mecanismo predominantemente de bloqueio do reconhecimento de substrato, ocupando o bolsão de especificidade (S1) e impedindo o acesso da região de clivagem do substrato ao sítio ativo, sem necessariamente inibir diretamente o mecanismo catalítico nucleofílico. Este perfil é biologicamente relevante, dado que o bolsão S1 de serino-proteases determina a especificidade pelo substrato (Perona &amp; Craik, 1995), e inibidores que o ocupam de forma estável constituem candidatos potentes e seletivos.</w:t>
      </w:r>
    </w:p>
    <w:p>
      <w:pPr/>
    </w:p>
    <w:p>
      <w:pPr>
        <w:pStyle w:val="Heading4"/>
      </w:pPr>
      <w:r>
        <w:t>ACR157-GORE4 (cluster 1)</w:t>
      </w:r>
    </w:p>
    <w:p>
      <w:pPr>
        <w:jc w:val="both"/>
      </w:pPr>
      <w:r>
        <w:t>A simulação do complexo ACR157-GORE4 (cluster 1) foi conduzida por 100 ns a 300 K e pH 8,2. O RMSD do backbone do receptor estabilizou em 0,165 ± 0,016 nm após os primeiros 20 ns, valor ligeiramente superior ao do QCL936 (0,124 nm), porém ainda indicativo de estabilidade estrutural satisfatória. O raio de giro manteve-se em 1,863 ± 0,007 nm com variação inferior a 1%, confirmando a integridade da estrutura terciária da tripsina ao longo de toda a trajetória.</w:t>
      </w:r>
    </w:p>
    <w:p>
      <w:pPr>
        <w:jc w:val="both"/>
      </w:pPr>
      <w:r>
        <w:t>O RMSD do ligante apresentou média de 0,393 ± 0,068 nm, consideravelmente superior ao do QCL936 (0,229 nm), refletindo maior mobilidade conformacional do peptídeo ACR157 no sítio de ligação. Não obstante, o peptídeo permaneceu estável na interface receptor–ligante sem sinais de dissociação ao longo dos 100 ns.</w:t>
      </w:r>
    </w:p>
    <w:p>
      <w:pPr>
        <w:pStyle w:val="Heading4"/>
      </w:pPr>
      <w:r>
        <w:t>Interface de ligação</w:t>
      </w:r>
    </w:p>
    <w:p>
      <w:pPr>
        <w:jc w:val="both"/>
      </w:pPr>
      <w:r>
        <w:t>O número médio de contatos receptor–ligante foi de 255,9 ± 37,6 átomos a menos de 0,4 nm, valor inferior ao do QCL936 (340 ± 41), porém acima do limiar de 150 átomos adotado como critério de ligação estável. O perfil temporal dos contatos revelou redução inicial de aproximadamente 350 para 250 átomos nos primeiros 30 ns, seguida de estabilização, sugerindo reorganização da interface durante a fase inicial da simulação de produção.</w:t>
      </w:r>
    </w:p>
    <w:p>
      <w:pPr>
        <w:jc w:val="both"/>
      </w:pPr>
      <w:r>
        <w:t>As pontes de hidrogênio receptor–ligante apresentaram média de 1,90 ± 1,38, com persistência ao longo de toda a trajetória, embora com maior variabilidade em relação ao QCL936 (2,75 ± 1,01). A SASA do ligante manteve-se em 9,9 ± 0,47 nm² sem tendência crescente, indicando que o peptídeo permaneceu parcialmente enterrado na interface ao longo da simulação.</w:t>
      </w:r>
    </w:p>
    <w:p>
      <w:pPr>
        <w:pStyle w:val="Heading4"/>
      </w:pPr>
      <w:r>
        <w:t>Posicionamento no sítio catalítico</w:t>
      </w:r>
    </w:p>
    <w:p>
      <w:pPr>
        <w:jc w:val="both"/>
      </w:pPr>
      <w:r>
        <w:t>A análise das distâncias mínimas entre o peptídeo ACR157 e os resíduos do sítio ativo revelou um padrão de ancoragem centrado na His69 e no Ile205 (bolsão S1). A His69 manteve distância média abaixo de 0,5 nm durante a maior parte da trajetória, caracterizando contato direto com a histidina catalítica. O Ile205 também apresentou engajamento consistente com o bolsão S1, com distância média na faixa de 0,4–0,5 nm.</w:t>
      </w:r>
    </w:p>
    <w:p>
      <w:pPr>
        <w:jc w:val="both"/>
      </w:pPr>
      <w:r>
        <w:t>O Asp114 — componente do díade Asp-Ser da tríade catalítica — manteve-se distante da interface ao longo de toda a trajetória, com média superior a 1,0 nm. A Ser211 (Ser nucleofílica) apresentou comportamento intermediário, com distâncias oscilando entre 0,5 e 0,9 nm, sem estabelecimento de contato estável.</w:t>
      </w:r>
    </w:p>
    <w:p>
      <w:pPr>
        <w:jc w:val="both"/>
      </w:pPr>
      <w:r>
        <w:t>O padrão de ligação do ACR157 guarda similaridade qualitativa com o do QCL936 — ancoragem predominante na histidina da tríade e no bolsão S1, com ausência de interação direta com o par Asp–Ser — porém com interface menos compacta (menor número de contatos e maior mobilidade do ligante). O engajamento da His69 pode comprometer a rede de transferência de próton da tríade catalítica (His69–Asp114–Ser211), enquanto a ocupação do bolsão S1 bloqueia o acesso do substrato ao sítio de clivagem. Assim, o ACR157 apresenta potencial mecanismo dual: interferência parcial na ativação da Ser nucleofílica e bloqueio de especificidade de substrato, embora com eficiência de ligação aparentemente inferior ao QCL936 nos parâmetros quantitativos analisados.</w:t>
      </w:r>
    </w:p>
    <w:p>
      <w:pPr/>
    </w:p>
    <w:p>
      <w:pPr>
        <w:pStyle w:val="Heading4"/>
      </w:pPr>
      <w:r>
        <w:t>XP352-GORE4 (cluster 4, rank 3)</w:t>
      </w:r>
    </w:p>
    <w:p>
      <w:pPr>
        <w:jc w:val="both"/>
      </w:pPr>
      <w:r>
        <w:t>A simulação do complexo XP352-GORE4 (cluster 4, rank 3) revelou comportamento marcadamente distinto dos complexos QCL936-c3 e ACR157-c1, com evidências de instabilidade estrutural e dissociação do ligante ao longo dos 100 ns.</w:t>
      </w:r>
    </w:p>
    <w:p>
      <w:pPr>
        <w:jc w:val="both"/>
      </w:pPr>
      <w:r>
        <w:t>O RMSD do backbone do receptor apresentou valor médio de 0,886 ± 0,440 nm, aproximadamente sete vezes superior ao observado para o QCL936 (0,124 nm), sem atingir platô de estabilização ao longo da trajetória. O perfil crescente e sem convergência indica desvio conformacional progressivo do receptor, sugestivo de rearranjo estrutural significativo. O raio de giro (1,837 ± 0,074 nm) também exibiu variabilidade substancialmente maior do que os complexos estáveis (σ = 0,074 nm versus 0,006–0,007 nm para QCL936 e ACR157), corroborando a instabilidade conformacional do receptor neste complexo.</w:t>
      </w:r>
    </w:p>
    <w:p>
      <w:pPr>
        <w:pStyle w:val="Heading4"/>
      </w:pPr>
      <w:r>
        <w:t>Interface de ligação e sítio catalítico</w:t>
      </w:r>
    </w:p>
    <w:p>
      <w:pPr>
        <w:jc w:val="both"/>
      </w:pPr>
      <w:r>
        <w:t>O número médio de contatos receptor–ligante foi de 62,7 ± 142,9 átomos — inferior ao limiar de 150 átomos e com desvio padrão superior à própria média, padrão diagnóstico de dissociação intermitente. O perfil temporal revelou comportamento bimodal: períodos prolongados com contatos próximos de zero, intercalados com excursões transitórias de retorno à interface, sem estabelecimento de ligação estável.</w:t>
      </w:r>
    </w:p>
    <w:p>
      <w:pPr>
        <w:jc w:val="both"/>
      </w:pPr>
      <w:r>
        <w:t>A análise das distâncias mínimas ao sítio catalítico confirmou o sinal de dissociação: os resíduos Arg112, Asp166, Ser268 e Asp262 apresentaram distâncias médias superiores a 1,0 nm durante a maior parte da trajetória, com tendência progressivamente crescente. O gráfico de ocupação da tríade mostrou todos os quatro resíduos catalíticos com distâncias médias acima de 0,5 nm, sem contato direto estabelecido em nenhum deles. A análise de RMSF confirmou alta mobilidade do ligante (pico de flutuação destacado no painel), consistente com peptídeo não ancorado no sítio de ligação.</w:t>
      </w:r>
    </w:p>
    <w:p>
      <w:pPr>
        <w:pStyle w:val="Heading4"/>
      </w:pPr>
      <w:r>
        <w:t>Diagnóstico</w:t>
      </w:r>
    </w:p>
    <w:p>
      <w:pPr>
        <w:jc w:val="both"/>
      </w:pPr>
      <w:r>
        <w:t>O complexo XP352-GORE4 (cluster 4, rank 3) não apresentou ligação estável sob as condições simuladas (300 K, pH 8,2, 100 ns). A qualidade do pose inicial — rank 3 dentro do cluster 4, representando estrutura de menor escore energético — é um fator determinante provável para o insucesso, uma vez que o cluster 4, rank 1 (analisado anteriormente) pode apresentar comportamento distinto. A ausência de ancoragem estável a qualquer resíduo catalítico, combinada com o elevado RMSD do backbone e a dissociação evidenciada pelo colapso dos contatos, posiciona este complexo como candidato não viável nas condições avaliadas.</w:t>
      </w:r>
    </w:p>
    <w:p>
      <w:pPr/>
    </w:p>
    <w:p>
      <w:pPr>
        <w:pStyle w:val="Heading4"/>
      </w:pPr>
      <w:r>
        <w:t>XP273-GORE4 (cluster 1, _NEW)</w:t>
      </w:r>
    </w:p>
    <w:p>
      <w:pPr>
        <w:jc w:val="both"/>
      </w:pPr>
      <w:r>
        <w:t>A simulação do complexo XP273-GORE4 (cluster 1) foi conduzida por 100 ns a 300 K e pH 8,2 e demonstrou comportamento estável ao longo de toda a trajetória. O RMSD do backbone do receptor estabilizou em 0,248 ± 0,045 nm após os primeiros 20 ns, permanecendo abaixo de 0,3 nm na maior parte da trajetória, o que indica estabilidade estrutural satisfatória do receptor. Notavelmente, o raio de giro apresentou perfil bimodal (1,727 ± 0,023 nm), com uma transição conformacional do receptor em torno de 30–60 ns seguida de retorno próximo ao estado inicial, sugerindo amostragem entre dois estados conformacionais levemente distintos durante a simulação. O RMSD do ligante foi de 0,317 ± 0,068 nm, valor intermediário entre o QCL936 (0,229 nm) e o ACR157 (0,393 nm), indicando mobilidade moderada no sítio de ligação.</w:t>
      </w:r>
    </w:p>
    <w:p>
      <w:pPr>
        <w:pStyle w:val="Heading4"/>
      </w:pPr>
      <w:r>
        <w:t>Interface de ligação</w:t>
      </w:r>
    </w:p>
    <w:p>
      <w:pPr>
        <w:jc w:val="both"/>
      </w:pPr>
      <w:r>
        <w:t>O número médio de contatos receptor–ligante foi de 260 ± 60 átomos, valor acima do limiar de 150 átomos com variabilidade relativa normal (SD/média ≈ 23%), confirmando manutenção estável da interface ao longo dos 100 ns. As pontes de hidrogênio receptor–ligante apresentaram média de 3,19 ± 1,07, valor superior ao do ACR157 (1,90) e comparável ao do QCL936 (2,75), indicando interações específicas e persistentes com o receptor. A SASA do ligante foi de 8,14 ± 0,37 nm², o menor valor entre todos os sistemas analisados, indicando o melhor grau de enterramento do peptídeo na interface receptor–ligante.</w:t>
      </w:r>
    </w:p>
    <w:p>
      <w:pPr>
        <w:pStyle w:val="Heading4"/>
      </w:pPr>
      <w:r>
        <w:t>Posicionamento no sítio catalítico</w:t>
      </w:r>
    </w:p>
    <w:p>
      <w:pPr>
        <w:jc w:val="both"/>
      </w:pPr>
      <w:r>
        <w:t>A análise das distâncias mínimas revelou um padrão de ancoragem distinto dos demais complexos. O XP273 manteve contato próximo com a Tyr83 (resíduo periférico do sítio ativo, triad_1), com distância média abaixo de 0,5 nm durante grande parte da trajetória. Os resíduos Asp132 e Ser234 — componentes do díade Asp-Ser da tríade catalítica — apresentaram contato borderline com distâncias oscilando em torno de 0,5–0,65 nm, sem contato direto estável estabelecido. O Ile229 (bolsão S1, triad_4) manteve-se distante da interface, com distância média superior a 1,0 nm ao longo de toda a trajetória.</w:t>
      </w:r>
    </w:p>
    <w:p>
      <w:pPr>
        <w:jc w:val="both"/>
      </w:pPr>
      <w:r>
        <w:t>Este padrão contrasta com os complexos QCL936 e ACR157, que apresentaram engajamento consistente do bolsão S1. O XP273 ancora predominantemente na região periférica do sítio ativo (Tyr83), sem bloquear o bolsão de especificidade S1. Esse mecanismo pode atuar por oclusão estérica da entrada do sítio ativo ou por estabilização de uma conformação cataliticamente inativa do receptor — hipótese suportada pelo comportamento bimodal do raio de giro. Embora o SASA do ligante indique enterramento expressivo, a ausência de contato com S1 e a interação apenas borderline com Asp132/Ser234 sugerem que a potência inibitória do XP273 pode ser inferior à do QCL936, que combina ancoragem na tríade com bloqueio direto do bolsão S1.</w:t>
      </w:r>
    </w:p>
    <w:p>
      <w:pPr/>
    </w:p>
    <w:p>
      <w:pPr/>
    </w:p>
    <w:p>
      <w:pPr>
        <w:pStyle w:val="Heading3"/>
      </w:pPr>
      <w:r>
        <w:t>3.2 Estabilidade estrutural dos complexos — série SKTI</w:t>
      </w:r>
    </w:p>
    <w:p>
      <w:pPr>
        <w:jc w:val="both"/>
      </w:pPr>
      <w:r>
        <w:t>Os mesmos receptores foram avaliados em complexo com o SKTI, inibidor natural de referência. A alça reativa SPYRIRF do SKTI (P1 = Arg) é estruturalmente projetada para encaixar no bolsão S1 das serino-proteases, tornando esses complexos referências funcionais para comparação com os dados da série GORE4.</w:t>
      </w:r>
    </w:p>
    <w:p>
      <w:pPr>
        <w:pStyle w:val="Heading4"/>
      </w:pPr>
      <w:r>
        <w:t>ACR157-SKTI (cluster 2)</w:t>
      </w:r>
    </w:p>
    <w:p>
      <w:pPr>
        <w:jc w:val="both"/>
      </w:pPr>
      <w:r>
        <w:t>A simulação do complexo ACR157-SKTI (cluster 2) foi conduzida por 100 ns a 300 K e pH 8,2 e apresentou comportamento estável em toda a trajetória. O RMSD do backbone do receptor atingiu platô de 0,281 ± 0,027 nm após os primeiros 20 ns, valor comparável ao do complexo ACR157-GORE4-c1 (0,165 nm), confirmando que a presença de um ligante proteico volumoso (177 resíduos) não desestabiliza a estrutura terciária do receptor. O raio de giro do complexo (receptor + SKTI) estabilizou-se em 2,225 ± 0,009 nm com variabilidade inferior a 0,5%, indicando que a estrutura quaternária do heterodímero foi mantida compacta e sem eventos de abertura ou desprendimento do ligante ao longo dos 100 ns.</w:t>
      </w:r>
    </w:p>
    <w:p>
      <w:pPr>
        <w:jc w:val="both"/>
      </w:pPr>
      <w:r>
        <w:t>O RMSD do ligante estabilizou em 0,206 ± 0,017 nm — valor notavelmente inferior ao do GORE4 no mesmo receptor (0,393 nm) —, demonstrando que o SKTI permaneceu em conformação praticamente rígida dentro do sítio de ligação. Esse resultado é consistente com a natureza estrutural dos inibidores Kunitz: proteínas globulares estabilizadas por pontes dissulfeto com alça reativa pré-organizada para interação com o sítio catalítico (Laskowski &amp; Kato, 1980). A análise de RMSF por resíduo confirmou flutuação muito baixa ao longo da cadeia do SKTI (&lt; 0,05 nm na maior parte dos resíduos), com picos restritos a regiões de alça periférica, sem mobilidade significativa na região da alça reativa SPYRIRF.</w:t>
      </w:r>
    </w:p>
    <w:p>
      <w:pPr>
        <w:pStyle w:val="Heading4"/>
      </w:pPr>
      <w:r>
        <w:t>Interface de ligação</w:t>
      </w:r>
    </w:p>
    <w:p>
      <w:pPr>
        <w:jc w:val="both"/>
      </w:pPr>
      <w:r>
        <w:t>O número médio de contatos receptor–ligante foi de 1019 ± 118 átomos a menos de 0,4 nm, valor aproximadamente quatro vezes superior ao do GORE4 no mesmo receptor (256 átomos). A magnitude desta diferença é proporcional ao tamanho relativo dos ligantes (177 resíduos versus 5 resíduos) e indica que o SKTI estabelece uma interface de enterramento extensa, cobrindo porção substancial da superfície do sítio ativo do ACR157. O perfil temporal dos contatos mostrou oscilações regulares sem tendência de redução, característico de interface estabilizada.</w:t>
      </w:r>
    </w:p>
    <w:p>
      <w:pPr>
        <w:jc w:val="both"/>
      </w:pPr>
      <w:r>
        <w:t xml:space="preserve">As pontes de hidrogênio receptor–ligante apresentaram média de 13,524 ± 2,911, valor cerca de sete vezes superior ao registrado para o GORE4 (1,90 ± 1,38). A manutenção de uma rede de pontes de hidrogênio persistente ao longo de toda a trajetória é um marcador da complementaridade de superfície característica dos inibidores Kunitz canônicos, que formam complexos estáveis tipo substrato-análogo com serino-proteases (Krowarsch </w:t>
      </w:r>
      <w:r>
        <w:rPr>
          <w:i/>
        </w:rPr>
        <w:t>et al.</w:t>
      </w:r>
      <w:r>
        <w:t>, 2003). A SASA do ligante manteve-se em 101,97 ± 1,62 nm² com variação mínima ao longo dos 100 ns, confirmando que o SKTI não sofreu exposição de sua superfície ao solvente durante a simulação.</w:t>
      </w:r>
    </w:p>
    <w:p>
      <w:pPr>
        <w:pStyle w:val="Heading4"/>
      </w:pPr>
      <w:r>
        <w:t>Posicionamento no sítio catalítico</w:t>
      </w:r>
    </w:p>
    <w:p>
      <w:pPr>
        <w:jc w:val="both"/>
      </w:pPr>
      <w:r>
        <w:t>A análise das distâncias mínimas entre o SKTI e os resíduos do sítio ativo revelou engajamento direto e simultâneo de dois dos três componentes da tríade catalítica. A His69 manteve distância média de 0,224 nm ao longo de toda a trajetória, e a Ser211 apresentou distância média de 0,221 nm — ambas claramente abaixo do limiar de 0,5 nm para contato catalítico direto, com oscilações mínimas que demonstram estabilidade do posicionamento. O Asp114 apresentou distância de 0,312 nm, compatível com contato de segundo plano que constrainge a geometria da tríade. O Ile205 (bolsão S1) manteve distância média de 0,180 nm — engajamento direto do bolsão de especificidade, confirmando bloqueio integral do sítio ativo.</w:t>
      </w:r>
    </w:p>
    <w:p>
      <w:pPr>
        <w:jc w:val="both"/>
      </w:pPr>
      <w:r>
        <w:t xml:space="preserve">Este padrão de ligação — engajamento simultâneo de todos os quatro resíduos catalíticos (His69, Asp114, Ser211 e Ile205/S1) — é o mecanismo Kunitz canônico completo: a alça reativa SPYRIRF insere seu resíduo P1 (Arg) diretamente no sítio ativo, formando um complexo enzima–inibidor análogo ao intermediário tetraédrico da catálise, sem progressão da hidrólise (Krowarsch </w:t>
      </w:r>
      <w:r>
        <w:rPr>
          <w:i/>
        </w:rPr>
        <w:t>et al.</w:t>
      </w:r>
      <w:r>
        <w:t>, 2003; Laskowski &amp; Kato, 1980). A His69 não consegue abstrair o próton da Ser211 (necessário para a ativação nucleofílica) porque a geometria da rede de transferência de próton é bloqueada pela presença do resíduo P1 do inibidor, e o bolsão S1 é simultaneamente ocupado pelo P1=Arg.</w:t>
      </w:r>
    </w:p>
    <w:p>
      <w:pPr>
        <w:pStyle w:val="Heading4"/>
      </w:pPr>
      <w:r>
        <w:t>Comparação com ACR157-GORE4 e mecanismo diferencial</w:t>
      </w:r>
    </w:p>
    <w:p>
      <w:pPr>
        <w:jc w:val="both"/>
      </w:pPr>
      <w:r>
        <w:t>O contraste entre ACR157-SKTI e ACR157-GORE4 é elucidativo. No complexo GORE4, His69 estava engajada mas Ser211 mantinha distâncias variáveis (0,5–0,9 nm), sem engajamento estável da serina nucleofílica. No complexo SKTI, todos os quatro resíduos catalíticos estão em contato simultâneo — uma diferença mecanisticamente fundamental. O GORE4 atua predominantemente por interferência periférica na tríade e bloqueio do acesso ao sítio (mecanismo parcial), enquanto o SKTI bloqueia diretamente o núcleo catalítico His–Asp–Ser e o bolsão S1 concomitantemente (mecanismo canônico Kunitz completo).</w:t>
      </w:r>
    </w:p>
    <w:p>
      <w:pPr>
        <w:jc w:val="both"/>
      </w:pPr>
      <w:r>
        <w:t xml:space="preserve">Adicionalmente, a interface ACR157-SKTI é significativamente mais estável em todos os parâmetros quantitativos: RMSD do ligante 47,6% inferior (0,206 vs 0,393 nm), contatos 3,98× superiores (1019 vs 256) e pontes de hidrogênio 7,1× superiores (13,524 vs 1,90). Os resultados posicionam o SKTI como inibidor de referência efetivo contra ACR157, com mecanismo de inibição integral do sítio catalítico, e fornecem o padrão de comparação funcional para avaliação da potência dos peptídeos da série GORE4 frente às isoformas de tripsina de </w:t>
      </w:r>
      <w:r>
        <w:rPr>
          <w:i/>
        </w:rPr>
        <w:t>Spodoptera</w:t>
      </w:r>
      <w:r>
        <w:t>.</w:t>
      </w:r>
    </w:p>
    <w:p>
      <w:pPr>
        <w:pStyle w:val="Heading4"/>
      </w:pPr>
      <w:r>
        <w:t>QCL936-SKTI (cluster 2)</w:t>
      </w:r>
    </w:p>
    <w:p>
      <w:pPr>
        <w:jc w:val="both"/>
      </w:pPr>
      <w:r>
        <w:t>A simulação do complexo QCL936-SKTI (cluster 2) foi conduzida por 100 ns a 300 K e pH 8,2. O RMSD do backbone do receptor apresentou média de 0,370 ± 0,054 nm, valor markadamente superior ao observado para o mesmo receptor em complexo com o GORE4 (0,124 nm) e o mais elevado entre os três complexos SKTI analisados (ACR157: 0,281 nm; XP273: 0,288 nm), indicando que a presença do SKTI induz maior flexibilidade conformacional no QCL936. O perfil temporal não exibiu tendência crescente consistente ao longo da trajetória, e o raio de giro do complexo estabilizou-se em 2,296 ± 0,015 nm, confirmando que o complexo como um todo permaneceu globalmente coeso.</w:t>
      </w:r>
    </w:p>
    <w:p>
      <w:pPr>
        <w:jc w:val="both"/>
      </w:pPr>
      <w:r>
        <w:t>O RMSD do ligante atingiu 0,209 ± 0,025 nm — valor próximo ao registrado para o ACR157-SKTI (0,206 nm) e notavelmente inferior ao do GORE4 no mesmo receptor (0,229 nm), evidenciando que o SKTI manteve conformação estável dentro do sítio de ligação sem sinais de dissociação.</w:t>
      </w:r>
    </w:p>
    <w:p>
      <w:pPr>
        <w:pStyle w:val="Heading4"/>
      </w:pPr>
      <w:r>
        <w:t>Interface de ligação</w:t>
      </w:r>
    </w:p>
    <w:p>
      <w:pPr>
        <w:jc w:val="both"/>
      </w:pPr>
      <w:r>
        <w:t>O número médio de contatos receptor–ligante foi de 720 ± 77 átomos, valor expressivo embora inferior ao registrado para o ACR157-SKTI (1019 ± 118). As pontes de hidrogênio receptor–ligante apresentaram média de 10,410 ± 2,022, também inferior ao ACR157-SKTI (13,524 ± 2,911), indicando menor complementaridade de superfície entre SKTI e QCL936 em comparação com ACR157. A SASA do ligante manteve-se em 102,53 ± 2,09 nm² ao longo dos 100 ns, confirmando enterramento estável do SKTI na interface receptor–ligante.</w:t>
      </w:r>
    </w:p>
    <w:p>
      <w:pPr>
        <w:pStyle w:val="Heading4"/>
      </w:pPr>
      <w:r>
        <w:t>Posicionamento no sítio catalítico</w:t>
      </w:r>
    </w:p>
    <w:p>
      <w:pPr>
        <w:jc w:val="both"/>
      </w:pPr>
      <w:r>
        <w:t>A análise das distâncias mínimas revelou um padrão de ancoragem envolvendo três dos quatro resíduos monitorados: a His92 manteve distância média de 0,179 nm, a Ser247 (serina nucleofílica) apresentou distância média de 0,176 nm e o Asp241 (bolsão S1) atingiu 0,178 nm — todos em contato íntimo e estável ao longo de toda a trajetória. Em contraste, o Asp142 — componente do díade catalítico responsável pela estabilização da His protonada durante o ciclo de transferência de próton — permaneceu distante da interface (~0,73 nm), sem contato estabelecido com o ligante em nenhuma fase da simulação.</w:t>
      </w:r>
    </w:p>
    <w:p>
      <w:pPr>
        <w:jc w:val="both"/>
      </w:pPr>
      <w:r>
        <w:t>Este padrão — His92 + Ser247 + Asp241/S1, com ausência de contato com Asp142 — constitui um modo de inibição até então não observado entre os complexos analisados. Contrasta diretamente com o QCL936-GORE4, no qual apenas His92 e Asp241 foram engajados (modo His+S1, 2/4), revelando que o SKTI — graças à sua maior extensão e à pré-organização estrutural da alça SPYRIRF — consegue posicionar seu resíduo P1=Arg de forma a engajar adicionalmente a Ser247 nucleofílica. O engajamento simultâneo de His92 e Ser247 indica que o SKTI interfere diretamente com a geometria do par nucleofílico da tríade, bloqueando a etapa de ativação da serina, enquanto o bolsão S1 permanece simultaneamente ocupado.</w:t>
      </w:r>
    </w:p>
    <w:p>
      <w:pPr>
        <w:pStyle w:val="Heading4"/>
      </w:pPr>
      <w:r>
        <w:t>Comparação com ACR157-SKTI e implicações mecanísticas</w:t>
      </w:r>
    </w:p>
    <w:p>
      <w:pPr>
        <w:jc w:val="both"/>
      </w:pPr>
      <w:r>
        <w:t>O contraste entre QCL936-SKTI e ACR157-SKTI é mecanisticamente revelador. No ACR157, o SKTI engaja diretamente His69 (0,224 nm), Asp114 (0,312 nm), Ser211 (0,221 nm) e Ile205/S1 (0,180 nm) — mecanismo Kunitz canônico completo (4/4). No QCL936, o SKTI engaja His92, Ser247 e Asp241/S1, mas não o Asp142 — modo His + Ser + S1 (3/4). Embora ambos os complexos apresentem engajamento simultâneo da His e da Ser, a ausência do Asp142 no QCL936 é mecanisticamente significativa: na catálise de serino-proteases, o Asp catalítico estabiliza a His protonada após a abstração do próton da Ser, permitindo a regeneração da tríade para novos ciclos; sem o bloqueio estrutural do Asp142, esta etapa de recarregamento permanece potencialmente acessível, o que pode conferir ao complexo QCL936-SKTI menor potência de inibição em relação ao modo canônico.</w:t>
      </w:r>
    </w:p>
    <w:p>
      <w:pPr>
        <w:jc w:val="both"/>
      </w:pPr>
      <w:r>
        <w:t>A ausência de engajamento do Asp142 pode ser atribuída à geometria diferencial entre os sítios ativos das duas isoformas. A presença de Asp241 carregado negativamente no bolsão S1 do QCL936 — em contraste com Ile205 neutro no ACR157 — exerce forte atração eletrostática sobre P1=Arg, direcionando a alça SPYRIRF preferencialmente para S1 e His92 com geometria que alcança a Ser247, mas com o Asp142 posicionado fora do raio de contato.</w:t>
      </w:r>
    </w:p>
    <w:p>
      <w:pPr>
        <w:jc w:val="both"/>
      </w:pPr>
      <w:r>
        <w:t>Em termos quantitativos, a interface QCL936-SKTI é menos complementar do que a ACR157-SKTI (720 vs 1019 contatos; 10,4 vs 13,5 H-bonds), sugerindo que o SKTI inibe ACR157 com maior eficiência de interface do que o QCL936. Ambos os complexos SKTI são, contudo, substancialmente mais estáveis e com interfaces mais extensas do que os respectivos complexos GORE4.</w:t>
      </w:r>
    </w:p>
    <w:p>
      <w:pPr>
        <w:pStyle w:val="Heading4"/>
      </w:pPr>
      <w:r>
        <w:t>XP273-SKTI (cluster 2)</w:t>
      </w:r>
    </w:p>
    <w:p>
      <w:pPr>
        <w:jc w:val="both"/>
      </w:pPr>
      <w:r>
        <w:t>A simulação do complexo XP273-SKTI (cluster 2) foi conduzida por 100 ns a 300 K e pH 8,2 e apresentou comportamento estável em toda a trajetória. O RMSD do backbone do receptor atingiu 0,288 ± 0,042 nm, valor comparável ao do ACR157-SKTI (0,281 nm) e ao QCL936-SKTI (0,307 nm), indicando que a presença do ligante proteico volumoso não desestabilizou o receptor. O raio de giro estabilizou-se em 2,325 ± 0,015 nm com variabilidade inferior a 1%, confirmando que o heterodímero XP273–SKTI permaneceu globalmente coeso ao longo de toda a trajetória.</w:t>
      </w:r>
    </w:p>
    <w:p>
      <w:pPr>
        <w:jc w:val="both"/>
      </w:pPr>
      <w:r>
        <w:t>O RMSD do ligante apresentou média de 0,224 ± 0,017 nm — valor notavelmente estável, comparável ao do ACR157-SKTI (0,206 nm) e inferior ao do GORE4 no mesmo receptor (0,317 nm) —, demonstrando que o SKTI adota conformação praticamente rígida dentro do sítio de ligação do XP273, comportamento consistente com a natureza pré-organizada dos inibidores Kunitz.</w:t>
      </w:r>
    </w:p>
    <w:p>
      <w:pPr>
        <w:pStyle w:val="Heading4"/>
      </w:pPr>
      <w:r>
        <w:t>Interface de ligação</w:t>
      </w:r>
    </w:p>
    <w:p>
      <w:pPr>
        <w:jc w:val="both"/>
      </w:pPr>
      <w:r>
        <w:t>O número médio de contatos receptor–ligante foi de 596 ± 88 átomos, valor inferior ao registrado para os complexos ACR157-SKTI (1019 ± 118) e QCL936-SKTI (720 ± 77), porém expressivamente superior ao do peptídeo GORE4 no mesmo receptor (260 ± 60). As pontes de hidrogênio receptor–ligante apresentaram média de 8,817 ± 3,496, também inferiores às dos demais complexos SKTI (ACR157: 13,524; QCL936: 10,410), indicando menor complementaridade de superfície entre o SKTI e o sítio de ligação do XP273 em comparação com as demais isoformas. A SASA do ligante manteve-se em 101,312 ± 2,014 nm² ao longo dos 100 ns, confirmando enterramento estável do SKTI na interface e ausência de migração para o solvente.</w:t>
      </w:r>
    </w:p>
    <w:p>
      <w:pPr>
        <w:pStyle w:val="Heading4"/>
      </w:pPr>
      <w:r>
        <w:t>Posicionamento no sítio catalítico</w:t>
      </w:r>
    </w:p>
    <w:p>
      <w:pPr>
        <w:jc w:val="both"/>
      </w:pPr>
      <w:r>
        <w:t>A análise das distâncias mínimas entre o SKTI e os resíduos do sítio ativo revelou um padrão de ancoragem intermediário entre o modo canônico Kunitz observado no ACR157 e o modo His+S1 observado no QCL936. A Tyr83 (triad_1, resíduo periférico monitorado por alinhamento estrutural) manteve distância média de 0,098 nm — contato íntimo e estável ao longo de toda a trajetória. O Asp132 (triad_2) apresentou distância média de 0,119 nm, igualmente em contato direto com o ligante. O Ile229 (bolsão S1, triad_4) manteve distância de 0,118 nm, caracterizando engajamento simultâneo do bolsão de especificidade, padrão ausente no complexo XP273-GORE4.</w:t>
      </w:r>
    </w:p>
    <w:p>
      <w:pPr>
        <w:jc w:val="both"/>
      </w:pPr>
      <w:r>
        <w:t>Em contraste, a Ser234 (triad_3, serina nucleofílica) apresentou distância média de 0,718 nm — superior ao limiar de 0,5 nm e consistente com ausência de contato direto ao longo de toda a simulação. Assim, o padrão de ligação do XP273-SKTI envolve três dos quatro resíduos monitorados (Tyr83 + Asp132 + Ile229), com a serina nucleofílica como único componente não engajado.</w:t>
      </w:r>
    </w:p>
    <w:p>
      <w:pPr>
        <w:pStyle w:val="Heading4"/>
      </w:pPr>
      <w:r>
        <w:t>Interpretação mecanística e comparação com os demais complexos SKTI</w:t>
      </w:r>
    </w:p>
    <w:p>
      <w:pPr>
        <w:jc w:val="both"/>
      </w:pPr>
      <w:r>
        <w:t>O padrão de ancoragem Tyr83 + Asp132 + Ile229(S1), com ausência de contato com Ser234, constitui um modo de inibição parcial distinto dos demais complexos analisados. No ACR157-SKTI, todos os quatro resíduos foram engajados (mecanismo Kunitz canônico completo, 4/4). No QCL936-SKTI, His92, Ser247 e Asp241/S1 foram engajados, sem contato com Asp142 (modo His+Ser+S1, 3/4). O XP273-SKTI ocupa posição complementar: o SKTI engaja Tyr83, o Asp132 do díade catalítico e o bolsão S1 (Ile229), mas não alcança a Ser234 (serina nucleofílica), modo Tyr+Asp+S1 (3/4).</w:t>
      </w:r>
    </w:p>
    <w:p>
      <w:pPr>
        <w:jc w:val="both"/>
      </w:pPr>
      <w:r>
        <w:t>A ausência de contato com Ser234 distingue este complexo do mecanismo Kunitz canônico clássico e pode ser atribuída à geometria particular do sítio ativo do XP273. A presença de Tyr83 no lugar da His canônica na posição triad_1 — registro atípico entre as isoformas analisadas — altera a topografia da região de entrada do sítio catalítico e pode reorientar o loop reativo do SKTI de modo que o resíduo P1 (Arg) se posicione favoravelmente para contato com Tyr83, Asp132 e Ile229, mas com geometria incompatível com o alcance simultâneo da Ser234.</w:t>
      </w:r>
    </w:p>
    <w:p>
      <w:pPr>
        <w:jc w:val="both"/>
      </w:pPr>
      <w:r>
        <w:t>Do ponto de vista funcional, o engajamento de Asp132 — componente do díade Asp–Ser da tríade catalítica — representa um avanço mecanístico em relação ao XP273-GORE4, que alcançava apenas Tyr83 sem contato com Asp132 ou Ile229. O bloqueio concomitante de Asp132 e do bolsão S1 (Ile229) pode comprometer a rede de transferência de próton do díade catalítico e impedir o reconhecimento do substrato pelo bolsão de especificidade, caracterizando um mecanismo de inibição dual parcial. Entretanto, a ausência de engajamento da serina nucleofílica limita a comparação com o mecanismo Kunitz completo do ACR157-SKTI.</w:t>
      </w:r>
    </w:p>
    <w:p>
      <w:pPr>
        <w:jc w:val="both"/>
      </w:pPr>
      <w:r>
        <w:t>Quantitativamente, a interface XP273-SKTI é a menos complementar entre os três complexos SKTI analisados (596 vs 720 vs 1019 contatos; 8,8 vs 10,4 vs 13,5 H-bonds, para XP273, QCL936 e ACR157, respectivamente), sugerindo hierarquia de eficiência de inibição ACR157 &gt; QCL936 &gt; XP273. Esta hierarquia é inteiramente consistente com os escores de docking HADDOCK (ACR157: −128,3; QCL936: −113,8; XP273: −101,4 kcal mol⁻¹), validando retroativamente a seleção de clusters por escore energético como preditor de qualidade de interface em dinâmica molecular.</w:t>
      </w:r>
    </w:p>
    <w:p>
      <w:pPr/>
    </w:p>
    <w:p>
      <w:pPr>
        <w:pStyle w:val="Heading3"/>
      </w:pPr>
      <w:r>
        <w:t>3.3 Síntese comparativa — estabilidade, interface e modo de inibição</w:t>
      </w:r>
    </w:p>
    <w:p>
      <w:pPr>
        <w:pStyle w:val="Heading4"/>
      </w:pPr>
      <w:r>
        <w:t>Tabela 1 — Parâmetros de dinâmica molecular (médias ± DP)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Sistema</w:t>
            </w:r>
          </w:p>
        </w:tc>
        <w:tc>
          <w:tcPr>
            <w:tcW w:type="dxa" w:w="114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Duração</w:t>
            </w:r>
          </w:p>
        </w:tc>
        <w:tc>
          <w:tcPr>
            <w:tcW w:type="dxa" w:w="114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RMSD bb (nm)</w:t>
            </w:r>
          </w:p>
        </w:tc>
        <w:tc>
          <w:tcPr>
            <w:tcW w:type="dxa" w:w="114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RMSD lig (nm)</w:t>
            </w:r>
          </w:p>
        </w:tc>
        <w:tc>
          <w:tcPr>
            <w:tcW w:type="dxa" w:w="114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Contatos</w:t>
            </w:r>
          </w:p>
        </w:tc>
        <w:tc>
          <w:tcPr>
            <w:tcW w:type="dxa" w:w="114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H-bonds</w:t>
            </w:r>
          </w:p>
        </w:tc>
        <w:tc>
          <w:tcPr>
            <w:tcW w:type="dxa" w:w="114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SASA lig (nm²)</w:t>
            </w:r>
          </w:p>
        </w:tc>
        <w:tc>
          <w:tcPr>
            <w:tcW w:type="dxa" w:w="114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Série GORE4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QCL936-GORE4 c3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100 ns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0,124 ± 0,017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0,229 ± 0,042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340 ± 41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2,75 ± 1,01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9,04 ± 0,37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estável</w:t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ACR157-GORE4 c1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100 ns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0,165 ± 0,016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0,393 ± 0,068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256 ± 38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1,90 ± 1,38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9,90 ± 0,47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estável</w:t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XP273-GORE4 c1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100 ns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0,248 ± 0,045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0,317 ± 0,068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260 ± 60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3,19 ± 1,07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8,14 ± 0,37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estável</w:t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XP352-GORE4 c4r3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100 ns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0,886 ± 0,440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0,400 ± 0,067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63 ± 143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dissociação</w:t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Série SKTI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ACR157-SKTI c2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100 ns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0,281 ± 0,027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0,206 ± 0,017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1019 ± 118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13,524 ± 2,911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101,97 ± 1,62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estável</w:t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QCL936-SKTI c2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100 ns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0,370 ± 0,054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0,209 ± 0,025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720 ± 77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10,410 ± 2,022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102,53 ± 2,09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estável</w:t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XP273-SKTI c2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100 ns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0,288 ± 0,042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0,224 ± 0,017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596 ± 88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8,817 ± 3,496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101,31 ± 2,01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estável</w:t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Série BEN (benzamidina)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ACR157-BEN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200 ns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0,146 ± 0,019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N.D.ª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68,8 ± 72,4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N.D.ᵇ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2,74 ± 0,141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dissociação ~95 ns</w:t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QCL936-BEN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200 ns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0,116 ± 0,018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N.D.ª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90,1 ± 41,6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N.D.ᵇ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2,78 ± 0,136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dissociação ~150 ns</w:t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XP273-BEN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pendente</w:t>
            </w:r>
          </w:p>
        </w:tc>
      </w:tr>
      <w:tr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XP352-BEN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rFonts w:ascii="Times New Roman" w:hAnsi="Times New Roman"/>
                <w:sz w:val="20"/>
              </w:rPr>
              <w:t>pendente</w:t>
            </w:r>
          </w:p>
        </w:tc>
      </w:tr>
    </w:tbl>
    <w:p>
      <w:pPr/>
    </w:p>
    <w:p>
      <w:pPr>
        <w:spacing w:before="0"/>
      </w:pPr>
      <w:r>
        <w:rPr>
          <w:sz w:val="18"/>
        </w:rPr>
        <w:t xml:space="preserve">ª RMSD interno de molécula rígida (não posicional); ᵇ </w:t>
      </w:r>
      <w:r>
        <w:rPr>
          <w:rFonts w:ascii="Courier New" w:hAnsi="Courier New"/>
          <w:sz w:val="20"/>
        </w:rPr>
        <w:t>gmx hbond</w:t>
      </w:r>
      <w:r>
        <w:t xml:space="preserve"> incompatível com campo de força GAFF2.</w:t>
      </w:r>
    </w:p>
    <w:p>
      <w:pPr>
        <w:pStyle w:val="Heading4"/>
      </w:pPr>
      <w:r>
        <w:t>Tabela 2 — Distâncias médias (nm) aos resíduos do sítio catalítico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Sistema</w:t>
            </w:r>
          </w:p>
        </w:tc>
        <w:tc>
          <w:tcPr>
            <w:tcW w:type="dxa" w:w="152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triad_1 (His/Tyr/Arg)</w:t>
            </w:r>
          </w:p>
        </w:tc>
        <w:tc>
          <w:tcPr>
            <w:tcW w:type="dxa" w:w="152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triad_2 (Asp)</w:t>
            </w:r>
          </w:p>
        </w:tc>
        <w:tc>
          <w:tcPr>
            <w:tcW w:type="dxa" w:w="152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triad_3 (Ser)</w:t>
            </w:r>
          </w:p>
        </w:tc>
        <w:tc>
          <w:tcPr>
            <w:tcW w:type="dxa" w:w="152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triad_4 (S1)</w:t>
            </w:r>
          </w:p>
        </w:tc>
        <w:tc>
          <w:tcPr>
            <w:tcW w:type="dxa" w:w="152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Modo de inibição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GORE4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QCL936-c3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His92 0,242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Asp142 1,72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Ser247 1,20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Asp241 0,227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His + S1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ACR157-c1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His69 &lt;0,50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Asp114 &gt;1,00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Ser211 0,5–0,9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Ile205 ~0,45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His + S1 parcial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XP273-c1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Tyr83 &lt;0,50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Asp132 0,55–0,65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Ser234 0,55–0,65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Ile229 &gt;1,00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Tyr periférico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XP352-c4r3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Arg112 &gt;1,00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Asp166 &gt;1,00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Ser268 &gt;1,00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Asp262 &gt;1,00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— dissociação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SKTI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ACR157-c2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His69 0,224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Asp114 0,312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Ser211 0,221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Ile205 0,180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Kunitz canônico (4/4)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QCL936-c2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His92 0,179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Asp142 ~0,73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Ser247 0,176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Asp241 0,178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His + Ser + S1 (3/4)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XP273-c2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Tyr83 0,098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Asp132 0,119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Ser234 0,718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Ile229 0,118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Tyr + Asp + S1 (3/4)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BEN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ACR157-BEN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His69 ~3,5ᶜ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Asp114 ~3,5ᶜ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Ser211 ~3,0ᶜ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Ile205 ~3,5ᶜ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Dissociação (~95 ns)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QCL936-BEN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His92 ~1,2ᵈ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Asp142 ~1,5ᵈ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Ser247 ~1,0ᵈ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Asp241 ~1,3ᵈ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Dissociação (~150 ns)ᵉ</w:t>
            </w:r>
          </w:p>
        </w:tc>
      </w:tr>
    </w:tbl>
    <w:p>
      <w:pPr/>
    </w:p>
    <w:p>
      <w:pPr>
        <w:spacing w:before="0"/>
      </w:pPr>
      <w:r>
        <w:rPr>
          <w:sz w:val="18"/>
        </w:rPr>
        <w:t>ᶜ Médias sobre 200 ns incluindo fase dissociada (95–200 ns); fase pré-dissociação (0–95 ns): Ile205 ~0,35 nm ⚠️, demais &gt;0,70 nm ❌.</w:t>
      </w:r>
    </w:p>
    <w:p>
      <w:pPr>
        <w:spacing w:before="0"/>
      </w:pPr>
      <w:r>
        <w:rPr>
          <w:sz w:val="18"/>
        </w:rPr>
        <w:t>ᵈ Médias sobre 200 ns incluindo fase dissociada (150–200 ns); fase ligada (0–150 ns): His92 ~0,35 nm ✅, Ser247 ~0,30 nm ✅, Asp241 ~0,45 nm ⚠️, Asp142 ~0,85 nm ❌.</w:t>
      </w:r>
    </w:p>
    <w:p>
      <w:pPr>
        <w:jc w:val="both"/>
      </w:pPr>
      <w:r>
        <w:t>ᵉ Modo parcial na fase ligada (0–150 ns): His + Ser + S1 borderline (eco de QCL936-SKTI).</w:t>
      </w:r>
    </w:p>
    <w:p>
      <w:pPr>
        <w:pStyle w:val="Heading4"/>
      </w:pPr>
      <w:r>
        <w:t>Padrão geral</w:t>
      </w:r>
    </w:p>
    <w:p>
      <w:pPr>
        <w:jc w:val="both"/>
      </w:pPr>
      <w:r>
        <w:t>Os resultados revelam seis modos de resposta distintos entre os sistemas analisados, ordenados por completude do bloqueio catalítico:</w:t>
      </w:r>
    </w:p>
    <w:p>
      <w:pPr>
        <w:pStyle w:val="ListNumber"/>
        <w:spacing w:after="60"/>
      </w:pPr>
      <w:r>
        <w:rPr>
          <w:b/>
        </w:rPr>
        <w:t>Kunitz canônico completo</w:t>
      </w:r>
      <w:r>
        <w:t xml:space="preserve"> (ACR157-SKTI, 4/4 resíduos) — todos os componentes da tríade His–Asp–Ser e o bolsão S1 bloqueados simultaneamente; mecanismo máximo de inibição; padrão de referência para inibidores Kunitz.</w:t>
      </w:r>
    </w:p>
    <w:p>
      <w:pPr>
        <w:pStyle w:val="ListNumber"/>
        <w:spacing w:after="60"/>
      </w:pPr>
      <w:r>
        <w:rPr>
          <w:b/>
        </w:rPr>
        <w:t>Modo His + Ser + S1</w:t>
      </w:r>
      <w:r>
        <w:t xml:space="preserve"> (QCL936-SKTI, 3/4) — His e Ser nucleofílica da tríade engajadas com bloqueio do S1; Asp catalítico livre; inibição da etapa nucleofílica sem bloqueio estrutural da regeneração da His.</w:t>
      </w:r>
    </w:p>
    <w:p>
      <w:pPr>
        <w:pStyle w:val="ListNumber"/>
        <w:spacing w:after="60"/>
      </w:pPr>
      <w:r>
        <w:rPr>
          <w:b/>
        </w:rPr>
        <w:t>Modo Tyr + Asp + S1</w:t>
      </w:r>
      <w:r>
        <w:t xml:space="preserve"> (XP273-SKTI, 3/4) — resíduo periférico (Tyr83) + Asp catalítico + S1 engajados; Ser nucleofílica livre; bloqueio do reconhecimento de substrato e do díade parcial com geometria de entrada do sítio alterada pela Tyr83.</w:t>
      </w:r>
    </w:p>
    <w:p>
      <w:pPr>
        <w:pStyle w:val="ListNumber"/>
        <w:spacing w:after="60"/>
      </w:pPr>
      <w:r>
        <w:rPr>
          <w:b/>
        </w:rPr>
        <w:t>Modo His + S1</w:t>
      </w:r>
      <w:r>
        <w:t xml:space="preserve"> (QCL936-GORE4, ACR157-GORE4) — ancoragem na His da tríade e no bolsão S1, sem contato com Asp–Ser; mecanismo de bloqueio de especificidade de substrato, sem interferência direta no núcleo catalítico His–Asp–Ser.</w:t>
      </w:r>
    </w:p>
    <w:p>
      <w:pPr>
        <w:pStyle w:val="ListNumber"/>
        <w:spacing w:after="60"/>
      </w:pPr>
      <w:r>
        <w:rPr>
          <w:b/>
        </w:rPr>
        <w:t>Modo periférico</w:t>
      </w:r>
      <w:r>
        <w:t xml:space="preserve"> (XP273-GORE4, 1/4) — apenas resíduo periférico (Tyr83) engajado; mecanismo por oclusão estérica da entrada do sítio ou estabilização de conformação cataliticamente inativa.</w:t>
      </w:r>
    </w:p>
    <w:p>
      <w:pPr>
        <w:pStyle w:val="ListNumber"/>
        <w:spacing w:after="60"/>
      </w:pPr>
      <w:r>
        <w:rPr>
          <w:b/>
        </w:rPr>
        <w:t>Não-ligante</w:t>
      </w:r>
      <w:r>
        <w:t xml:space="preserve"> (ACR157-BEN) — dissociação completa antes de 100 ns; nenhum resíduo catalítico engajado de forma estável; ausência de inibição viável nas condições avaliadas.</w:t>
      </w:r>
    </w:p>
    <w:p>
      <w:pPr>
        <w:jc w:val="both"/>
      </w:pPr>
      <w:r>
        <w:t>A série SKTI supera consistentemente a série GORE4 em todos os parâmetros de interface (contatos 2,1–4,0×; H-bonds 2,8–7,1×; RMSD do ligante inferior) e em profundidade de engajamento catalítico. A benzamidina, embora controle positivo estrutural estabelecido para tripsinas de mamíferos, revelou-se incapaz de manter ligação estável com ACR157 sob condições fisiológicas de inseto (pH 8,2, 300 K), provavelmente em razão da ausência de Asp no bolsão S1 desse receptor (Ile205, não-carregado).</w:t>
      </w:r>
    </w:p>
    <w:p>
      <w:pPr/>
    </w:p>
    <w:p>
      <w:pPr>
        <w:pStyle w:val="Heading3"/>
      </w:pPr>
      <w:r>
        <w:t>3.4 Docking de benzamidina (BEN) como controle positivo estrutural</w:t>
      </w:r>
    </w:p>
    <w:p>
      <w:pPr>
        <w:jc w:val="both"/>
      </w:pPr>
      <w:r>
        <w:t xml:space="preserve">A benzamidina (BEN; CAS 618-39-3; MW 120,15 Da) é um inibidor competitivo reversível de serino-proteases amplamente utilizado como ligante de referência para o bolsão de especificidade S1 de tripsinas (Scheidig </w:t>
      </w:r>
      <w:r>
        <w:rPr>
          <w:i/>
        </w:rPr>
        <w:t>et al.</w:t>
      </w:r>
      <w:r>
        <w:t>, 1997). Sua amidina monocíclica forma uma ponte salina com o Asp do S1 e ligações de hidrogênio com resíduos da alça S1, ocupando o sítio de reconhecimento do resíduo P1 do substrato (Ki ≈ 8 μM para tripsina bovina). Neste trabalho, BEN foi incluída como controle positivo estrutural para validar a especificidade dos sítios modelados e comparar sua afinidade computacional com a dos peptídeos GORE4 e SKTI.</w:t>
      </w:r>
    </w:p>
    <w:p>
      <w:pPr>
        <w:pStyle w:val="Heading4"/>
      </w:pPr>
      <w:r>
        <w:t>Protocolo de docking</w:t>
      </w:r>
    </w:p>
    <w:p>
      <w:pPr>
        <w:jc w:val="both"/>
      </w:pPr>
      <w:r>
        <w:t xml:space="preserve">O docking foi realizado com AutoDock Vina 1.2.0 (Eberhardt </w:t>
      </w:r>
      <w:r>
        <w:rPr>
          <w:i/>
        </w:rPr>
        <w:t>et al.</w:t>
      </w:r>
      <w:r>
        <w:t>, 2021), ferramenta padrão para moléculas pequenas. Os receptores utilizados foram os snapshots finais pós-DM (100 ns) de cada tripsina (</w:t>
      </w:r>
      <w:r>
        <w:rPr>
          <w:rFonts w:ascii="Courier New" w:hAnsi="Courier New"/>
          <w:sz w:val="20"/>
        </w:rPr>
        <w:t>spodoptera-ben/</w:t>
      </w:r>
      <w:r>
        <w:t>), preparados em formato PDBQT com Open Babel 3.x (</w:t>
      </w:r>
      <w:r>
        <w:rPr>
          <w:rFonts w:ascii="Courier New" w:hAnsi="Courier New"/>
          <w:sz w:val="20"/>
        </w:rPr>
        <w:t>-h -xr</w:t>
      </w:r>
      <w:r>
        <w:t xml:space="preserve">). O ligante BEN foi gerado a partir do SMILES </w:t>
      </w:r>
      <w:r>
        <w:rPr>
          <w:rFonts w:ascii="Courier New" w:hAnsi="Courier New"/>
          <w:sz w:val="20"/>
        </w:rPr>
        <w:t>NC(=N)c1ccccc1</w:t>
      </w:r>
      <w:r>
        <w:t xml:space="preserve"> com adição de hidrogênios em pH 8,2 (Open Babel </w:t>
      </w:r>
      <w:r>
        <w:rPr>
          <w:rFonts w:ascii="Courier New" w:hAnsi="Courier New"/>
          <w:sz w:val="20"/>
        </w:rPr>
        <w:t>-p 8.2</w:t>
      </w:r>
      <w:r>
        <w:t>). A caixa de busca (22 × 22 × 22 Å) foi centrada no centroide dos quatro resíduos catalíticos monitorados nas DMs, com exhaustiveness = 32 e nove modos de ligação por receptor.</w:t>
      </w:r>
    </w:p>
    <w:p>
      <w:pPr>
        <w:pStyle w:val="Heading4"/>
      </w:pPr>
      <w:r>
        <w:t>Resultados</w:t>
      </w:r>
    </w:p>
    <w:p>
      <w:pPr>
        <w:jc w:val="both"/>
      </w:pPr>
      <w:r>
        <w:rPr>
          <w:b/>
        </w:rPr>
        <w:t>Tabela 3 — Scores Vina de BEN × tripsinas Spodoptera (pH 8,2)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Receptor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Score modo 1 (kcal/mol)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Modos 1–3 RMSD (Å)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Contatos &lt;0,35 nm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Hierarquia</w:t>
            </w:r>
          </w:p>
        </w:tc>
      </w:tr>
      <w:tr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QCL936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−5,733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≤ 1,7 (convergente)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1/4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1°</w:t>
            </w:r>
          </w:p>
        </w:tc>
      </w:tr>
      <w:tr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XP273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−5,484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7,6 (pose única)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2/4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2°</w:t>
            </w:r>
          </w:p>
        </w:tc>
      </w:tr>
      <w:tr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XP352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−4,975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≤ 1,6 (convergente)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2/4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3°</w:t>
            </w:r>
          </w:p>
        </w:tc>
      </w:tr>
      <w:tr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ACR157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−4,953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≤ 3,0 (convergente)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1/4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sz w:val="20"/>
              </w:rPr>
              <w:t>4°</w:t>
            </w:r>
          </w:p>
        </w:tc>
      </w:tr>
    </w:tbl>
    <w:p>
      <w:pPr/>
    </w:p>
    <w:p>
      <w:pPr>
        <w:jc w:val="both"/>
      </w:pPr>
      <w:r>
        <w:t xml:space="preserve">Hierarquia de afinidade: </w:t>
      </w:r>
      <w:r>
        <w:rPr>
          <w:b/>
        </w:rPr>
        <w:t>QCL936 &gt; XP273 &gt; XP352 ≈ ACR157</w:t>
      </w:r>
      <w:r>
        <w:t>.</w:t>
      </w:r>
    </w:p>
    <w:p>
      <w:pPr>
        <w:pStyle w:val="Heading4"/>
      </w:pPr>
      <w:r>
        <w:t>Interpretação</w:t>
      </w:r>
    </w:p>
    <w:p>
      <w:pPr>
        <w:jc w:val="both"/>
      </w:pPr>
      <w:r>
        <w:t xml:space="preserve">A afinidade mais elevada de BEN para QCL936 (−5,733 kcal/mol) é coerente com a presença de Asp241 no bolsão S1 desse receptor — o resíduo ácido do S1 é o parceiro canônico da ponte salina da amidina em tripsinas clássicas (Scheidig </w:t>
      </w:r>
      <w:r>
        <w:rPr>
          <w:i/>
        </w:rPr>
        <w:t>et al.</w:t>
      </w:r>
      <w:r>
        <w:t>, 1997). ACR157, cujo S1 é ocupado por Ile205 (resíduo não carregado), apresentou a menor afinidade, consistente com menor complementaridade eletrostática para a amidina protonada.</w:t>
      </w:r>
    </w:p>
    <w:p>
      <w:pPr>
        <w:jc w:val="both"/>
      </w:pPr>
      <w:r>
        <w:t>Os valores de afinidade (−4,95 a −5,73 kcal/mol) situam-se abaixo dos relatados para BEN em tripsina bovina com Vina (≈ −6 a −7 kcal/mol; literatura), o que pode refletir: (i) uso da forma neutra de BEN (a forma amidínio+ em pH 8,2 interagiria mais favoravelmente com o S1 ácido); (ii) conformação dos receptores pós-DM com GORE4 ligado, levemente distinta da forma apo.</w:t>
      </w:r>
    </w:p>
    <w:p>
      <w:pPr>
        <w:jc w:val="both"/>
      </w:pPr>
      <w:r>
        <w:t>O número de contatos próximos (1–2/4 resíduos) é esperado para BEN, que por seu tamanho reduzido (9 átomos pesados) ocupa exclusivamente o bolsão S1, sem alcançar os demais componentes da tríade catalítica simultaneamente — contraste marcado com SKTI (4/4 em ACR157) e GORE4 (2/4). Esse padrão confirma a seletividade de sítio dos receptores modelados e valida a centralização da caixa de busca nos resíduos catalíticos.</w:t>
      </w:r>
    </w:p>
    <w:p>
      <w:pPr/>
    </w:p>
    <w:p>
      <w:pPr>
        <w:pStyle w:val="Heading3"/>
      </w:pPr>
      <w:r>
        <w:t>3.4.2 Dinâmica molecular de benzamidina — ACR157-BEN (200 ns)</w:t>
      </w:r>
    </w:p>
    <w:p>
      <w:pPr>
        <w:jc w:val="both"/>
      </w:pPr>
      <w:r>
        <w:t xml:space="preserve">Para investigar o comportamento dinâmico da BEN no receptor de menor afinidade prevista pelo docking, o complexo ACR157-BEN foi submetido a simulação de dinâmica molecular de 200 ns sob as mesmas condições das séries GORE4 e SKTI (300 K, pH 8,2, 0,10 M KCl, AMBER99SB-ILDN). A topologia do ligante foi gerada com campo de força GAFF2 (Wang </w:t>
      </w:r>
      <w:r>
        <w:rPr>
          <w:i/>
        </w:rPr>
        <w:t>et al.</w:t>
      </w:r>
      <w:r>
        <w:t xml:space="preserve">, 2004) via ACPYPE 2023 (Sousa da Silva &amp; Vranken, 2012), com carga formal +1 (forma amidínio, pKa ≈ 11,6 em pH 8,2) e cargas atômicas parciais AM1-BCC (Jakalian </w:t>
      </w:r>
      <w:r>
        <w:rPr>
          <w:i/>
        </w:rPr>
        <w:t>et al.</w:t>
      </w:r>
      <w:r>
        <w:t>, 2002). A pose inicial correspondeu ao modo 1 do docking Vina (melhor escore, −4,953 kcal/mol).</w:t>
      </w:r>
    </w:p>
    <w:p>
      <w:pPr>
        <w:pStyle w:val="Heading4"/>
      </w:pPr>
      <w:r>
        <w:t>Estabilidade do receptor</w:t>
      </w:r>
    </w:p>
    <w:p>
      <w:pPr>
        <w:jc w:val="both"/>
      </w:pPr>
      <w:r>
        <w:t>O RMSD do backbone do ACR157 estabilizou em 0,146 ± 0,019 nm ao longo dos 200 ns — valor inferior ao observado para ACR157-GORE4 (0,165 nm) e ACR157-SKTI (0,281 nm) —, indicando que o receptor manteve integridade estrutural durante toda a trajetória, independentemente do comportamento do ligante.</w:t>
      </w:r>
    </w:p>
    <w:p>
      <w:pPr>
        <w:pStyle w:val="Heading4"/>
      </w:pPr>
      <w:r>
        <w:t>Evento de dissociação a ~95 ns</w:t>
      </w:r>
    </w:p>
    <w:p>
      <w:pPr>
        <w:jc w:val="both"/>
      </w:pPr>
      <w:r>
        <w:t>Até aproximadamente 95 ns, BEN manteve 60–150 contatos com ACR157, com o Ile205 (bolsão S1) em distância mínima de 0,3–0,4 nm (borderline de contato). Os demais resíduos catalíticos (His69 ~0,8 nm; Asp114 ~0,9 nm; Ser211 ~0,7 nm) permaneceram além do limiar de contato direto durante toda a fase de associação inicial — padrão coerente com BEN posicionada no bolsão S1, sem alcançar a tríade His–Asp–Ser. Ao atingir ~95 ns, ocorreu evento súbito e irreversível de dissociação: todas as distâncias aos resíduos catalíticos saltaram para 3–6 nm, os contatos colapsaram a zero, e BEN migrou ao solvente, permanecendo não-ligada pelos 105 ns restantes da trajetória.</w:t>
      </w:r>
    </w:p>
    <w:p>
      <w:pPr>
        <w:jc w:val="both"/>
      </w:pPr>
      <w:r>
        <w:t>O valor médio de contatos ao longo dos 200 ns foi de 68,8 ± 72,4 átomos — desvio padrão superior à média, padrão diagnóstico de dissociação — refletindo o comportamento bimodal: fase de associação fraca (0–95 ns) seguida de estado dissociado (95–200 ns). A SASA da BEN foi de 2,74 ± 0,141 nm², coerente com o tamanho reduzido da molécula; durante a fase ligada, o enterramento foi parcial e transitório.</w:t>
      </w:r>
    </w:p>
    <w:p>
      <w:pPr>
        <w:pStyle w:val="Heading4"/>
      </w:pPr>
      <w:r>
        <w:t>Interpretação mecanística</w:t>
      </w:r>
    </w:p>
    <w:p>
      <w:pPr>
        <w:jc w:val="both"/>
      </w:pPr>
      <w:r>
        <w:t xml:space="preserve">A dissociação de BEN no ACR157 tem fundamento estrutural direto: o bolsão S1 desse receptor é ocupado por Ile205, resíduo hidrofóbico não-carregado. O mecanismo de inibição canônico da benzamidina depende da formação de ponte salina entre o grupo amidínio (+1) e o Asp do S1 de tripsinas clássicas (Scheidig </w:t>
      </w:r>
      <w:r>
        <w:rPr>
          <w:i/>
        </w:rPr>
        <w:t>et al.</w:t>
      </w:r>
      <w:r>
        <w:t>, 1997). A ausência desse parceiro aniônico no S1 do ACR157 elimina a âncora primária de BEN, tornando a ligação energeticamente desfavorável a 300 K em solução explícita. Este resultado é consistente com o menor escore Vina (−4,953 kcal/mol, 4° entre os receptores): a predição estática de baixa afinidade foi confirmada dinamicamente pela dissociação completa antes dos 100 ns. Para QCL936 (S1 = Asp241) e XP352 (S1 = Asp262), a presença de Asp carregado no S1 é compatível com a ponte salina da amidina; resultados de DM dessas isoformas estão em andamento.</w:t>
      </w:r>
    </w:p>
    <w:p>
      <w:pPr/>
    </w:p>
    <w:p>
      <w:pPr>
        <w:pStyle w:val="Heading3"/>
      </w:pPr>
      <w:r>
        <w:t>3.4.3 Dinâmica molecular de benzamidina — QCL936-BEN (200 ns)</w:t>
      </w:r>
    </w:p>
    <w:p>
      <w:pPr>
        <w:jc w:val="both"/>
      </w:pPr>
      <w:r>
        <w:t>O complexo QCL936-BEN foi simulado por 200 ns com a mesma configuração dos demais sistemas da série BEN. Este receptor recebeu o melhor escore de docking Vina dentre os quatro receptores (−5,733 kcal/mol, 1°), atribuído à presença de Asp241 no bolsão S1 — o parceiro canônico da ponte salina amidínio↔Asp em tripsinas clássicas. A pose inicial correspondeu ao modo 1 do docking Vina.</w:t>
      </w:r>
    </w:p>
    <w:p>
      <w:pPr>
        <w:pStyle w:val="Heading4"/>
      </w:pPr>
      <w:r>
        <w:t>Estabilidade do receptor</w:t>
      </w:r>
    </w:p>
    <w:p>
      <w:pPr>
        <w:jc w:val="both"/>
      </w:pPr>
      <w:r>
        <w:t>O RMSD do backbone do QCL936 estabilizou em 0,116 ± 0,018 nm — o valor mais baixo de todos os sistemas avaliados neste trabalho, incluindo as séries GORE4 e SKTI —, indicando que o receptor QCL936 apresenta a maior rigidez estrutural intrínseca entre as isoformas estudadas, independente do ligante.</w:t>
      </w:r>
    </w:p>
    <w:p>
      <w:pPr>
        <w:pStyle w:val="Heading4"/>
      </w:pPr>
      <w:r>
        <w:t>Fase de ligação estável (0–150 ns)</w:t>
      </w:r>
    </w:p>
    <w:p>
      <w:pPr>
        <w:jc w:val="both"/>
      </w:pPr>
      <w:r>
        <w:t xml:space="preserve">Ao contrário do ACR157-BEN, no qual a fase de associação foi fraca (~80–100 contatos, Ile205 apenas borderline), o QCL936-BEN apresentou uma fase de ligação robusta nos primeiros 150 ns, com </w:t>
      </w:r>
      <w:r>
        <w:rPr>
          <w:b/>
        </w:rPr>
        <w:t>110–120 contatos estáveis</w:t>
      </w:r>
      <w:r>
        <w:t xml:space="preserve"> e baixa variabilidade, indicando encaixe consistente no sítio de ligação. A análise das distâncias mínimas aos resíduos catalíticos durante esta fase revelou um padrão de ancoragem tri-residual:</w:t>
      </w:r>
    </w:p>
    <w:p>
      <w:pPr>
        <w:pStyle w:val="ListBullet"/>
        <w:spacing w:after="60"/>
      </w:pPr>
      <w:r>
        <w:rPr>
          <w:b/>
        </w:rPr>
        <w:t>His92</w:t>
      </w:r>
      <w:r>
        <w:t xml:space="preserve"> (triad_1): ~0,35 nm ✅ — contato direto com a histidina catalítica</w:t>
      </w:r>
    </w:p>
    <w:p>
      <w:pPr>
        <w:pStyle w:val="ListBullet"/>
        <w:spacing w:after="60"/>
      </w:pPr>
      <w:r>
        <w:t>Asp142 (triad_2): ~0,85 nm ❌ — distante durante toda a fase ligada</w:t>
      </w:r>
    </w:p>
    <w:p>
      <w:pPr>
        <w:pStyle w:val="ListBullet"/>
        <w:spacing w:after="60"/>
      </w:pPr>
      <w:r>
        <w:rPr>
          <w:b/>
        </w:rPr>
        <w:t>Ser247</w:t>
      </w:r>
      <w:r>
        <w:t xml:space="preserve"> (triad_3): ~0,25–0,35 nm ✅ — contato direto com a serina nucleofílica</w:t>
      </w:r>
    </w:p>
    <w:p>
      <w:pPr>
        <w:pStyle w:val="ListBullet"/>
        <w:spacing w:after="60"/>
      </w:pPr>
      <w:r>
        <w:rPr>
          <w:b/>
        </w:rPr>
        <w:t>Asp241</w:t>
      </w:r>
      <w:r>
        <w:t xml:space="preserve"> (S1, triad_4): ~0,40–0,50 nm ⚠️ — borderline, coerente com a ponte salina amidínio⁺↔Asp²⁻</w:t>
      </w:r>
    </w:p>
    <w:p>
      <w:pPr>
        <w:jc w:val="both"/>
      </w:pPr>
      <w:r>
        <w:t>Este padrão — His92 + Ser247 + Asp241/S1 bordeline, sem contato com Asp142 — replica estruturalmente o modo de inibição identificado para o QCL936-SKTI (His + Ser + S1, 3/4), sugerindo que a geometria do sítio ativo do QCL936 orienta os ligantes preferencialmente para esta trinca de resíduos, independente do tipo de ligante (proteína ou molécula pequena). O Asp241 no bolsão S1 atrai o amidínio (+1) por complementaridade eletrostática, enquanto o anel benzênico se posiciona na região entre His92 e Ser247.</w:t>
      </w:r>
    </w:p>
    <w:p>
      <w:pPr>
        <w:pStyle w:val="Heading4"/>
      </w:pPr>
      <w:r>
        <w:t>Evento de dissociação a ~150 ns</w:t>
      </w:r>
    </w:p>
    <w:p>
      <w:pPr>
        <w:jc w:val="both"/>
      </w:pPr>
      <w:r>
        <w:t>A partir de ~150 ns, ocorreu dissociação progressiva e irreversível: os contatos declinaram de ~110 para zero ao longo de 25 ns (150–175 ns), e todas as distâncias catalíticas saltaram simultaneamente para 4–7 nm. A partir de ~180 ns, BEN permaneceu completamente livre no solvente até o final da trajetória (200 ns). O valor médio de contatos integrado sobre os 200 ns foi de 90,1 ± 41,6 átomos, com SD/média = 46%, padrão diagnóstico de distribuição bimodal por dissociação.</w:t>
      </w:r>
    </w:p>
    <w:p>
      <w:pPr>
        <w:pStyle w:val="Heading4"/>
      </w:pPr>
      <w:r>
        <w:t>Comparação com ACR157-BEN e implicações mecanísticas</w:t>
      </w:r>
    </w:p>
    <w:p>
      <w:pPr>
        <w:jc w:val="both"/>
      </w:pPr>
      <w:r>
        <w:t>A comparação entre ACR157-BEN e QCL936-BEN revela o efeito direto da natureza do bolsão S1 sobre a estabilidade da benzamidina: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Parâmetro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ACR157-BEN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QCL936-BEN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S1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Ile205 (neutro)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Asp241 (−)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Score Vina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−4,953 kcal/mol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−5,733 kcal/mol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Contatos (fase ligada)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~80–100 (fraco)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~110–120 (moderado)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Dissociação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~95 ns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~150 ns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Modo parcial (fase ligada)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nenhum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His + Ser + S1 borderline</w:t>
            </w:r>
          </w:p>
        </w:tc>
      </w:tr>
    </w:tbl>
    <w:p>
      <w:pPr/>
    </w:p>
    <w:p>
      <w:pPr>
        <w:jc w:val="both"/>
      </w:pPr>
      <w:r>
        <w:t>O aumento de 58% no tempo de residência de QCL936-BEN em relação ao ACR157-BEN (150 vs 95 ns) é coerente com a maior complementaridade eletrostática proporcionada pelo Asp241, que permite a formação transitória da ponte salina canônica da benzamidina. Contudo, a dissociação antes dos 200 ns demonstra que essa interação é insuficiente para ancorar BEN de forma sustentada nas condições fisiológicas do intestino médio larval (pH 8,2, 300 K).</w:t>
      </w:r>
    </w:p>
    <w:p>
      <w:pPr/>
    </w:p>
    <w:p>
      <w:pPr>
        <w:pStyle w:val="Heading2"/>
      </w:pPr>
      <w:r>
        <w:t>Referências (a inserir)</w:t>
      </w:r>
    </w:p>
    <w:p>
      <w:pPr>
        <w:pStyle w:val="ListBullet"/>
        <w:spacing w:after="60"/>
      </w:pPr>
      <w:r>
        <w:t xml:space="preserve">Abraham, M.J. </w:t>
      </w:r>
      <w:r>
        <w:rPr>
          <w:i/>
        </w:rPr>
        <w:t>et al.</w:t>
      </w:r>
      <w:r>
        <w:t xml:space="preserve"> (2015) GROMACS: A high performance molecular dynamics package. </w:t>
      </w:r>
      <w:r>
        <w:rPr>
          <w:i/>
        </w:rPr>
        <w:t>SoftwareX</w:t>
      </w:r>
      <w:r>
        <w:t>, 1–2, 19–25.</w:t>
      </w:r>
    </w:p>
    <w:p>
      <w:pPr>
        <w:pStyle w:val="ListBullet"/>
        <w:spacing w:after="60"/>
      </w:pPr>
      <w:r>
        <w:t xml:space="preserve">Al-Khafaji, K. </w:t>
      </w:r>
      <w:r>
        <w:rPr>
          <w:i/>
        </w:rPr>
        <w:t>et al.</w:t>
      </w:r>
      <w:r>
        <w:t xml:space="preserve"> (2024) Molecular dynamics of serine protease–peptide complexes. </w:t>
      </w:r>
      <w:r>
        <w:rPr>
          <w:i/>
        </w:rPr>
        <w:t>Biomolecules</w:t>
      </w:r>
      <w:r>
        <w:t>, 14, XXX.</w:t>
      </w:r>
    </w:p>
    <w:p>
      <w:pPr>
        <w:pStyle w:val="ListBullet"/>
        <w:spacing w:after="60"/>
      </w:pPr>
      <w:r>
        <w:t xml:space="preserve">Bray, S.A. </w:t>
      </w:r>
      <w:r>
        <w:rPr>
          <w:i/>
        </w:rPr>
        <w:t>et al.</w:t>
      </w:r>
      <w:r>
        <w:t xml:space="preserve"> (2024) Best practices for MD equilibration of protein–peptide complexes. </w:t>
      </w:r>
      <w:r>
        <w:rPr>
          <w:i/>
        </w:rPr>
        <w:t>J. Phys. Chem. B</w:t>
      </w:r>
      <w:r>
        <w:t>, 128, XXX.</w:t>
      </w:r>
    </w:p>
    <w:p>
      <w:pPr>
        <w:pStyle w:val="ListBullet"/>
        <w:spacing w:after="60"/>
      </w:pPr>
      <w:r>
        <w:t xml:space="preserve">Bussi, G., Donadio, D. &amp; Parrinello, M. (2007) Canonical sampling through velocity rescaling. </w:t>
      </w:r>
      <w:r>
        <w:rPr>
          <w:i/>
        </w:rPr>
        <w:t>J. Chem. Phys.</w:t>
      </w:r>
      <w:r>
        <w:t>, 126, 014101.</w:t>
      </w:r>
    </w:p>
    <w:p>
      <w:pPr>
        <w:pStyle w:val="ListBullet"/>
        <w:spacing w:after="60"/>
      </w:pPr>
      <w:r>
        <w:t xml:space="preserve">Di Tommaso, P. </w:t>
      </w:r>
      <w:r>
        <w:rPr>
          <w:i/>
        </w:rPr>
        <w:t>et al.</w:t>
      </w:r>
      <w:r>
        <w:t xml:space="preserve"> (2017) Nextflow enables reproducible computational workflows. </w:t>
      </w:r>
      <w:r>
        <w:rPr>
          <w:i/>
        </w:rPr>
        <w:t>Nat. Biotechnol.</w:t>
      </w:r>
      <w:r>
        <w:t>, 35, 316–319.</w:t>
      </w:r>
    </w:p>
    <w:p>
      <w:pPr>
        <w:pStyle w:val="ListBullet"/>
        <w:spacing w:after="60"/>
      </w:pPr>
      <w:r>
        <w:t xml:space="preserve">Dow, J.A.T. (1992) pH gradients in lepidopteran midgut. </w:t>
      </w:r>
      <w:r>
        <w:rPr>
          <w:i/>
        </w:rPr>
        <w:t>J. Exp. Biol.</w:t>
      </w:r>
      <w:r>
        <w:t>, 172, 355–375.</w:t>
      </w:r>
    </w:p>
    <w:p>
      <w:pPr>
        <w:pStyle w:val="ListBullet"/>
        <w:spacing w:after="60"/>
      </w:pPr>
      <w:r>
        <w:t xml:space="preserve">Hess, B. </w:t>
      </w:r>
      <w:r>
        <w:rPr>
          <w:i/>
        </w:rPr>
        <w:t>et al.</w:t>
      </w:r>
      <w:r>
        <w:t xml:space="preserve"> (1997) LINCS: A linear constraint solver for molecular simulations. </w:t>
      </w:r>
      <w:r>
        <w:rPr>
          <w:i/>
        </w:rPr>
        <w:t>J. Comput. Chem.</w:t>
      </w:r>
      <w:r>
        <w:t>, 18, 1463–1472.</w:t>
      </w:r>
    </w:p>
    <w:p>
      <w:pPr>
        <w:pStyle w:val="ListBullet"/>
        <w:spacing w:after="60"/>
      </w:pPr>
      <w:r>
        <w:t xml:space="preserve">Joung, I.S. &amp; Cheatham, T.E. (2008) Determination of alkali and halide monovalent ion parameters for use in explicitly solvated biomolecular simulations. </w:t>
      </w:r>
      <w:r>
        <w:rPr>
          <w:i/>
        </w:rPr>
        <w:t>J. Phys. Chem. B</w:t>
      </w:r>
      <w:r>
        <w:t>, 112, 9020–9041.</w:t>
      </w:r>
    </w:p>
    <w:p>
      <w:pPr>
        <w:pStyle w:val="ListBullet"/>
        <w:spacing w:after="60"/>
      </w:pPr>
      <w:r>
        <w:t xml:space="preserve">Krowarsch, D. </w:t>
      </w:r>
      <w:r>
        <w:rPr>
          <w:i/>
        </w:rPr>
        <w:t>et al.</w:t>
      </w:r>
      <w:r>
        <w:t xml:space="preserve"> (2003) Canonical protein inhibitors of serine proteases. </w:t>
      </w:r>
      <w:r>
        <w:rPr>
          <w:i/>
        </w:rPr>
        <w:t>Cell. Mol. Life Sci.</w:t>
      </w:r>
      <w:r>
        <w:t>, 60, 2427–2444.</w:t>
      </w:r>
    </w:p>
    <w:p>
      <w:pPr>
        <w:pStyle w:val="ListBullet"/>
        <w:spacing w:after="60"/>
      </w:pPr>
      <w:r>
        <w:t xml:space="preserve">Laskowski, M. &amp; Kato, I. (1980) Protein inhibitors of proteinases. </w:t>
      </w:r>
      <w:r>
        <w:rPr>
          <w:i/>
        </w:rPr>
        <w:t>Annu. Rev. Biochem.</w:t>
      </w:r>
      <w:r>
        <w:t>, 49, 593–626.</w:t>
      </w:r>
    </w:p>
    <w:p>
      <w:pPr>
        <w:pStyle w:val="ListBullet"/>
        <w:spacing w:after="60"/>
      </w:pPr>
      <w:r>
        <w:t xml:space="preserve">Lindorff-Larsen, K. </w:t>
      </w:r>
      <w:r>
        <w:rPr>
          <w:i/>
        </w:rPr>
        <w:t>et al.</w:t>
      </w:r>
      <w:r>
        <w:t xml:space="preserve"> (2010) Improved side-chain torsion potentials for the AMBER ff99SB protein force field. </w:t>
      </w:r>
      <w:r>
        <w:rPr>
          <w:i/>
        </w:rPr>
        <w:t>Proteins</w:t>
      </w:r>
      <w:r>
        <w:t>, 78, 1950–1958.</w:t>
      </w:r>
    </w:p>
    <w:p>
      <w:pPr>
        <w:pStyle w:val="ListBullet"/>
        <w:spacing w:after="60"/>
      </w:pPr>
      <w:r>
        <w:t xml:space="preserve">Parrinello, M. &amp; Rahman, A. (1981) Polymorphic transitions in single crystals. </w:t>
      </w:r>
      <w:r>
        <w:rPr>
          <w:i/>
        </w:rPr>
        <w:t>J. Appl. Phys.</w:t>
      </w:r>
      <w:r>
        <w:t>, 52, 7182–7190.</w:t>
      </w:r>
    </w:p>
    <w:p>
      <w:pPr>
        <w:pStyle w:val="ListBullet"/>
        <w:spacing w:after="60"/>
      </w:pPr>
      <w:r>
        <w:t xml:space="preserve">Perona, J.J. &amp; Craik, C.S. (1995) Structural basis of substrate specificity in the serine proteases. </w:t>
      </w:r>
      <w:r>
        <w:rPr>
          <w:i/>
        </w:rPr>
        <w:t>Protein Sci.</w:t>
      </w:r>
      <w:r>
        <w:t>, 4, 337–360.</w:t>
      </w:r>
    </w:p>
    <w:p>
      <w:pPr>
        <w:pStyle w:val="ListBullet"/>
        <w:spacing w:after="60"/>
      </w:pPr>
      <w:r>
        <w:t xml:space="preserve">van Zundert, G.C.P. </w:t>
      </w:r>
      <w:r>
        <w:rPr>
          <w:i/>
        </w:rPr>
        <w:t>et al.</w:t>
      </w:r>
      <w:r>
        <w:t xml:space="preserve"> (2016) The HADDOCK2.2 web server. </w:t>
      </w:r>
      <w:r>
        <w:rPr>
          <w:i/>
        </w:rPr>
        <w:t>J. Mol. Biol.</w:t>
      </w:r>
      <w:r>
        <w:t>, 428, 720–725.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exac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