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METODOLOGIA</w:t>
      </w:r>
    </w:p>
    <w:p/>
    <w:p>
      <w:pPr>
        <w:pStyle w:val="Heading1"/>
        <w:jc w:val="left"/>
      </w:pPr>
      <w:r>
        <w:t>1. Docking Molecular</w:t>
      </w:r>
    </w:p>
    <w:p>
      <w:pPr>
        <w:spacing w:after="0"/>
        <w:ind w:firstLine="720"/>
        <w:jc w:val="both"/>
      </w:pPr>
      <w:r>
        <w:rPr>
          <w:rFonts w:ascii="Times New Roman" w:hAnsi="Times New Roman"/>
          <w:sz w:val="24"/>
        </w:rPr>
        <w:t>As estruturas tridimensionais dos peptídeos candidatos a inibidores foram geradas por modelagem de novo utilizando o servidor PEPstrMOD (Singh et al., 2015), considerando o pH fisiológico do intestino médio de Spodoptera spp. (pH 8,2). A estrutura cristalográfica da tripsina digestiva de Spodoptera frugiperda (GORE4) foi obtida a partir do Protein Data Bank (PDB) ou modelada por homologia utilizando o servidor AlphaFold2, seguida de refinamento estrutural com o servidor ModRefiner.</w:t>
      </w:r>
    </w:p>
    <w:p>
      <w:pPr>
        <w:spacing w:after="0"/>
        <w:ind w:firstLine="720"/>
        <w:jc w:val="both"/>
      </w:pPr>
      <w:r>
        <w:rPr>
          <w:rFonts w:ascii="Times New Roman" w:hAnsi="Times New Roman"/>
          <w:sz w:val="24"/>
        </w:rPr>
        <w:t>O preparo dos receptores para o docking foi realizado com o software PDB2PQR v3.6 (Dolinsky et al., 2007), utilizando o campo de força AMBER e atribuição de estados de protonação pelo método PROPKA em pH 8,2, compatível com o ambiente intestinal alcalino de lepidópteros. Moléculas de água e ligantes heterólogos foram removidos da estrutura do receptor antes da análise.</w:t>
      </w:r>
    </w:p>
    <w:p>
      <w:pPr>
        <w:spacing w:after="0"/>
        <w:ind w:firstLine="720"/>
        <w:jc w:val="both"/>
      </w:pPr>
      <w:r>
        <w:rPr>
          <w:rFonts w:ascii="Times New Roman" w:hAnsi="Times New Roman"/>
          <w:sz w:val="24"/>
        </w:rPr>
        <w:t>O docking proteína–peptídeo foi conduzido no servidor HADDOCK 2.4 (High Ambiguity Driven DOCKing) (van Zundert et al., 2016; Dominguez et al., 2003). As restrições ambíguas de interação (AIRs) foram definidas com base nos resíduos do sítio ativo da tripsina — a tríade catalítica formada por Serina (Ser195), Histidina (His57) e Aspartato (Asp102) — como resíduos "ativos" do receptor, e nos resíduos básicos dos peptídeos (lisina e arginina) como resíduos ativos dos ligantes, em conformidade com a especificidade de clivagem de tripsinas por resíduos básicos.</w:t>
      </w:r>
    </w:p>
    <w:p>
      <w:pPr>
        <w:spacing w:after="0"/>
        <w:ind w:firstLine="720"/>
        <w:jc w:val="both"/>
      </w:pPr>
      <w:r>
        <w:rPr>
          <w:rFonts w:ascii="Times New Roman" w:hAnsi="Times New Roman"/>
          <w:sz w:val="24"/>
        </w:rPr>
        <w:t>O protocolo padrão do HADDOCK foi aplicado em três etapas: (i) minimização de energia de corpo rígido (it0), gerando 1.000 estruturas; (ii) refinamento semirígido em espaço de torção (it1), retendo as 200 melhores estruturas; e (iii) refinamento final em solvente explícito (water refinement), com seleção das 200 melhores poses. As estruturas foram agrupadas utilizando RMSD de 7,5 Å sobre os átomos da interface proteína–peptídeo. Os clusters foram classificados pelo HADDOCK score, calculado como combinação linear das energias de van der Waals (peso = 1,0), eletrostática (peso = 0,2), dessolvatação (peso = 1,0) e restrições ambíguas (peso = 0,1). A pose representativa de cada cluster (estrutura de menor energia dentro do cluster) foi selecionada para as simulações de dinâmica molecular.</w:t>
      </w:r>
    </w:p>
    <w:p>
      <w:pPr>
        <w:pStyle w:val="Heading1"/>
        <w:jc w:val="left"/>
      </w:pPr>
      <w:r>
        <w:t>2. Dinâmica Molecular</w:t>
      </w:r>
    </w:p>
    <w:p>
      <w:pPr>
        <w:pStyle w:val="Heading2"/>
        <w:jc w:val="left"/>
      </w:pPr>
      <w:r>
        <w:t>2.1 Preparo do sistema</w:t>
      </w:r>
    </w:p>
    <w:p>
      <w:pPr>
        <w:spacing w:after="0"/>
        <w:ind w:firstLine="720"/>
        <w:jc w:val="both"/>
      </w:pPr>
      <w:r>
        <w:rPr>
          <w:rFonts w:ascii="Times New Roman" w:hAnsi="Times New Roman"/>
          <w:sz w:val="24"/>
        </w:rPr>
        <w:t>Os complexos tripsina–peptídeo obtidos pelo docking foram preparados para as simulações de dinâmica molecular utilizando um pipeline automatizado desenvolvido em Nextflow DSL2 (Di Tommaso et al., 2017), integrando ferramentas do pacote GROMACS 2026 (Abraham et al., 2015) e PDB2PQR v3.6. Todos os sistemas foram tratados em pH 8,2 para reproduzir o ambiente fisiológico do intestino médio de Spodoptera spp.</w:t>
      </w:r>
    </w:p>
    <w:p>
      <w:pPr>
        <w:spacing w:after="0"/>
        <w:ind w:firstLine="720"/>
        <w:jc w:val="both"/>
      </w:pPr>
      <w:r>
        <w:rPr>
          <w:rFonts w:ascii="Times New Roman" w:hAnsi="Times New Roman"/>
          <w:sz w:val="24"/>
        </w:rPr>
        <w:t>O preparo dos complexos compreendeu as seguintes etapas: (i) atribuição de estados de protonação de todos os resíduos ionizáveis pelo método PROPKA em pH 8,2, com posterior conversão para o formato GROMACS; (ii) fusão das coordenadas do receptor e do peptídeo em uma única estrutura do complexo; e (iii) geração da topologia com o campo de força AMBER99SB-ILDN (Lindorff-Larsen et al., 2010), adequado para simulações de proteínas e peptídeos.</w:t>
      </w:r>
    </w:p>
    <w:p>
      <w:pPr>
        <w:spacing w:after="0"/>
        <w:ind w:firstLine="720"/>
        <w:jc w:val="both"/>
      </w:pPr>
      <w:r>
        <w:rPr>
          <w:rFonts w:ascii="Times New Roman" w:hAnsi="Times New Roman"/>
          <w:sz w:val="24"/>
        </w:rPr>
        <w:t>O complexo foi centralizado em uma caixa dodecaédrica com margem mínima de 1,2 nm entre o soluto e as faces da caixa, garantindo ausência de interações entre imagens periódicas. A caixa foi preenchida com moléculas de água no modelo TIP3P (Jorgensen et al., 1983). A neutralização do sistema e o ajuste da concentração de íons a 0,15 M de NaCl foram realizados pela substituição aleatória de moléculas de água por íons Na⁺ e Cl⁻, mimetizando a força iônica fisiológica intestinal.</w:t>
      </w:r>
    </w:p>
    <w:p>
      <w:pPr>
        <w:pStyle w:val="Heading2"/>
        <w:jc w:val="left"/>
      </w:pPr>
      <w:r>
        <w:t>2.2 Minimização de energia e equilibração</w:t>
      </w:r>
    </w:p>
    <w:p>
      <w:pPr>
        <w:spacing w:after="0"/>
        <w:ind w:firstLine="720"/>
        <w:jc w:val="both"/>
      </w:pPr>
      <w:r>
        <w:rPr>
          <w:rFonts w:ascii="Times New Roman" w:hAnsi="Times New Roman"/>
          <w:sz w:val="24"/>
        </w:rPr>
        <w:t>A minimização de energia foi realizada pelo método do gradiente conjugado com convergência definida quando a força máxima sobre qualquer átomo foi inferior a 1.000 kJ mol⁻¹ nm⁻¹. Após a minimização, o sistema foi submetido a duas etapas de equilibração termodinâmica com restrições de posição aplicadas aos átomos pesados do soluto (constante de força: 1.000 kJ mol⁻¹ nm⁻²).</w:t>
      </w:r>
    </w:p>
    <w:p>
      <w:pPr>
        <w:spacing w:after="0"/>
        <w:ind w:firstLine="720"/>
        <w:jc w:val="both"/>
      </w:pPr>
      <w:r>
        <w:rPr>
          <w:rFonts w:ascii="Times New Roman" w:hAnsi="Times New Roman"/>
          <w:sz w:val="24"/>
        </w:rPr>
        <w:t>Na primeira etapa de equilibração (ensemble NVT), o sistema foi aquecido gradualmente até 300 K durante 100 ps, utilizando o termostato de velocidades reescalonadas (v-rescale) com constante de acoplamento de 0,1 ps. Na segunda etapa (ensemble NPT), a pressão foi ajustada a 1 bar durante 100 ps, com o barostato de Parrinello-Rahman (constante de acoplamento de 2,0 ps), mantendo a temperatura de 300 K.</w:t>
      </w:r>
    </w:p>
    <w:p>
      <w:pPr>
        <w:pStyle w:val="Heading2"/>
        <w:jc w:val="left"/>
      </w:pPr>
      <w:r>
        <w:t>2.3 Simulação de produção</w:t>
      </w:r>
    </w:p>
    <w:p>
      <w:pPr>
        <w:spacing w:after="0"/>
        <w:ind w:firstLine="720"/>
        <w:jc w:val="both"/>
      </w:pPr>
      <w:r>
        <w:rPr>
          <w:rFonts w:ascii="Times New Roman" w:hAnsi="Times New Roman"/>
          <w:sz w:val="24"/>
        </w:rPr>
        <w:t>Após a equilibração, foram realizadas simulações de dinâmica molecular de produção com duração de 100 ns para cada complexo tripsina–peptídeo, no ensemble NPT (300 K, 1 bar). O passo de integração foi de 2 fs, com as ligações envolvendo hidrogênio restringidas pelo algoritmo LINCS (Hess et al., 1997). As interações eletrostáticas de longo alcance foram tratadas pelo método Particle Mesh Ewald (PME) (Darden et al., 1993), com frequência de atualização da lista de vizinhos a cada 10 passos. As coordenadas foram salvas a cada 10 ps, gerando trajetórias de 10.000 frames para análise. As simulações foram executadas em servidor Linux Debian com GPU NVIDIA, utilizando o binário gmx_mpi compilado com suporte CUDA para aceleração de cálculos de interações de curto alcance e PME na GPU.</w:t>
      </w:r>
    </w:p>
    <w:p>
      <w:pPr>
        <w:pStyle w:val="Heading2"/>
        <w:jc w:val="left"/>
      </w:pPr>
      <w:r>
        <w:t>2.4 Análise das trajetórias</w:t>
      </w:r>
    </w:p>
    <w:p>
      <w:pPr>
        <w:spacing w:after="0"/>
        <w:ind w:firstLine="720"/>
        <w:jc w:val="both"/>
      </w:pPr>
      <w:r>
        <w:rPr>
          <w:rFonts w:ascii="Times New Roman" w:hAnsi="Times New Roman"/>
          <w:sz w:val="24"/>
        </w:rPr>
        <w:t>As trajetórias de produção foram pós-processadas com GROMACS para correção de condições periódicas de contorno (PBC), centralização do complexo e alinhamento pelo backbone do receptor. As seguintes análises foram realizadas para cada sistema:</w:t>
      </w:r>
    </w:p>
    <w:p>
      <w:pPr>
        <w:pStyle w:val="ListBullet"/>
        <w:spacing w:after="40"/>
        <w:jc w:val="both"/>
      </w:pPr>
      <w:r>
        <w:rPr>
          <w:rFonts w:ascii="Times New Roman" w:hAnsi="Times New Roman"/>
          <w:b/>
          <w:sz w:val="24"/>
        </w:rPr>
        <w:t xml:space="preserve">Estabilidade estrutural (RMSD): </w:t>
      </w:r>
      <w:r>
        <w:rPr>
          <w:rFonts w:ascii="Times New Roman" w:hAnsi="Times New Roman"/>
          <w:sz w:val="24"/>
        </w:rPr>
        <w:t>o desvio quadrático médio (RMSD) foi calculado para o backbone do receptor (Cα, C, N, O) e separadamente para os átomos pesados do peptídeo, tomando a estrutura do início da produção como referência, utilizando gmx rms.</w:t>
      </w:r>
    </w:p>
    <w:p>
      <w:pPr>
        <w:pStyle w:val="ListBullet"/>
        <w:spacing w:after="40"/>
        <w:jc w:val="both"/>
      </w:pPr>
      <w:r>
        <w:rPr>
          <w:rFonts w:ascii="Times New Roman" w:hAnsi="Times New Roman"/>
          <w:b/>
          <w:sz w:val="24"/>
        </w:rPr>
        <w:t xml:space="preserve">Flexibilidade por resíduo (RMSF): </w:t>
      </w:r>
      <w:r>
        <w:rPr>
          <w:rFonts w:ascii="Times New Roman" w:hAnsi="Times New Roman"/>
          <w:sz w:val="24"/>
        </w:rPr>
        <w:t>a flutuação quadrática média das posições atômicas (RMSF) foi calculada por resíduo sobre o backbone do receptor ao longo de toda a trajetória de produção, com gmx rmsf.</w:t>
      </w:r>
    </w:p>
    <w:p>
      <w:pPr>
        <w:pStyle w:val="ListBullet"/>
        <w:spacing w:after="40"/>
        <w:jc w:val="both"/>
      </w:pPr>
      <w:r>
        <w:rPr>
          <w:rFonts w:ascii="Times New Roman" w:hAnsi="Times New Roman"/>
          <w:b/>
          <w:sz w:val="24"/>
        </w:rPr>
        <w:t xml:space="preserve">Raio de giro (Rg): </w:t>
      </w:r>
      <w:r>
        <w:rPr>
          <w:rFonts w:ascii="Times New Roman" w:hAnsi="Times New Roman"/>
          <w:sz w:val="24"/>
        </w:rPr>
        <w:t>a compactação estrutural do complexo foi monitorada pelo raio de giro calculado sobre todos os átomos da proteína com gmx gyrate.</w:t>
      </w:r>
    </w:p>
    <w:p>
      <w:pPr>
        <w:pStyle w:val="ListBullet"/>
        <w:spacing w:after="40"/>
        <w:jc w:val="both"/>
      </w:pPr>
      <w:r>
        <w:rPr>
          <w:rFonts w:ascii="Times New Roman" w:hAnsi="Times New Roman"/>
          <w:b/>
          <w:sz w:val="24"/>
        </w:rPr>
        <w:t xml:space="preserve">Contatos e distância mínima: </w:t>
      </w:r>
      <w:r>
        <w:rPr>
          <w:rFonts w:ascii="Times New Roman" w:hAnsi="Times New Roman"/>
          <w:sz w:val="24"/>
        </w:rPr>
        <w:t>o número de contatos intermoleculares receptor–peptídeo (distância &lt; 0,4 nm) e a distância mínima entre os grupos foram calculados com gmx mindist.</w:t>
      </w:r>
    </w:p>
    <w:p>
      <w:pPr>
        <w:pStyle w:val="ListBullet"/>
        <w:spacing w:after="40"/>
        <w:jc w:val="both"/>
      </w:pPr>
      <w:r>
        <w:rPr>
          <w:rFonts w:ascii="Times New Roman" w:hAnsi="Times New Roman"/>
          <w:b/>
          <w:sz w:val="24"/>
        </w:rPr>
        <w:t xml:space="preserve">Pontes de hidrogênio: </w:t>
      </w:r>
      <w:r>
        <w:rPr>
          <w:rFonts w:ascii="Times New Roman" w:hAnsi="Times New Roman"/>
          <w:sz w:val="24"/>
        </w:rPr>
        <w:t>as pontes de hidrogênio intermoleculares entre receptor e peptídeo foram identificadas e contadas ao longo da trajetória com gmx hbond, utilizando os critérios geométricos padrão (distância doador–aceptor ≤ 0,35 nm; ângulo ≤ 30°).</w:t>
      </w:r>
    </w:p>
    <w:p>
      <w:pPr>
        <w:pStyle w:val="ListBullet"/>
        <w:spacing w:after="40"/>
        <w:jc w:val="both"/>
      </w:pPr>
      <w:r>
        <w:rPr>
          <w:rFonts w:ascii="Times New Roman" w:hAnsi="Times New Roman"/>
          <w:b/>
          <w:sz w:val="24"/>
        </w:rPr>
        <w:t xml:space="preserve">Área de superfície acessível ao solvente (SASA): </w:t>
      </w:r>
      <w:r>
        <w:rPr>
          <w:rFonts w:ascii="Times New Roman" w:hAnsi="Times New Roman"/>
          <w:sz w:val="24"/>
        </w:rPr>
        <w:t>a SASA total do receptor e do peptídeo no complexo foi calculada com gmx sasa, utilizando o algoritmo de Connolly com raio de sonda de 0,14 nm. Valores de SASA reduzidos do peptídeo ao longo do tempo indicam enterramento progressivo na interface de ligação.</w:t>
      </w:r>
    </w:p>
    <w:p>
      <w:pPr>
        <w:pStyle w:val="ListBullet"/>
        <w:spacing w:after="40"/>
        <w:jc w:val="both"/>
      </w:pPr>
      <w:r>
        <w:rPr>
          <w:rFonts w:ascii="Times New Roman" w:hAnsi="Times New Roman"/>
          <w:b/>
          <w:sz w:val="24"/>
        </w:rPr>
        <w:t xml:space="preserve">Distâncias à tríade catalítica: </w:t>
      </w:r>
      <w:r>
        <w:rPr>
          <w:rFonts w:ascii="Times New Roman" w:hAnsi="Times New Roman"/>
          <w:sz w:val="24"/>
        </w:rPr>
        <w:t>a distância mínima entre os átomos pesados do peptídeo e cada resíduo da tríade catalítica (Ser195, His57, Asp102) foi monitorada ao longo da trajetória com gmx mindist, como indicador de ocupação e bloqueio do sítio ativo da tripsina.</w:t>
      </w:r>
    </w:p>
    <w:p/>
    <w:p>
      <w:pPr>
        <w:spacing w:after="0"/>
        <w:ind w:firstLine="720"/>
        <w:jc w:val="both"/>
      </w:pPr>
      <w:r>
        <w:rPr>
          <w:rFonts w:ascii="Times New Roman" w:hAnsi="Times New Roman"/>
          <w:sz w:val="24"/>
        </w:rPr>
        <w:t>A fase estável de cada trajetória foi determinada pela identificação do plateau no perfil de RMSD do backbone, descartando a fase de equilibração inicial. Os critérios de inibição peptídica foram avaliados de forma integrada, considerando: (i) RMSD do peptídeo &lt; 0,3 nm (estabilidade conformacional na interface); (ii) presença de pelo menos uma ponte de hidrogênio persistente com o receptor; (iii) distância à tríade catalítica &lt; 0,5 nm; (iv) redução da SASA do peptídeo (enterramento); e (v) número de contatos intermoleculares estável ao longo da fase estável da simulação.</w:t>
      </w:r>
    </w:p>
    <w:p>
      <w:pPr>
        <w:pStyle w:val="Heading1"/>
        <w:jc w:val="left"/>
      </w:pPr>
      <w:r>
        <w:t>Referências</w:t>
      </w:r>
    </w:p>
    <w:p>
      <w:pPr>
        <w:spacing w:after="120"/>
        <w:ind w:left="720" w:hanging="720"/>
        <w:jc w:val="both"/>
      </w:pPr>
      <w:r>
        <w:rPr>
          <w:rFonts w:ascii="Times New Roman" w:hAnsi="Times New Roman"/>
          <w:sz w:val="24"/>
        </w:rPr>
        <w:t>Abraham, M. J. et al. GROMACS: High performance molecular simulations through multi-level parallelism from laptops to supercomputers. SoftwareX, v. 1–2, p. 19–25, 2015.</w:t>
      </w:r>
    </w:p>
    <w:p>
      <w:pPr>
        <w:spacing w:after="120"/>
        <w:ind w:left="720" w:hanging="720"/>
        <w:jc w:val="both"/>
      </w:pPr>
      <w:r>
        <w:rPr>
          <w:rFonts w:ascii="Times New Roman" w:hAnsi="Times New Roman"/>
          <w:sz w:val="24"/>
        </w:rPr>
        <w:t>Darden, T.; York, D.; Pedersen, L. Particle mesh Ewald: An N·log(N) method for Ewald sums in large systems. Journal of Chemical Physics, v. 98, p. 10089–10092, 1993.</w:t>
      </w:r>
    </w:p>
    <w:p>
      <w:pPr>
        <w:spacing w:after="120"/>
        <w:ind w:left="720" w:hanging="720"/>
        <w:jc w:val="both"/>
      </w:pPr>
      <w:r>
        <w:rPr>
          <w:rFonts w:ascii="Times New Roman" w:hAnsi="Times New Roman"/>
          <w:sz w:val="24"/>
        </w:rPr>
        <w:t>Di Tommaso, P. et al. Nextflow enables reproducible computational workflows. Nature Biotechnology, v. 35, p. 316–319, 2017.</w:t>
      </w:r>
    </w:p>
    <w:p>
      <w:pPr>
        <w:spacing w:after="120"/>
        <w:ind w:left="720" w:hanging="720"/>
        <w:jc w:val="both"/>
      </w:pPr>
      <w:r>
        <w:rPr>
          <w:rFonts w:ascii="Times New Roman" w:hAnsi="Times New Roman"/>
          <w:sz w:val="24"/>
        </w:rPr>
        <w:t>Dolinsky, T. J. et al. PDB2PQR: expanding and upgrading automated preparation of biomolecular structures for molecular simulations. Nucleic Acids Research, v. 35, p. W522–W525, 2007.</w:t>
      </w:r>
    </w:p>
    <w:p>
      <w:pPr>
        <w:spacing w:after="120"/>
        <w:ind w:left="720" w:hanging="720"/>
        <w:jc w:val="both"/>
      </w:pPr>
      <w:r>
        <w:rPr>
          <w:rFonts w:ascii="Times New Roman" w:hAnsi="Times New Roman"/>
          <w:sz w:val="24"/>
        </w:rPr>
        <w:t>Dominguez, C.; Boelens, R.; Bonvin, A. M. J. J. HADDOCK: A protein–protein docking approach based on biochemical or biophysical information. Journal of the American Chemical Society, v. 125, p. 1731–1737, 2003.</w:t>
      </w:r>
    </w:p>
    <w:p>
      <w:pPr>
        <w:spacing w:after="120"/>
        <w:ind w:left="720" w:hanging="720"/>
        <w:jc w:val="both"/>
      </w:pPr>
      <w:r>
        <w:rPr>
          <w:rFonts w:ascii="Times New Roman" w:hAnsi="Times New Roman"/>
          <w:sz w:val="24"/>
        </w:rPr>
        <w:t>Hess, B. et al. LINCS: A linear constraint solver for molecular simulations. Journal of Computational Chemistry, v. 18, p. 1463–1472, 1997.</w:t>
      </w:r>
    </w:p>
    <w:p>
      <w:pPr>
        <w:spacing w:after="120"/>
        <w:ind w:left="720" w:hanging="720"/>
        <w:jc w:val="both"/>
      </w:pPr>
      <w:r>
        <w:rPr>
          <w:rFonts w:ascii="Times New Roman" w:hAnsi="Times New Roman"/>
          <w:sz w:val="24"/>
        </w:rPr>
        <w:t>Jorgensen, W. L. et al. Comparison of simple potential functions for simulating liquid water. Journal of Chemical Physics, v. 79, p. 926–935, 1983.</w:t>
      </w:r>
    </w:p>
    <w:p>
      <w:pPr>
        <w:spacing w:after="120"/>
        <w:ind w:left="720" w:hanging="720"/>
        <w:jc w:val="both"/>
      </w:pPr>
      <w:r>
        <w:rPr>
          <w:rFonts w:ascii="Times New Roman" w:hAnsi="Times New Roman"/>
          <w:sz w:val="24"/>
        </w:rPr>
        <w:t>Lindorff-Larsen, K. et al. Improved side-chain torsion potentials for the Amber ff99SB protein force field. Proteins, v. 78, p. 1950–1958, 2010.</w:t>
      </w:r>
    </w:p>
    <w:p>
      <w:pPr>
        <w:spacing w:after="120"/>
        <w:ind w:left="720" w:hanging="720"/>
        <w:jc w:val="both"/>
      </w:pPr>
      <w:r>
        <w:rPr>
          <w:rFonts w:ascii="Times New Roman" w:hAnsi="Times New Roman"/>
          <w:sz w:val="24"/>
        </w:rPr>
        <w:t>Singh, S. et al. PEPstrMOD: structure prediction of peptides containing natural, non-natural and modified residues. Biology Direct, v. 10, p. 73, 2015.</w:t>
      </w:r>
    </w:p>
    <w:p>
      <w:pPr>
        <w:spacing w:after="120"/>
        <w:ind w:left="720" w:hanging="720"/>
        <w:jc w:val="both"/>
      </w:pPr>
      <w:r>
        <w:rPr>
          <w:rFonts w:ascii="Times New Roman" w:hAnsi="Times New Roman"/>
          <w:sz w:val="24"/>
        </w:rPr>
        <w:t>van Zundert, G. C. P. et al. The HADDOCK2.2 Web Server: User-Friendly Integrative Modeling of Biomolecular Complexes. Journal of Molecular Biology, v. 428, p. 720–725, 2016.</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