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000000"/>
        </w:rPr>
        <w:t>Dinâmica Molecular de Complexos Tripsina Digestiva de Spodoptera × GORE12T: Série Comparativa DN773, DN1441, DN1937 e DN2954</w:t>
      </w:r>
    </w:p>
    <w:p>
      <w:pPr>
        <w:jc w:val="center"/>
      </w:pPr>
      <w:r>
        <w:rPr>
          <w:rFonts w:ascii="Times New Roman" w:hAnsi="Times New Roman"/>
          <w:i/>
          <w:sz w:val="24"/>
        </w:rPr>
        <w:t>Pipeline Milena-MD (Nextflow DSL2) — metodologia, resultados e discussão da série completa de isoformas tripsina digestiva de Spodoptera × peptídeo inibidor GORE12T</w:t>
      </w:r>
    </w:p>
    <w:p>
      <w:pPr>
        <w:pStyle w:val="Heading1"/>
        <w:spacing w:before="360" w:after="120"/>
      </w:pPr>
      <w:r>
        <w:rPr>
          <w:rFonts w:ascii="Times New Roman" w:hAnsi="Times New Roman"/>
          <w:color w:val="000000"/>
        </w:rPr>
        <w:t>1. Metodologia</w:t>
      </w:r>
    </w:p>
    <w:p>
      <w:pPr>
        <w:pStyle w:val="Heading2"/>
        <w:spacing w:before="360" w:after="120"/>
      </w:pPr>
      <w:r>
        <w:rPr>
          <w:rFonts w:ascii="Times New Roman" w:hAnsi="Times New Roman"/>
          <w:color w:val="000000"/>
        </w:rPr>
        <w:t>1.1 Preparação do complexo</w:t>
      </w:r>
    </w:p>
    <w:p>
      <w:pPr>
        <w:jc w:val="both"/>
      </w:pPr>
      <w:r>
        <w:rPr>
          <w:rFonts w:ascii="Times New Roman" w:hAnsi="Times New Roman"/>
          <w:b w:val="0"/>
          <w:i w:val="0"/>
          <w:sz w:val="24"/>
        </w:rPr>
        <w:t>A estrutura inicial do complexo DN773-GORE12T foi obtida por docking molecular com o servidor HADDOCK, seguindo o mesmo protocolo empregado para os demais sistemas da série de tripsinas digestivas de Spodoptera (ACR157, QCL936, XP273, XP352). O receptor DN773 corresponde à sexta isoforma avaliada nessa série comparativa e o ligante GORE12T é um peptídeo de 75 resíduos — substancialmente mais longo que os peptídeos de 5 resíduos (GORE4) empregados nas rodadas anteriores, aproximando-se em extensão de um domínio proteico compacto. A separação entre as cadeias do complexo bruto (receptor = cadeia A; ligante = cadeia B) foi realizada por leitura direta do campo de identificação de cadeia do arquivo PDB.</w:t>
      </w:r>
    </w:p>
    <w:p>
      <w:pPr>
        <w:jc w:val="both"/>
      </w:pPr>
      <w:r>
        <w:rPr>
          <w:rFonts w:ascii="Times New Roman" w:hAnsi="Times New Roman"/>
          <w:b w:val="0"/>
          <w:i w:val="0"/>
          <w:sz w:val="24"/>
        </w:rPr>
        <w:t>Os estados de protonação dos resíduos ionizáveis foram calculados para pH 8,2, valor representativo do intestino médio larval de Spodoptera, com o servidor PropKa via pdb2pqr 3.x e campo de força AMBER (opção --titration-state-method propka).</w:t>
      </w:r>
    </w:p>
    <w:p>
      <w:pPr>
        <w:pStyle w:val="Heading2"/>
        <w:spacing w:before="360" w:after="120"/>
      </w:pPr>
      <w:r>
        <w:rPr>
          <w:rFonts w:ascii="Times New Roman" w:hAnsi="Times New Roman"/>
          <w:color w:val="000000"/>
        </w:rPr>
        <w:t>1.2 Campo de força e parâmetros de simulação</w:t>
      </w:r>
    </w:p>
    <w:p>
      <w:pPr>
        <w:jc w:val="both"/>
      </w:pPr>
      <w:r>
        <w:rPr>
          <w:rFonts w:ascii="Times New Roman" w:hAnsi="Times New Roman"/>
          <w:b w:val="0"/>
          <w:i w:val="0"/>
          <w:sz w:val="24"/>
        </w:rPr>
        <w:t>As simulações foram conduzidas em GROMACS (build CUDA-MPI, gmx_mpi) com o campo de força AMBER99SB-ILDN e o modelo de água explícita TIP3P. O complexo foi inserido em caixa cúbica periódica com margem mínima de 2,0 nm entre o soluto e as faces da caixa, solvatado e neutralizado com íons K⁺ e Cl⁻ a 0,10 M — concentração e cátion escolhidos para refletir o predomínio de potássio na hemolinfa de insetos, em contraste com o sódio prevalente em mamíferos.</w:t>
      </w:r>
    </w:p>
    <w:p>
      <w:pPr>
        <w:pStyle w:val="Heading2"/>
        <w:spacing w:before="360" w:after="120"/>
      </w:pPr>
      <w:r>
        <w:rPr>
          <w:rFonts w:ascii="Times New Roman" w:hAnsi="Times New Roman"/>
          <w:color w:val="000000"/>
        </w:rPr>
        <w:t>1.3 Protocolo de equilibração e produção</w:t>
      </w:r>
    </w:p>
    <w:p>
      <w:pPr>
        <w:jc w:val="both"/>
      </w:pPr>
      <w:r>
        <w:rPr>
          <w:rFonts w:ascii="Times New Roman" w:hAnsi="Times New Roman"/>
          <w:b w:val="0"/>
          <w:i w:val="0"/>
          <w:sz w:val="24"/>
        </w:rPr>
        <w:t>O protocolo seguiu as etapas padronizadas do pipeline: (i) minimização de energia por descida mais íngreme; (ii) equilibração NVT a 300 K com termostato V-rescale e restrições de posição sobre os átomos pesados do soluto; (iii) equilibração NPT a 300 K e 1 bar com barostato de Berendsen; (iv) produção de 100 ns sem restrições de posição, ensemble NPT com barostato de Parrinello-Rahman, integrador leap-frog (passo de 2 fs), restrição de ligações com hidrogênio via LINCS e eletrostática de longo alcance por Particle Mesh Ewald (raio de corte 1,2 nm). As coordenadas foram gravadas a cada 10 ps.</w:t>
      </w:r>
    </w:p>
    <w:p>
      <w:pPr>
        <w:pStyle w:val="Heading2"/>
        <w:spacing w:before="360" w:after="120"/>
      </w:pPr>
      <w:r>
        <w:rPr>
          <w:rFonts w:ascii="Times New Roman" w:hAnsi="Times New Roman"/>
          <w:color w:val="000000"/>
        </w:rPr>
        <w:t>1.4 Pós-processamento e análises</w:t>
      </w:r>
    </w:p>
    <w:p>
      <w:pPr>
        <w:jc w:val="both"/>
      </w:pPr>
      <w:r>
        <w:rPr>
          <w:rFonts w:ascii="Times New Roman" w:hAnsi="Times New Roman"/>
          <w:b w:val="0"/>
          <w:i w:val="0"/>
          <w:sz w:val="24"/>
        </w:rPr>
        <w:t>A trajetória bruta foi corrigida quanto a saltos de imagem periódica, recentralizada na caixa e alinhada ao frame inicial pelo backbone. Sobre a trajetória processada foram calculados: RMSD do backbone do receptor e do ligante; RMSF por resíduo; raio de giro (Rg); número de contatos receptor–ligante (pares atômicos &lt; 0,4 nm); pontes de hidrogênio receptor–ligante; área acessível ao solvente (SASA) do receptor e do ligante; e distâncias mínimas entre o ligante e cada um dos quatro resíduos de interesse do sítio catalítico do DN773 — His69, Asp116, Ser213 e Gly207 (bolsão S1) —, calculadas com gmx mindist sobre grupos de índice específicos por resíduo. Médias móveis foram calculadas com janela de 5 ns.</w:t>
      </w:r>
    </w:p>
    <w:p>
      <w:pPr>
        <w:jc w:val="both"/>
      </w:pPr>
      <w:r>
        <w:rPr>
          <w:rFonts w:ascii="Times New Roman" w:hAnsi="Times New Roman"/>
          <w:b w:val="0"/>
          <w:i w:val="0"/>
          <w:sz w:val="24"/>
        </w:rPr>
        <w:t>Diferentemente do pipeline MD-gromacs original — no qual os módulos de filtragem de estabilidade, clusterização e MM-GBSA robusto (gmx_MMPBSA com decomposição por resíduo) são executados manualmente após a produção —, o pipeline Milena-MD (Nextflow DSL2) encadeia essas quatro etapas automaticamente no fluxo principal, seguidas da geração do painel de figuras. O cálculo de MM-GBSA para o sistema DN773-GORE12T está em execução no momento da redação deste documento; os resultados aqui reportados referem-se às análises conformacionais e de interface, que independem do MM-GBSA.</w:t>
      </w:r>
    </w:p>
    <w:p>
      <w:pPr>
        <w:pStyle w:val="Heading1"/>
        <w:spacing w:before="360" w:after="120"/>
      </w:pPr>
      <w:r>
        <w:rPr>
          <w:rFonts w:ascii="Times New Roman" w:hAnsi="Times New Roman"/>
          <w:color w:val="000000"/>
        </w:rPr>
        <w:t>2. Resultados e Discussão</w:t>
      </w:r>
    </w:p>
    <w:p>
      <w:pPr>
        <w:jc w:val="both"/>
      </w:pPr>
      <w:r>
        <w:rPr>
          <w:rFonts w:ascii="Times New Roman" w:hAnsi="Times New Roman"/>
          <w:b w:val="0"/>
          <w:i w:val="0"/>
          <w:sz w:val="24"/>
        </w:rPr>
        <w:t>A simulação de produção do complexo DN773-GORE12T foi conduzida por 100 ns a 300 K e pH 8,2. A trajetória completa foi processada e analisada quanto à estabilidade conformacional, integridade da interface receptor–ligante e posicionamento do peptídeo em relação aos quatro resíduos de interesse do sítio catalítico do DN773.</w:t>
      </w:r>
    </w:p>
    <w:p>
      <w:pPr>
        <w:pStyle w:val="Heading2"/>
        <w:spacing w:before="360" w:after="120"/>
      </w:pPr>
      <w:r>
        <w:rPr>
          <w:rFonts w:ascii="Times New Roman" w:hAnsi="Times New Roman"/>
          <w:color w:val="000000"/>
        </w:rPr>
        <w:t>2.1 Estabilidade estrutural</w:t>
      </w:r>
    </w:p>
    <w:p>
      <w:pPr>
        <w:jc w:val="both"/>
      </w:pPr>
      <w:r>
        <w:rPr>
          <w:rFonts w:ascii="Times New Roman" w:hAnsi="Times New Roman"/>
          <w:b w:val="0"/>
          <w:i w:val="0"/>
          <w:sz w:val="24"/>
        </w:rPr>
        <w:t>O RMSD do backbone do receptor estabilizou-se em 0,328 ± 0,039 nm após aproximadamente 10 ns de equilíbrio inicial, com uma elevação transitória entre 30 e 40 ns (pico próximo de 0,39 nm) seguida de retorno ao platô. Esse valor situa-se acima do critério mais rígido de estabilidade (RMSD &lt; 0,3 nm) adotado nas análises anteriores da série, porém permanece consideravelmente abaixo do limiar de 0,5 nm associado a dissociação — não há, portanto, evidência de perda de complexo ao longo dos 100 ns. Em comparação com os complexos GORE4 previamente caracterizados na mesma série (QCL936: 0,124 ± 0,017 nm; ACR157: 0,165 ± 0,016 nm; XP273: 0,248 ± 0,045 nm), o DN773-GORE12T apresenta backbone notavelmente mais móvel. Essa diferença é consistente com o tamanho do ligante: enquanto os peptídeos GORE4 (5 resíduos) exercem perturbação mínima sobre o receptor, o GORE12T (75 resíduos) constitui um parceiro de ligação volumoso, com superfície de contato e massa comparáveis às do próprio domínio catalítico, impondo maior mobilidade global ao complexo.</w:t>
      </w:r>
    </w:p>
    <w:p>
      <w:pPr>
        <w:jc w:val="both"/>
      </w:pPr>
      <w:r>
        <w:rPr>
          <w:rFonts w:ascii="Times New Roman" w:hAnsi="Times New Roman"/>
          <w:b w:val="0"/>
          <w:i w:val="0"/>
          <w:sz w:val="24"/>
        </w:rPr>
        <w:t>O RMSD do ligante apresentou média de 0,450 ± 0,075 nm, com dois períodos de maior amplitude (pico próximo de 0,60 nm em 10–20 ns e de 0,55 nm em torno de 60 ns). Esse valor é superior ao observado para os peptídeos curtos da série GORE4 (0,2–0,4 nm), resultado esperado dado que o GORE12T, ao contrário de um peptídeo de 5 resíduos praticamente rígido, possui flexibilidade conformacional interna própria — parte da variação de RMSD reflete reorganização estrutural do próprio ligante, não apenas deslocamento em relação ao receptor.</w:t>
      </w:r>
    </w:p>
    <w:p>
      <w:pPr>
        <w:jc w:val="both"/>
      </w:pPr>
      <w:r>
        <w:rPr>
          <w:rFonts w:ascii="Times New Roman" w:hAnsi="Times New Roman"/>
          <w:b w:val="0"/>
          <w:i w:val="0"/>
          <w:sz w:val="24"/>
        </w:rPr>
        <w:t>O raio de giro do receptor apresentou tendência discreta de queda ao longo da simulação (de aproximadamente 1,86 nm em t = 0 para 1,80 nm em t = 100 ns; média global de 1,827 ± 0,022 nm), sugerindo leve compactação estrutural progressiva, sem sinais de desenovelamento ou expansão anômala. A análise de RMSF por resíduo revelou que o pico de maior flutuação do receptor situa-se na região dos resíduos 73–92 (RMSF de até 0,34 nm), e não em torno de 250–260 como descrito anteriormente — essa faixa apresenta, na verdade, valores baixos (0,05–0,10 nm). No ligante GORE12T (75 resíduos), a mobilidade elevada não se restringe ao C-terminal: ambas as extremidades do peptídeo exibem RMSF alto — N-terminal (resíduos 258–267, pico de 0,445 nm no resíduo 258) e C-terminal (resíduos 322–328, pico de 0,543 nm no resíduo 326) — enquanto a porção central do peptídeo (resíduos ~278–320), mais inserida na interface de ligação, apresenta flutuação baixa (0,06–0,15 nm), padrão consistente com uma cadeia estendida ancorada pelo núcleo central e com as extremidades livres mais móveis.</w:t>
      </w:r>
    </w:p>
    <w:p>
      <w:pPr>
        <w:pStyle w:val="Heading2"/>
        <w:spacing w:before="360" w:after="120"/>
      </w:pPr>
      <w:r>
        <w:rPr>
          <w:rFonts w:ascii="Times New Roman" w:hAnsi="Times New Roman"/>
          <w:color w:val="000000"/>
        </w:rPr>
        <w:t>2.2 Interface receptor–ligante</w:t>
      </w:r>
    </w:p>
    <w:p>
      <w:pPr>
        <w:jc w:val="both"/>
      </w:pPr>
      <w:r>
        <w:rPr>
          <w:rFonts w:ascii="Times New Roman" w:hAnsi="Times New Roman"/>
          <w:b w:val="0"/>
          <w:i w:val="0"/>
          <w:sz w:val="24"/>
        </w:rPr>
        <w:t>O número de contatos receptor–ligante (pares atômicos &lt; 0,4 nm) apresentou média de 720,1 ± 169,7 átomos, com uma tendência de crescimento consistente ao longo da trajetória: partindo de aproximadamente 500 átomos nos primeiros nanossegundos, o valor atinge patamares acima de 1000 átomos entre 90 e 100 ns. O número de pontes de hidrogênio receptor–ligante acompanhou o mesmo padrão, com média de 6,214 ± 2,173 e elevação visível de aproximadamente 4–6 para 8–10 pontes na última fração da simulação. Essa trajetória ascendente, ainda sem sinal claro de platô ao final dos 100 ns, sugere que a interface DN773-GORE12T continua se consolidando ao final da janela simulada — ao contrário dos complexos GORE4 mais curtos, cuja interface reduzida atinge equilíbrio dentro de poucas dezenas de nanossegundos, um ligante de 75 resíduos possui um número maior de graus de liberdade de reorientação de superfície, o que pode requerer tempo de simulação mais longo para amostragem completa do espaço de contato.</w:t>
      </w:r>
    </w:p>
    <w:p>
      <w:pPr>
        <w:jc w:val="both"/>
      </w:pPr>
      <w:r>
        <w:rPr>
          <w:rFonts w:ascii="Times New Roman" w:hAnsi="Times New Roman"/>
          <w:b w:val="0"/>
          <w:i w:val="0"/>
          <w:sz w:val="24"/>
        </w:rPr>
        <w:t>A área acessível ao solvente (SASA) do ligante oscilou entre aproximadamente 40 e 46 nm² (média de 42,593 ± 1,861 nm²), com dois vales de maior enterramento em torno de 25–35 ns e de 85–100 ns — períodos que coincidem com os momentos de maior número de contatos e pontes de hidrogênio, reforçando a consistência interna das métricas de interface. A SASA do receptor acompanhou a tendência de queda do raio de giro, reduzindo-se de aproximadamente 147 para 130 nm² ao longo da simulação.</w:t>
      </w:r>
    </w:p>
    <w:p>
      <w:pPr>
        <w:pStyle w:val="Heading2"/>
        <w:spacing w:before="360" w:after="120"/>
      </w:pPr>
      <w:r>
        <w:rPr>
          <w:rFonts w:ascii="Times New Roman" w:hAnsi="Times New Roman"/>
          <w:color w:val="000000"/>
        </w:rPr>
        <w:t>2.3 Posicionamento no sítio catalítico</w:t>
      </w:r>
    </w:p>
    <w:p>
      <w:pPr>
        <w:jc w:val="both"/>
      </w:pPr>
      <w:r>
        <w:rPr>
          <w:rFonts w:ascii="Times New Roman" w:hAnsi="Times New Roman"/>
          <w:b w:val="0"/>
          <w:i w:val="0"/>
          <w:sz w:val="24"/>
        </w:rPr>
        <w:t>A análise das distâncias mínimas entre o ligante e os quatro resíduos monitorados do sítio catalítico do DN773 revelou um padrão de ancoragem assimétrico. A His69 manteve distância média de 0,338 ± 0,06 nm ao longo de praticamente toda a trajetória, permanecendo de forma consistente abaixo do limiar de 0,5 nm adotado como critério de contato catalítico direto — engajamento estável e sustentado da histidina catalítica. A Ser213 apresentou distância média de 0,549 ± 0,09 nm, valor limítrofe em relação ao corte de 0,5 nm, com oscilações que cruzam esse limiar em ambos os sentidos ao longo da simulação, caracterizando contato intermitente. O Asp116 manteve distância média de 0,762 ± 0,10 nm, sem aproximação relevante do ligante em nenhuma fase da trajetória. A Gly207, resíduo que ocupa o bolsão S1 nesta isoforma, apresentou a maior distância média entre os quatro resíduos monitorados — 1,280 ± 0,11 nm —, permanecendo consistentemente distante da interface ao longo de toda a simulação.</w:t>
      </w:r>
    </w:p>
    <w:p>
      <w:pPr>
        <w:jc w:val="both"/>
      </w:pPr>
      <w:r>
        <w:rPr>
          <w:rFonts w:ascii="Times New Roman" w:hAnsi="Times New Roman"/>
          <w:b w:val="0"/>
          <w:i w:val="0"/>
          <w:sz w:val="24"/>
        </w:rPr>
        <w:t>O desengajamento quase completo da Gly207 é um achado mecanisticamente relevante. Entre as isoformas da série de tripsinas digestivas de Spodoptera já caracterizadas, o bolsão S1 é ocupado por resíduos com cadeia lateral volumosa ou carregada — Ile205 (ACR157), Asp241 (QCL936), Ile229 (XP273) —, capazes de estabelecer contato direto (&lt; 0,5 nm) com o ligante e de funcionar como âncora eletrostática ou estérica do reconhecimento de substrato. O DN773 constitui exceção: a glicina não possui cadeia lateral além de um átomo de hidrogênio, de modo que fisicamente não há como o resíduo alcançar e reter o ligante à mesma distância que um resíduo volumoso alcançaria. A distância média de 1,280 nm observada é, portanto, consequência direta e esperada dessa limitação estrutural, não um artefato da simulação.</w:t>
      </w:r>
    </w:p>
    <w:p>
      <w:pPr>
        <w:jc w:val="both"/>
      </w:pPr>
      <w:r>
        <w:rPr>
          <w:rFonts w:ascii="Times New Roman" w:hAnsi="Times New Roman"/>
          <w:b w:val="0"/>
          <w:i w:val="0"/>
          <w:sz w:val="24"/>
        </w:rPr>
        <w:t>Como consequência, o mecanismo de reconhecimento do DN773-GORE12T diverge do padrão observado nos demais complexos da série. Nos complexos GORE4 anteriores, o modo predominante combina o engajamento da histidina catalítica com o bloqueio do bolsão S1 (modo His + S1, observado em QCL936-GORE4 e, de forma parcial, em ACR157-GORE4). No DN773-GORE12T, a ausência de contato do bolsão S1 desloca o mecanismo para uma ancoragem quase exclusiva pela His69, com contribuição parcial e intermitente da Ser213 — um modo de reconhecimento de natureza distinta, no qual a especificidade de ligação não pode ser mediada pelo bolsão S1 e deve depender de outras regiões da interface, compatível com a extensão de contato observada (720 átomos, mais que o dobro do registrado para os complexos GORE4 de peptídeo curto) e com a superfície adicional oferecida pelos 75 resíduos do GORE12T fora do núcleo catalítico imediato.</w:t>
      </w:r>
    </w:p>
    <w:p>
      <w:pPr>
        <w:pStyle w:val="Heading2"/>
        <w:spacing w:before="360" w:after="120"/>
      </w:pPr>
      <w:r>
        <w:rPr>
          <w:rFonts w:ascii="Times New Roman" w:hAnsi="Times New Roman"/>
          <w:color w:val="000000"/>
        </w:rPr>
        <w:t>2.4 Painel de resultados</w:t>
      </w:r>
    </w:p>
    <w:p>
      <w:pPr>
        <w:jc w:val="both"/>
      </w:pPr>
      <w:r>
        <w:rPr>
          <w:rFonts w:ascii="Times New Roman" w:hAnsi="Times New Roman"/>
          <w:b w:val="0"/>
          <w:i w:val="0"/>
          <w:sz w:val="24"/>
        </w:rPr>
        <w:t>A Figura 1 apresenta o painel composto de análises conformacionais e de interface para o complexo DN773-GORE12T ao longo dos 100 ns de produção.</w:t>
      </w:r>
    </w:p>
    <w:p>
      <w:r>
        <w:drawing>
          <wp:inline xmlns:a="http://schemas.openxmlformats.org/drawingml/2006/main" xmlns:pic="http://schemas.openxmlformats.org/drawingml/2006/picture">
            <wp:extent cx="5580000" cy="7886935"/>
            <wp:docPr id="1" name="Picture 1"/>
            <wp:cNvGraphicFramePr>
              <a:graphicFrameLocks noChangeAspect="1"/>
            </wp:cNvGraphicFramePr>
            <a:graphic>
              <a:graphicData uri="http://schemas.openxmlformats.org/drawingml/2006/picture">
                <pic:pic>
                  <pic:nvPicPr>
                    <pic:cNvPr id="0" name="painel_completo.png"/>
                    <pic:cNvPicPr/>
                  </pic:nvPicPr>
                  <pic:blipFill>
                    <a:blip r:embed="rId9"/>
                    <a:stretch>
                      <a:fillRect/>
                    </a:stretch>
                  </pic:blipFill>
                  <pic:spPr>
                    <a:xfrm>
                      <a:off x="0" y="0"/>
                      <a:ext cx="5580000" cy="7886935"/>
                    </a:xfrm>
                    <a:prstGeom prst="rect"/>
                  </pic:spPr>
                </pic:pic>
              </a:graphicData>
            </a:graphic>
          </wp:inline>
        </w:drawing>
      </w:r>
    </w:p>
    <w:p>
      <w:pPr>
        <w:jc w:val="center"/>
      </w:pPr>
      <w:r>
        <w:rPr>
          <w:rFonts w:ascii="Times New Roman" w:hAnsi="Times New Roman"/>
          <w:i/>
          <w:sz w:val="20"/>
        </w:rPr>
        <w:t>Figura 1. Painel de análises do complexo DN773-GORE12T (100 ns, pH 8,2, KCl 0,10 M). RMSD do backbone e do ligante; RMSF por resíduo; raio de giro; contatos receptor–ligante (&lt; 0,4 nm); pontes de hidrogênio; SASA do receptor e do ligante; distâncias aos quatro resíduos do sítio catalítico (His69, Asp116, Ser213, Gly207/S1) e ocupância média da tríade.</w:t>
      </w:r>
    </w:p>
    <w:p>
      <w:pPr>
        <w:pStyle w:val="Heading2"/>
        <w:spacing w:before="360" w:after="120"/>
      </w:pPr>
      <w:r>
        <w:rPr>
          <w:rFonts w:ascii="Times New Roman" w:hAnsi="Times New Roman"/>
          <w:color w:val="000000"/>
        </w:rPr>
        <w:t>2.5 Síntese comparativa</w:t>
      </w:r>
    </w:p>
    <w:p>
      <w:pPr>
        <w:jc w:val="both"/>
      </w:pPr>
      <w:r>
        <w:rPr>
          <w:rFonts w:ascii="Times New Roman" w:hAnsi="Times New Roman"/>
          <w:b w:val="0"/>
          <w:i w:val="0"/>
          <w:sz w:val="24"/>
        </w:rPr>
        <w:t>A Tabela 1 resume os parâmetros quantitativos do complexo DN773-GORE12T, para referência junto aos demais sistemas da série caracterizados anteriormente pelo pipeline MD-gromacs.</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Pr>
                <w:rFonts w:ascii="Times New Roman" w:hAnsi="Times New Roman"/>
                <w:b/>
                <w:sz w:val="20"/>
              </w:rPr>
              <w:t>Sistema</w:t>
            </w:r>
          </w:p>
        </w:tc>
        <w:tc>
          <w:tcPr>
            <w:tcW w:type="dxa" w:w="1344"/>
          </w:tcPr>
          <w:p>
            <w:pPr>
              <w:jc w:val="center"/>
            </w:pPr>
            <w:r>
              <w:rPr>
                <w:rFonts w:ascii="Times New Roman" w:hAnsi="Times New Roman"/>
                <w:b/>
                <w:sz w:val="20"/>
              </w:rPr>
              <w:t>Duração</w:t>
            </w:r>
          </w:p>
        </w:tc>
        <w:tc>
          <w:tcPr>
            <w:tcW w:type="dxa" w:w="1344"/>
          </w:tcPr>
          <w:p>
            <w:pPr>
              <w:jc w:val="center"/>
            </w:pPr>
            <w:r>
              <w:rPr>
                <w:rFonts w:ascii="Times New Roman" w:hAnsi="Times New Roman"/>
                <w:b/>
                <w:sz w:val="20"/>
              </w:rPr>
              <w:t>RMSD bb (nm)</w:t>
            </w:r>
          </w:p>
        </w:tc>
        <w:tc>
          <w:tcPr>
            <w:tcW w:type="dxa" w:w="1344"/>
          </w:tcPr>
          <w:p>
            <w:pPr>
              <w:jc w:val="center"/>
            </w:pPr>
            <w:r>
              <w:rPr>
                <w:rFonts w:ascii="Times New Roman" w:hAnsi="Times New Roman"/>
                <w:b/>
                <w:sz w:val="20"/>
              </w:rPr>
              <w:t>RMSD lig (nm)</w:t>
            </w:r>
          </w:p>
        </w:tc>
        <w:tc>
          <w:tcPr>
            <w:tcW w:type="dxa" w:w="1344"/>
          </w:tcPr>
          <w:p>
            <w:pPr>
              <w:jc w:val="center"/>
            </w:pPr>
            <w:r>
              <w:rPr>
                <w:rFonts w:ascii="Times New Roman" w:hAnsi="Times New Roman"/>
                <w:b/>
                <w:sz w:val="20"/>
              </w:rPr>
              <w:t>Contatos</w:t>
            </w:r>
          </w:p>
        </w:tc>
        <w:tc>
          <w:tcPr>
            <w:tcW w:type="dxa" w:w="1344"/>
          </w:tcPr>
          <w:p>
            <w:pPr>
              <w:jc w:val="center"/>
            </w:pPr>
            <w:r>
              <w:rPr>
                <w:rFonts w:ascii="Times New Roman" w:hAnsi="Times New Roman"/>
                <w:b/>
                <w:sz w:val="20"/>
              </w:rPr>
              <w:t>H-bonds</w:t>
            </w:r>
          </w:p>
        </w:tc>
        <w:tc>
          <w:tcPr>
            <w:tcW w:type="dxa" w:w="1344"/>
          </w:tcPr>
          <w:p>
            <w:pPr>
              <w:jc w:val="center"/>
            </w:pPr>
            <w:r>
              <w:rPr>
                <w:rFonts w:ascii="Times New Roman" w:hAnsi="Times New Roman"/>
                <w:b/>
                <w:sz w:val="20"/>
              </w:rPr>
              <w:t>Status</w:t>
            </w:r>
          </w:p>
        </w:tc>
      </w:tr>
      <w:tr>
        <w:tc>
          <w:tcPr>
            <w:tcW w:type="dxa" w:w="1344"/>
          </w:tcPr>
          <w:p>
            <w:pPr>
              <w:jc w:val="center"/>
            </w:pPr>
            <w:r>
              <w:rPr>
                <w:rFonts w:ascii="Times New Roman" w:hAnsi="Times New Roman"/>
                <w:sz w:val="20"/>
              </w:rPr>
              <w:t>DN773-GORE12T</w:t>
            </w:r>
          </w:p>
        </w:tc>
        <w:tc>
          <w:tcPr>
            <w:tcW w:type="dxa" w:w="1344"/>
          </w:tcPr>
          <w:p>
            <w:pPr>
              <w:jc w:val="center"/>
            </w:pPr>
            <w:r>
              <w:rPr>
                <w:rFonts w:ascii="Times New Roman" w:hAnsi="Times New Roman"/>
                <w:sz w:val="20"/>
              </w:rPr>
              <w:t>100 ns</w:t>
            </w:r>
          </w:p>
        </w:tc>
        <w:tc>
          <w:tcPr>
            <w:tcW w:type="dxa" w:w="1344"/>
          </w:tcPr>
          <w:p>
            <w:pPr>
              <w:jc w:val="center"/>
            </w:pPr>
            <w:r>
              <w:rPr>
                <w:rFonts w:ascii="Times New Roman" w:hAnsi="Times New Roman"/>
                <w:sz w:val="20"/>
              </w:rPr>
              <w:t>0,328 ± 0,039</w:t>
            </w:r>
          </w:p>
        </w:tc>
        <w:tc>
          <w:tcPr>
            <w:tcW w:type="dxa" w:w="1344"/>
          </w:tcPr>
          <w:p>
            <w:pPr>
              <w:jc w:val="center"/>
            </w:pPr>
            <w:r>
              <w:rPr>
                <w:rFonts w:ascii="Times New Roman" w:hAnsi="Times New Roman"/>
                <w:sz w:val="20"/>
              </w:rPr>
              <w:t>0,450 ± 0,075</w:t>
            </w:r>
          </w:p>
        </w:tc>
        <w:tc>
          <w:tcPr>
            <w:tcW w:type="dxa" w:w="1344"/>
          </w:tcPr>
          <w:p>
            <w:pPr>
              <w:jc w:val="center"/>
            </w:pPr>
            <w:r>
              <w:rPr>
                <w:rFonts w:ascii="Times New Roman" w:hAnsi="Times New Roman"/>
                <w:sz w:val="20"/>
              </w:rPr>
              <w:t>720 ± 170</w:t>
            </w:r>
          </w:p>
        </w:tc>
        <w:tc>
          <w:tcPr>
            <w:tcW w:type="dxa" w:w="1344"/>
          </w:tcPr>
          <w:p>
            <w:pPr>
              <w:jc w:val="center"/>
            </w:pPr>
            <w:r>
              <w:rPr>
                <w:rFonts w:ascii="Times New Roman" w:hAnsi="Times New Roman"/>
                <w:sz w:val="20"/>
              </w:rPr>
              <w:t>6,21 ± 2,17</w:t>
            </w:r>
          </w:p>
        </w:tc>
        <w:tc>
          <w:tcPr>
            <w:tcW w:type="dxa" w:w="1344"/>
          </w:tcPr>
          <w:p>
            <w:pPr>
              <w:jc w:val="center"/>
            </w:pPr>
            <w:r>
              <w:rPr>
                <w:rFonts w:ascii="Times New Roman" w:hAnsi="Times New Roman"/>
                <w:sz w:val="20"/>
              </w:rPr>
              <w:t>estável</w:t>
            </w:r>
          </w:p>
        </w:tc>
      </w:tr>
      <w:tr>
        <w:tc>
          <w:tcPr>
            <w:tcW w:type="dxa" w:w="1344"/>
          </w:tcPr>
          <w:p>
            <w:r>
              <w:t>DN773-GORE12T (réplica 2)</w:t>
            </w:r>
          </w:p>
        </w:tc>
        <w:tc>
          <w:tcPr>
            <w:tcW w:type="dxa" w:w="1344"/>
          </w:tcPr>
          <w:p>
            <w:r>
              <w:t>100 ns</w:t>
            </w:r>
          </w:p>
        </w:tc>
        <w:tc>
          <w:tcPr>
            <w:tcW w:type="dxa" w:w="1344"/>
          </w:tcPr>
          <w:p>
            <w:r>
              <w:t>0,282 ± 0,021</w:t>
            </w:r>
          </w:p>
        </w:tc>
        <w:tc>
          <w:tcPr>
            <w:tcW w:type="dxa" w:w="1344"/>
          </w:tcPr>
          <w:p>
            <w:r>
              <w:t>0,390 ± 0,035</w:t>
            </w:r>
          </w:p>
        </w:tc>
        <w:tc>
          <w:tcPr>
            <w:tcW w:type="dxa" w:w="1344"/>
          </w:tcPr>
          <w:p>
            <w:r>
              <w:t>757,6 ± 115,8</w:t>
            </w:r>
          </w:p>
        </w:tc>
        <w:tc>
          <w:tcPr>
            <w:tcW w:type="dxa" w:w="1344"/>
          </w:tcPr>
          <w:p>
            <w:r>
              <w:t>7,53 ± 1,93</w:t>
            </w:r>
          </w:p>
        </w:tc>
        <w:tc>
          <w:tcPr>
            <w:tcW w:type="dxa" w:w="1344"/>
          </w:tcPr>
          <w:p>
            <w:r>
              <w:t>estável (platô confirmado)</w:t>
            </w:r>
          </w:p>
        </w:tc>
      </w:tr>
      <w:tr>
        <w:tc>
          <w:tcPr>
            <w:tcW w:type="dxa" w:w="1344"/>
          </w:tcPr>
          <w:p>
            <w:r>
              <w:t>DN1441-GORE12T</w:t>
            </w:r>
          </w:p>
        </w:tc>
        <w:tc>
          <w:tcPr>
            <w:tcW w:type="dxa" w:w="1344"/>
          </w:tcPr>
          <w:p>
            <w:r>
              <w:t>100 ns</w:t>
            </w:r>
          </w:p>
        </w:tc>
        <w:tc>
          <w:tcPr>
            <w:tcW w:type="dxa" w:w="1344"/>
          </w:tcPr>
          <w:p>
            <w:r>
              <w:t>0,297 ± 0,028</w:t>
            </w:r>
          </w:p>
        </w:tc>
        <w:tc>
          <w:tcPr>
            <w:tcW w:type="dxa" w:w="1344"/>
          </w:tcPr>
          <w:p>
            <w:r>
              <w:t>0,255 ± 0,031</w:t>
            </w:r>
          </w:p>
        </w:tc>
        <w:tc>
          <w:tcPr>
            <w:tcW w:type="dxa" w:w="1344"/>
          </w:tcPr>
          <w:p>
            <w:r>
              <w:t>551,5 ± 93,7</w:t>
            </w:r>
          </w:p>
        </w:tc>
        <w:tc>
          <w:tcPr>
            <w:tcW w:type="dxa" w:w="1344"/>
          </w:tcPr>
          <w:p>
            <w:r>
              <w:t>2,37 ± 1,19</w:t>
            </w:r>
          </w:p>
        </w:tc>
        <w:tc>
          <w:tcPr>
            <w:tcW w:type="dxa" w:w="1344"/>
          </w:tcPr>
          <w:p>
            <w:r>
              <w:t>estável (interface fraca)</w:t>
            </w:r>
          </w:p>
        </w:tc>
      </w:tr>
      <w:tr>
        <w:tc>
          <w:tcPr>
            <w:tcW w:type="dxa" w:w="1344"/>
          </w:tcPr>
          <w:p>
            <w:r>
              <w:t>DN1937-GORE12T</w:t>
            </w:r>
          </w:p>
        </w:tc>
        <w:tc>
          <w:tcPr>
            <w:tcW w:type="dxa" w:w="1344"/>
          </w:tcPr>
          <w:p>
            <w:r>
              <w:t>100 ns</w:t>
            </w:r>
          </w:p>
        </w:tc>
        <w:tc>
          <w:tcPr>
            <w:tcW w:type="dxa" w:w="1344"/>
          </w:tcPr>
          <w:p>
            <w:r>
              <w:t>0,378 ± 0,026</w:t>
            </w:r>
          </w:p>
        </w:tc>
        <w:tc>
          <w:tcPr>
            <w:tcW w:type="dxa" w:w="1344"/>
          </w:tcPr>
          <w:p>
            <w:r>
              <w:t>0,567 ± 0,041</w:t>
            </w:r>
          </w:p>
        </w:tc>
        <w:tc>
          <w:tcPr>
            <w:tcW w:type="dxa" w:w="1344"/>
          </w:tcPr>
          <w:p>
            <w:r>
              <w:t>525,1 ± 94,6</w:t>
            </w:r>
          </w:p>
        </w:tc>
        <w:tc>
          <w:tcPr>
            <w:tcW w:type="dxa" w:w="1344"/>
          </w:tcPr>
          <w:p>
            <w:r>
              <w:t>8,62 ± 2,66</w:t>
            </w:r>
          </w:p>
        </w:tc>
        <w:tc>
          <w:tcPr>
            <w:tcW w:type="dxa" w:w="1344"/>
          </w:tcPr>
          <w:p>
            <w:r>
              <w:t>estável (tríade intacta)</w:t>
            </w:r>
          </w:p>
        </w:tc>
      </w:tr>
      <w:tr>
        <w:tc>
          <w:tcPr>
            <w:tcW w:type="dxa" w:w="1344"/>
          </w:tcPr>
          <w:p>
            <w:r>
              <w:t>DN2954-GORE12T</w:t>
            </w:r>
          </w:p>
        </w:tc>
        <w:tc>
          <w:tcPr>
            <w:tcW w:type="dxa" w:w="1344"/>
          </w:tcPr>
          <w:p>
            <w:r>
              <w:t>100 ns</w:t>
            </w:r>
          </w:p>
        </w:tc>
        <w:tc>
          <w:tcPr>
            <w:tcW w:type="dxa" w:w="1344"/>
          </w:tcPr>
          <w:p>
            <w:r>
              <w:t>0,282 ± 0,034</w:t>
            </w:r>
          </w:p>
        </w:tc>
        <w:tc>
          <w:tcPr>
            <w:tcW w:type="dxa" w:w="1344"/>
          </w:tcPr>
          <w:p>
            <w:r>
              <w:t>0,222 ± 0,034</w:t>
            </w:r>
          </w:p>
        </w:tc>
        <w:tc>
          <w:tcPr>
            <w:tcW w:type="dxa" w:w="1344"/>
          </w:tcPr>
          <w:p>
            <w:r>
              <w:t>626,5 ± 103,6</w:t>
            </w:r>
          </w:p>
        </w:tc>
        <w:tc>
          <w:tcPr>
            <w:tcW w:type="dxa" w:w="1344"/>
          </w:tcPr>
          <w:p>
            <w:r>
              <w:t>6,07 ± 1,93</w:t>
            </w:r>
          </w:p>
        </w:tc>
        <w:tc>
          <w:tcPr>
            <w:tcW w:type="dxa" w:w="1344"/>
          </w:tcPr>
          <w:p>
            <w:r>
              <w:t>estável (tríade intacta)</w:t>
            </w:r>
          </w:p>
        </w:tc>
      </w:tr>
    </w:tbl>
    <w:p/>
    <w:tbl>
      <w:tblPr>
        <w:tblStyle w:val="LightGrid-Accent1"/>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Pr>
                <w:rFonts w:ascii="Times New Roman" w:hAnsi="Times New Roman"/>
                <w:b/>
                <w:sz w:val="20"/>
              </w:rPr>
              <w:t>Sistema</w:t>
            </w:r>
          </w:p>
        </w:tc>
        <w:tc>
          <w:tcPr>
            <w:tcW w:type="dxa" w:w="1567"/>
          </w:tcPr>
          <w:p>
            <w:pPr>
              <w:jc w:val="center"/>
            </w:pPr>
            <w:r>
              <w:rPr>
                <w:rFonts w:ascii="Times New Roman" w:hAnsi="Times New Roman"/>
                <w:b/>
                <w:sz w:val="20"/>
              </w:rPr>
              <w:t>triad_1 (His)</w:t>
            </w:r>
          </w:p>
        </w:tc>
        <w:tc>
          <w:tcPr>
            <w:tcW w:type="dxa" w:w="1567"/>
          </w:tcPr>
          <w:p>
            <w:pPr>
              <w:jc w:val="center"/>
            </w:pPr>
            <w:r>
              <w:rPr>
                <w:rFonts w:ascii="Times New Roman" w:hAnsi="Times New Roman"/>
                <w:b/>
                <w:sz w:val="20"/>
              </w:rPr>
              <w:t>triad_2 (Asp)</w:t>
            </w:r>
          </w:p>
        </w:tc>
        <w:tc>
          <w:tcPr>
            <w:tcW w:type="dxa" w:w="1567"/>
          </w:tcPr>
          <w:p>
            <w:pPr>
              <w:jc w:val="center"/>
            </w:pPr>
            <w:r>
              <w:rPr>
                <w:rFonts w:ascii="Times New Roman" w:hAnsi="Times New Roman"/>
                <w:b/>
                <w:sz w:val="20"/>
              </w:rPr>
              <w:t>triad_3 (Ser)</w:t>
            </w:r>
          </w:p>
        </w:tc>
        <w:tc>
          <w:tcPr>
            <w:tcW w:type="dxa" w:w="1567"/>
          </w:tcPr>
          <w:p>
            <w:pPr>
              <w:jc w:val="center"/>
            </w:pPr>
            <w:r>
              <w:rPr>
                <w:rFonts w:ascii="Times New Roman" w:hAnsi="Times New Roman"/>
                <w:b/>
                <w:sz w:val="20"/>
              </w:rPr>
              <w:t>triad_4 (S1)</w:t>
            </w:r>
          </w:p>
        </w:tc>
        <w:tc>
          <w:tcPr>
            <w:tcW w:type="dxa" w:w="1567"/>
          </w:tcPr>
          <w:p>
            <w:pPr>
              <w:jc w:val="center"/>
            </w:pPr>
            <w:r>
              <w:rPr>
                <w:rFonts w:ascii="Times New Roman" w:hAnsi="Times New Roman"/>
                <w:b/>
                <w:sz w:val="20"/>
              </w:rPr>
              <w:t>Modo de inibição</w:t>
            </w:r>
          </w:p>
        </w:tc>
      </w:tr>
      <w:tr>
        <w:tc>
          <w:tcPr>
            <w:tcW w:type="dxa" w:w="1567"/>
          </w:tcPr>
          <w:p>
            <w:pPr>
              <w:jc w:val="center"/>
            </w:pPr>
            <w:r>
              <w:rPr>
                <w:rFonts w:ascii="Times New Roman" w:hAnsi="Times New Roman"/>
                <w:sz w:val="20"/>
              </w:rPr>
              <w:t>DN773-GORE12T</w:t>
            </w:r>
          </w:p>
        </w:tc>
        <w:tc>
          <w:tcPr>
            <w:tcW w:type="dxa" w:w="1567"/>
          </w:tcPr>
          <w:p>
            <w:pPr>
              <w:jc w:val="center"/>
            </w:pPr>
            <w:r>
              <w:rPr>
                <w:rFonts w:ascii="Times New Roman" w:hAnsi="Times New Roman"/>
                <w:sz w:val="20"/>
              </w:rPr>
              <w:t>His69 0,338 ✓</w:t>
            </w:r>
          </w:p>
        </w:tc>
        <w:tc>
          <w:tcPr>
            <w:tcW w:type="dxa" w:w="1567"/>
          </w:tcPr>
          <w:p>
            <w:pPr>
              <w:jc w:val="center"/>
            </w:pPr>
            <w:r>
              <w:rPr>
                <w:rFonts w:ascii="Times New Roman" w:hAnsi="Times New Roman"/>
                <w:sz w:val="20"/>
              </w:rPr>
              <w:t>Asp116 0,762 ✗</w:t>
            </w:r>
          </w:p>
        </w:tc>
        <w:tc>
          <w:tcPr>
            <w:tcW w:type="dxa" w:w="1567"/>
          </w:tcPr>
          <w:p>
            <w:pPr>
              <w:jc w:val="center"/>
            </w:pPr>
            <w:r>
              <w:rPr>
                <w:rFonts w:ascii="Times New Roman" w:hAnsi="Times New Roman"/>
                <w:sz w:val="20"/>
              </w:rPr>
              <w:t>Ser213 0,549 ⚠</w:t>
            </w:r>
          </w:p>
        </w:tc>
        <w:tc>
          <w:tcPr>
            <w:tcW w:type="dxa" w:w="1567"/>
          </w:tcPr>
          <w:p>
            <w:pPr>
              <w:jc w:val="center"/>
            </w:pPr>
            <w:r>
              <w:rPr>
                <w:rFonts w:ascii="Times New Roman" w:hAnsi="Times New Roman"/>
                <w:sz w:val="20"/>
              </w:rPr>
              <w:t>Gly207 1,280 ✗</w:t>
            </w:r>
          </w:p>
        </w:tc>
        <w:tc>
          <w:tcPr>
            <w:tcW w:type="dxa" w:w="1567"/>
          </w:tcPr>
          <w:p>
            <w:pPr>
              <w:jc w:val="center"/>
            </w:pPr>
            <w:r>
              <w:rPr>
                <w:rFonts w:ascii="Times New Roman" w:hAnsi="Times New Roman"/>
                <w:sz w:val="20"/>
              </w:rPr>
              <w:t>His predominante</w:t>
            </w:r>
          </w:p>
        </w:tc>
      </w:tr>
      <w:tr>
        <w:tc>
          <w:tcPr>
            <w:tcW w:type="dxa" w:w="1567"/>
          </w:tcPr>
          <w:p>
            <w:r>
              <w:t>DN773-GORE12T (réplica 2)</w:t>
            </w:r>
          </w:p>
        </w:tc>
        <w:tc>
          <w:tcPr>
            <w:tcW w:type="dxa" w:w="1567"/>
          </w:tcPr>
          <w:p>
            <w:r>
              <w:t>His69 0,222 ✓</w:t>
            </w:r>
          </w:p>
        </w:tc>
        <w:tc>
          <w:tcPr>
            <w:tcW w:type="dxa" w:w="1567"/>
          </w:tcPr>
          <w:p>
            <w:r>
              <w:t>Asp116 0,802 ✗</w:t>
            </w:r>
          </w:p>
        </w:tc>
        <w:tc>
          <w:tcPr>
            <w:tcW w:type="dxa" w:w="1567"/>
          </w:tcPr>
          <w:p>
            <w:r>
              <w:t>Ser213 0,457 ✓</w:t>
            </w:r>
          </w:p>
        </w:tc>
        <w:tc>
          <w:tcPr>
            <w:tcW w:type="dxa" w:w="1567"/>
          </w:tcPr>
          <w:p>
            <w:r>
              <w:t>Gly207 1,257 ✗</w:t>
            </w:r>
          </w:p>
        </w:tc>
        <w:tc>
          <w:tcPr>
            <w:tcW w:type="dxa" w:w="1567"/>
          </w:tcPr>
          <w:p>
            <w:r>
              <w:t>His + Ser predominante</w:t>
            </w:r>
          </w:p>
        </w:tc>
      </w:tr>
      <w:tr>
        <w:tc>
          <w:tcPr>
            <w:tcW w:type="dxa" w:w="1567"/>
          </w:tcPr>
          <w:p>
            <w:r>
              <w:t>DN1441-GORE12T</w:t>
            </w:r>
          </w:p>
        </w:tc>
        <w:tc>
          <w:tcPr>
            <w:tcW w:type="dxa" w:w="1567"/>
          </w:tcPr>
          <w:p>
            <w:r>
              <w:t>Asn76 0,337 ✓ (difuso)</w:t>
            </w:r>
          </w:p>
        </w:tc>
        <w:tc>
          <w:tcPr>
            <w:tcW w:type="dxa" w:w="1567"/>
          </w:tcPr>
          <w:p>
            <w:r>
              <w:t>Asp119 0,630 ✗</w:t>
            </w:r>
          </w:p>
        </w:tc>
        <w:tc>
          <w:tcPr>
            <w:tcW w:type="dxa" w:w="1567"/>
          </w:tcPr>
          <w:p>
            <w:r>
              <w:t>Ala216 0,677 ✗</w:t>
            </w:r>
          </w:p>
        </w:tc>
        <w:tc>
          <w:tcPr>
            <w:tcW w:type="dxa" w:w="1567"/>
          </w:tcPr>
          <w:p>
            <w:r>
              <w:t>Asp210 0,743 ✗</w:t>
            </w:r>
          </w:p>
        </w:tc>
        <w:tc>
          <w:tcPr>
            <w:tcW w:type="dxa" w:w="1567"/>
          </w:tcPr>
          <w:p>
            <w:r>
              <w:t>pseudo-protease; hotspot real fora da tétrade (His213 intacto)</w:t>
            </w:r>
          </w:p>
        </w:tc>
      </w:tr>
      <w:tr>
        <w:tc>
          <w:tcPr>
            <w:tcW w:type="dxa" w:w="1567"/>
          </w:tcPr>
          <w:p>
            <w:r>
              <w:t>DN1937-GORE12T</w:t>
            </w:r>
          </w:p>
        </w:tc>
        <w:tc>
          <w:tcPr>
            <w:tcW w:type="dxa" w:w="1567"/>
          </w:tcPr>
          <w:p>
            <w:r>
              <w:t>His69 0,266 ✓</w:t>
            </w:r>
          </w:p>
        </w:tc>
        <w:tc>
          <w:tcPr>
            <w:tcW w:type="dxa" w:w="1567"/>
          </w:tcPr>
          <w:p>
            <w:r>
              <w:t>Asp114 0,582 ✗</w:t>
            </w:r>
          </w:p>
        </w:tc>
        <w:tc>
          <w:tcPr>
            <w:tcW w:type="dxa" w:w="1567"/>
          </w:tcPr>
          <w:p>
            <w:r>
              <w:t>Ser212 0,795 ✗</w:t>
            </w:r>
          </w:p>
        </w:tc>
        <w:tc>
          <w:tcPr>
            <w:tcW w:type="dxa" w:w="1567"/>
          </w:tcPr>
          <w:p>
            <w:r>
              <w:t>Asp206 1,342 ✗</w:t>
            </w:r>
          </w:p>
        </w:tc>
        <w:tc>
          <w:tcPr>
            <w:tcW w:type="dxa" w:w="1567"/>
          </w:tcPr>
          <w:p>
            <w:r>
              <w:t>His predominante (âncora única; S1=Asp não engaja)</w:t>
            </w:r>
          </w:p>
        </w:tc>
      </w:tr>
      <w:tr>
        <w:tc>
          <w:tcPr>
            <w:tcW w:type="dxa" w:w="1567"/>
          </w:tcPr>
          <w:p>
            <w:r>
              <w:t>DN2954-GORE12T</w:t>
            </w:r>
          </w:p>
        </w:tc>
        <w:tc>
          <w:tcPr>
            <w:tcW w:type="dxa" w:w="1567"/>
          </w:tcPr>
          <w:p>
            <w:r>
              <w:t>His79 0,399 ✓ (difuso)</w:t>
            </w:r>
          </w:p>
        </w:tc>
        <w:tc>
          <w:tcPr>
            <w:tcW w:type="dxa" w:w="1567"/>
          </w:tcPr>
          <w:p>
            <w:r>
              <w:t>Asp126 0,765 ✗</w:t>
            </w:r>
          </w:p>
        </w:tc>
        <w:tc>
          <w:tcPr>
            <w:tcW w:type="dxa" w:w="1567"/>
          </w:tcPr>
          <w:p>
            <w:r>
              <w:t>Ser222 0,483 ⚠</w:t>
            </w:r>
          </w:p>
        </w:tc>
        <w:tc>
          <w:tcPr>
            <w:tcW w:type="dxa" w:w="1567"/>
          </w:tcPr>
          <w:p>
            <w:r>
              <w:t>Asp216 0,812 ✗</w:t>
            </w:r>
          </w:p>
        </w:tc>
        <w:tc>
          <w:tcPr>
            <w:tcW w:type="dxa" w:w="1567"/>
          </w:tcPr>
          <w:p>
            <w:r>
              <w:t>His predominante (âncora difusa; S1=Asp não engaja; interface tipo grampo múltiplo)</w:t>
            </w:r>
          </w:p>
        </w:tc>
      </w:tr>
    </w:tbl>
    <w:p>
      <w:pPr>
        <w:pStyle w:val="Heading2"/>
        <w:spacing w:before="360" w:after="120"/>
      </w:pPr>
      <w:r>
        <w:rPr>
          <w:rFonts w:ascii="Times New Roman" w:hAnsi="Times New Roman"/>
          <w:color w:val="000000"/>
        </w:rPr>
        <w:t>2.6 Considerações finais</w:t>
      </w:r>
    </w:p>
    <w:p>
      <w:pPr>
        <w:jc w:val="both"/>
      </w:pPr>
      <w:r>
        <w:rPr>
          <w:rFonts w:ascii="Times New Roman" w:hAnsi="Times New Roman"/>
          <w:b w:val="0"/>
          <w:i w:val="0"/>
          <w:sz w:val="24"/>
        </w:rPr>
        <w:t>O complexo DN773-GORE12T manteve-se associado e sem sinais de dissociação ao longo dos 100 ns de simulação, com interface receptor–ligante em expansão contínua até o final da trajetória — padrão distinto dos complexos peptídeo curto já caracterizados na série, cuja interface atinge equilíbrio precocemente. O achado central desta análise é a confirmação, em nível dinâmico, de que a substituição do resíduo S1 por glicina no DN773 elimina a contribuição desse bolsão ao reconhecimento do ligante, deslocando o mecanismo de ancoragem para a histidina catalítica. A tendência ainda ascendente de contatos e pontes de hidrogênio ao final da janela simulada sugere que uma extensão da produção, ou uma réplica independente, poderia ser útil para confirmar se a interface efetivamente atinge um platô estável em tempos mais longos. Os resultados de MM-GBSA, quando concluídos, permitirão complementar esta análise estrutural com uma estimativa quantitativa da energia livre de ligação e da contribuição por resíduo à afinidade do complexo.</w:t>
      </w:r>
    </w:p>
    <w:p>
      <w:pPr>
        <w:pStyle w:val="Heading1"/>
      </w:pPr>
      <w:r>
        <w:t>3. Segunda Réplica Independente (Confirmação)</w:t>
      </w:r>
    </w:p>
    <w:p>
      <w:r>
        <w:t>Para verificar a robustez das conclusões da primeira simulação e resolver a questão da interface receptor–ligante ainda em expansão ao final dos 100 ns, uma segunda réplica independente de 100 ns foi conduzida a partir da mesma estrutura inicial e do mesmo protocolo (pH 8,2, KCl 0,10 M), com nova atribuição de velocidades na etapa de equilibração NVT.</w:t>
      </w:r>
    </w:p>
    <w:p>
      <w:pPr>
        <w:pStyle w:val="Heading2"/>
      </w:pPr>
      <w:r>
        <w:t>3.1 Estabilidade estrutural</w:t>
      </w:r>
    </w:p>
    <w:p>
      <w:r>
        <w:t>O RMSD do backbone estabilizou-se em 0,282 ± 0,021 nm, valor inferior e com dispersão menor que o observado na primeira réplica (0,328 ± 0,039 nm), indicando convergência conformacional consistente entre as duas simulações independentes. O RMSD do ligante seguiu o mesmo padrão (0,390 ± 0,035 nm contra 0,450 ± 0,075 nm na primeira réplica). O raio de giro médio (1,834 ± 0,011 nm) manteve-se na mesma faixa da primeira réplica, sem sinais de desenovelamento ou expansão anômala.</w:t>
      </w:r>
    </w:p>
    <w:p>
      <w:pPr>
        <w:pStyle w:val="Heading2"/>
      </w:pPr>
      <w:r>
        <w:t>3.2 Interface receptor–ligante: confirmação de platô</w:t>
      </w:r>
    </w:p>
    <w:p>
      <w:r>
        <w:t>Ao contrário da primeira réplica, em que o número de contatos e as pontes de hidrogênio apresentavam tendência de crescimento ainda não estabilizada ao final dos 100 ns, a segunda réplica exibe um pico de contatos entre 60 e 70 ns (média de 757,6 ± 115,8 átomos) seguido de recuo e estabilização até o final da trajetória. As pontes de hidrogênio acompanham o mesmo padrão (média de 7,53 ± 1,93), oscilando em platô entre 6 e 9 pontes na segunda metade da simulação. Esse resultado indica que a interface DN773-GORE12T atinge um platô de contato real dentro de uma janela de 100 ns — a ausência de platô observada na primeira réplica provavelmente refletiu variabilidade estocástica entre réplicas, comum em ligantes com múltiplos graus de liberdade de reorientação de superfície, e não uma limitação sistemática do tempo de simulação.</w:t>
      </w:r>
    </w:p>
    <w:p>
      <w:pPr>
        <w:pStyle w:val="Heading2"/>
      </w:pPr>
      <w:r>
        <w:t>3.3 Posicionamento no sítio catalítico: mecanismo confirmado</w:t>
      </w:r>
    </w:p>
    <w:p>
      <w:r>
        <w:t>As distâncias mínimas aos quatro resíduos monitorados reproduzem o padrão observado na primeira réplica. A His69 manteve distância média de 0,222 ± 0,03 nm, ainda mais próxima do limiar de contato direto que na primeira réplica (0,338 nm), confirmando um engajamento robusto e reprodutível da histidina catalítica. A Ser213 apresentou distância média de 0,457 ± 0,05 nm, desta vez consistentemente abaixo do limiar de 0,5 nm — nesta réplica o contato com a serina catalítica é sustentado, e não apenas intermitente como na primeira. O Asp116 (0,802 ± 0,08 nm) e a Gly207/S1 (1,257 ± 0,09 nm) permaneceram sem aproximação relevante em ambas as réplicas, reforçando que o desengajamento do bolsão S1 nesta isoforma é um resultado reprodutível, e não um artefato de uma única trajetória.</w:t>
      </w:r>
    </w:p>
    <w:p>
      <w:pPr>
        <w:pStyle w:val="Heading2"/>
      </w:pPr>
      <w:r>
        <w:t>3.4 Painel de resultados — segunda réplica</w:t>
      </w:r>
    </w:p>
    <w:p>
      <w:r>
        <w:t>A Figura 2 apresenta o painel composto de análises conformacionais e de interface da segunda réplica do complexo DN773-GORE12T, na mesma estrutura de painéis da Figura 1.</w:t>
      </w:r>
    </w:p>
    <w:p>
      <w:r>
        <w:drawing>
          <wp:inline xmlns:a="http://schemas.openxmlformats.org/drawingml/2006/main" xmlns:pic="http://schemas.openxmlformats.org/drawingml/2006/picture">
            <wp:extent cx="5577840" cy="7883882"/>
            <wp:docPr id="2" name="Picture 2"/>
            <wp:cNvGraphicFramePr>
              <a:graphicFrameLocks noChangeAspect="1"/>
            </wp:cNvGraphicFramePr>
            <a:graphic>
              <a:graphicData uri="http://schemas.openxmlformats.org/drawingml/2006/picture">
                <pic:pic>
                  <pic:nvPicPr>
                    <pic:cNvPr id="0" name="painel_completo.png"/>
                    <pic:cNvPicPr/>
                  </pic:nvPicPr>
                  <pic:blipFill>
                    <a:blip r:embed="rId10"/>
                    <a:stretch>
                      <a:fillRect/>
                    </a:stretch>
                  </pic:blipFill>
                  <pic:spPr>
                    <a:xfrm>
                      <a:off x="0" y="0"/>
                      <a:ext cx="5577840" cy="7883882"/>
                    </a:xfrm>
                    <a:prstGeom prst="rect"/>
                  </pic:spPr>
                </pic:pic>
              </a:graphicData>
            </a:graphic>
          </wp:inline>
        </w:drawing>
      </w:r>
    </w:p>
    <w:p>
      <w:r>
        <w:t>Figura 2. Painel de análises da segunda réplica independente do complexo DN773-GORE12T (100 ns, pH 8,2, KCl 0,10 M). RMSD do backbone e do ligante; RMSF por resíduo; raio de giro; contatos receptor–ligante (&lt; 0,4 nm); pontes de hidrogênio; SASA do receptor e do ligante; distâncias aos quatro resíduos do sítio catalítico (His69, Asp116, Ser213, Gly207/S1) e ocupância média da tríade.</w:t>
      </w:r>
    </w:p>
    <w:p>
      <w:pPr>
        <w:pStyle w:val="Heading2"/>
      </w:pPr>
      <w:r>
        <w:t>3.5 Conclusão consolidada</w:t>
      </w:r>
    </w:p>
    <w:p>
      <w:r>
        <w:t>As duas réplicas independentes de 100 ns convergem para o mesmo mecanismo de reconhecimento: ancoragem predominante pela His69 catalítica, com contribuição da Ser213 (parcial na primeira réplica, sustentada na segunda) e desengajamento total do bolsão S1 em razão da substituição por glicina nesta isoforma. A segunda réplica também resolve a incerteza da primeira quanto à estabilização da interface, demonstrando que o número de contatos e de pontes de hidrogênio atinge um platô real dentro da janela de 100 ns, e não uma tendência de crescimento sem fim. Os resultados de MM-GBSA permanecem pendentes: uma falha recorrente em gmx_MMPBSA impediu o cálculo de energia de ligação em ambas as réplicas — os argumentos de linha de comando chegavam duplicados ao executável porque variáveis de ambiente não atravessam a fronteira do processo isolado do gmx_MMPBSA. A causa raiz foi diagnosticada e corrigida no pipeline após a segunda réplica, com nova tentativa de cálculo em andamento.</w:t>
      </w:r>
    </w:p>
    <w:p>
      <w:pPr>
        <w:pStyle w:val="Heading1"/>
      </w:pPr>
      <w:r>
        <w:t>4. Análises Exploratórias Adicionais (sem MM-GBSA)</w:t>
      </w:r>
    </w:p>
    <w:p>
      <w:r>
        <w:t>O cálculo de MM-GBSA (gmx_MMPBSA/AmberTools) foi abandonado após três tentativas de correção malsucedidas de um mesmo erro de linha de comando (argumentos duplicados na chamada do executável, causa raiz não totalmente identificada). Em substituição, quatro análises adicionais foram implementadas sobre a mesma porção pós-equilíbrio da trajetória da segunda réplica, sem depender de AmberTools/tleap: mapa de contatos por resíduo, perfil farmacofórico da interface, fingerprint de interação via ProLIF, e uma estimativa aproximada de energia livre de ligação via GROMACS nativo (rerun com grupos de energia + Interaction Entropy).</w:t>
      </w:r>
    </w:p>
    <w:p>
      <w:pPr>
        <w:pStyle w:val="Heading2"/>
      </w:pPr>
      <w:r>
        <w:t>4.1 Mapa de contatos por resíduo</w:t>
      </w:r>
    </w:p>
    <w:p>
      <w:r>
        <w:t>A frequência de contato (fração dos frames com distância mínima atômica &lt; 0,4 nm, mesmo critério de ANALYSES) foi calculada para cada par receptor–ligante. A His69 catalítica apresentou contato praticamente constante (frequência 0,945) com um resíduo específico do ligante (Val318), reforçando o papel de âncora principal já identificado pela análise de tríade. Um segundo agrupamento forte de contatos concentra-se na porção C-terminal do ligante (resíduos Ser329–Arg332, frequências entre 0,84 e 0,98) — região contígua ao trecho C-terminal (resíduos 322–328) que já havia se destacado na análise de RMSF por maior mobilidade, embora, como visto, o N-terminal do peptídeo apresente mobilidade igualmente elevada. Do lado do receptor, os contatos mais frequentes recaem sobre Ser232/Pro233 (0,96–1,00), Gly187 (0,96), Phe43 (0,98) e Arg210 (0,90), além da própria His69.</w:t>
      </w:r>
    </w:p>
    <w:p>
      <w:r>
        <w:t>O ligante GORE12T revelou, nesta análise, uma arquitetura de repetição em tándem: a sequência alterna motivos curtos ricos em resíduos básicos (Val-Leu-Arg ou Val-Leu-Lys) com espaçadores flexíveis Gly-Gly-Ser, um padrão típico de linker multivalente. Os picos de contato concentram-se consistentemente nos resíduos Arg/Lys de cada motivo repetido (ex.: Arg260, Lys320, Arg332), não nos espaçadores — sugerindo que cada repetição contribui de forma semelhante ao reconhecimento, com engajamento eletrostático/H-bond dos resíduos básicos contra a superfície do receptor.</w:t>
      </w:r>
    </w:p>
    <w:p>
      <w:r>
        <w:drawing>
          <wp:inline xmlns:a="http://schemas.openxmlformats.org/drawingml/2006/main" xmlns:pic="http://schemas.openxmlformats.org/drawingml/2006/picture">
            <wp:extent cx="2651760" cy="8330136"/>
            <wp:docPr id="3" name="Picture 3"/>
            <wp:cNvGraphicFramePr>
              <a:graphicFrameLocks noChangeAspect="1"/>
            </wp:cNvGraphicFramePr>
            <a:graphic>
              <a:graphicData uri="http://schemas.openxmlformats.org/drawingml/2006/picture">
                <pic:pic>
                  <pic:nvPicPr>
                    <pic:cNvPr id="0" name="contact_map.png"/>
                    <pic:cNvPicPr/>
                  </pic:nvPicPr>
                  <pic:blipFill>
                    <a:blip r:embed="rId11"/>
                    <a:stretch>
                      <a:fillRect/>
                    </a:stretch>
                  </pic:blipFill>
                  <pic:spPr>
                    <a:xfrm>
                      <a:off x="0" y="0"/>
                      <a:ext cx="2651760" cy="8330136"/>
                    </a:xfrm>
                    <a:prstGeom prst="rect"/>
                  </pic:spPr>
                </pic:pic>
              </a:graphicData>
            </a:graphic>
          </wp:inline>
        </w:drawing>
      </w:r>
    </w:p>
    <w:p>
      <w:r>
        <w:t>Figura 3. Mapa de frequência de contato receptor–ligante (numeração PDB). A resolução completa por resíduo está disponível no arquivo contact_map.png em alta resolução.</w:t>
      </w:r>
    </w:p>
    <w:p>
      <w:pPr>
        <w:pStyle w:val="Heading2"/>
      </w:pPr>
      <w:r>
        <w:t>4.2 Perfil farmacofórico da interface</w:t>
      </w:r>
    </w:p>
    <w:p>
      <w:r>
        <w:t>Os resíduos de interface persistentes (frequência de contato ≥ 20% dos frames) foram classificados por tipo de feature farmacofórica (tabela fixa por tipo de resíduo, sem uso de RDKit — trata-se de uma interface peptídeo-peptídeo, não de molécula pequena). O perfil resultante é equilibrado entre os dois lados da interface: doadores de H predominam (14 resíduos do receptor, 11 do ligante), seguidos por aceptores de H (10 e 6, respectivamente) e resíduos hidrofóbicos (13 e 9). Resíduos aromáticos aparecem só do lado do receptor (6 resíduos — Phe43, Phe111, Trp81, Trp163, entre outros, confirmados também na análise de ProLIF abaixo), e resíduos ionizáveis são minoria em ambos os lados (5 positivos e até 2 negativos no receptor; 5 positivos e nenhum negativo no ligante — consistente com o ligante ser rico em Arg/Lys, não em Asp/Glu).</w:t>
      </w:r>
    </w:p>
    <w:p>
      <w:r>
        <w:drawing>
          <wp:inline xmlns:a="http://schemas.openxmlformats.org/drawingml/2006/main" xmlns:pic="http://schemas.openxmlformats.org/drawingml/2006/picture">
            <wp:extent cx="5577840" cy="3058815"/>
            <wp:docPr id="4" name="Picture 4"/>
            <wp:cNvGraphicFramePr>
              <a:graphicFrameLocks noChangeAspect="1"/>
            </wp:cNvGraphicFramePr>
            <a:graphic>
              <a:graphicData uri="http://schemas.openxmlformats.org/drawingml/2006/picture">
                <pic:pic>
                  <pic:nvPicPr>
                    <pic:cNvPr id="0" name="pharmacophore_summary.png"/>
                    <pic:cNvPicPr/>
                  </pic:nvPicPr>
                  <pic:blipFill>
                    <a:blip r:embed="rId12"/>
                    <a:stretch>
                      <a:fillRect/>
                    </a:stretch>
                  </pic:blipFill>
                  <pic:spPr>
                    <a:xfrm>
                      <a:off x="0" y="0"/>
                      <a:ext cx="5577840" cy="3058815"/>
                    </a:xfrm>
                    <a:prstGeom prst="rect"/>
                  </pic:spPr>
                </pic:pic>
              </a:graphicData>
            </a:graphic>
          </wp:inline>
        </w:drawing>
      </w:r>
    </w:p>
    <w:p>
      <w:r>
        <w:t>Figura 4. Contagem de resíduos de interface por tipo de feature farmacofórica, separada por receptor e ligante.</w:t>
      </w:r>
    </w:p>
    <w:p>
      <w:pPr>
        <w:pStyle w:val="Heading2"/>
      </w:pPr>
      <w:r>
        <w:t>4.3 Fingerprint de interação (ProLIF)</w:t>
      </w:r>
    </w:p>
    <w:p>
      <w:r>
        <w:t>O fingerprint de interação ProLIF (ligações de hidrogênio doadoras e aceptoras, contatos hidrofóbicos, empilhamento π, interações iônicas e contatos de van der Waals) foi calculado por frame para identificar o TIPO de interação predominante em cada resíduo, complementando a informação puramente distância-based do mapa de contatos. O Asp76 do receptor destacou-se com interação praticamente constante (contato de van der Waals e ligação de hidrogênio, ambos próximos de 1,0), coerente com seu alto contato observado na análise anterior. Phe43 e Phe111 mostraram forte contribuição hidrofóbica e de van der Waals (próximas de 1,0), identificando um componente de empacotamento aromático na interface que não havia sido destacado na análise de tríade original (que monitora apenas os quatro resíduos catalíticos). A His69 apresentou atividade combinada de ligação de hidrogênio e contato hidrofóbico, reforçando novamente seu papel central no reconhecimento.</w:t>
      </w:r>
    </w:p>
    <w:p>
      <w:r>
        <w:drawing>
          <wp:inline xmlns:a="http://schemas.openxmlformats.org/drawingml/2006/main" xmlns:pic="http://schemas.openxmlformats.org/drawingml/2006/picture">
            <wp:extent cx="4572000" cy="6357998"/>
            <wp:docPr id="5" name="Picture 5"/>
            <wp:cNvGraphicFramePr>
              <a:graphicFrameLocks noChangeAspect="1"/>
            </wp:cNvGraphicFramePr>
            <a:graphic>
              <a:graphicData uri="http://schemas.openxmlformats.org/drawingml/2006/picture">
                <pic:pic>
                  <pic:nvPicPr>
                    <pic:cNvPr id="0" name="prolif_heatmap.png"/>
                    <pic:cNvPicPr/>
                  </pic:nvPicPr>
                  <pic:blipFill>
                    <a:blip r:embed="rId13"/>
                    <a:stretch>
                      <a:fillRect/>
                    </a:stretch>
                  </pic:blipFill>
                  <pic:spPr>
                    <a:xfrm>
                      <a:off x="0" y="0"/>
                      <a:ext cx="4572000" cy="6357998"/>
                    </a:xfrm>
                    <a:prstGeom prst="rect"/>
                  </pic:spPr>
                </pic:pic>
              </a:graphicData>
            </a:graphic>
          </wp:inline>
        </w:drawing>
      </w:r>
    </w:p>
    <w:p>
      <w:r>
        <w:t>Figura 5. Frequência de cada tipo de interação ProLIF por resíduo do receptor (numeração PDB).</w:t>
      </w:r>
    </w:p>
    <w:p>
      <w:pPr>
        <w:pStyle w:val="Heading2"/>
      </w:pPr>
      <w:r>
        <w:t>4.4 Estimativa de energia livre e Kd (aproximação sem solvatação)</w:t>
      </w:r>
    </w:p>
    <w:p>
      <w:r>
        <w:t>Como alternativa ao MM-GBSA, a energia de interação Coulomb-SR + LJ-SR entre receptor e ligante foi recalculada via rerun do GROMACS com grupos de energia definidos (Receptor/Ligante), sobre a mesma subtrajetória reduzida preparada para o MM-GBSA (1167 frames). A correção entrópica foi obtida pelo método Interaction Entropy (Duan, Liu, Zhang, JACS 2016), calculada diretamente da flutuação dessa energia de interação — sem qualquer ferramenta adicional além do GROMACS nativo e numpy.</w:t>
      </w:r>
    </w:p>
    <w:p>
      <w:r>
        <w:t>Resultado: ⟨ΔE_MM⟩ (Coulomb+LJ) = −942,4 ± 88,1 kJ/mol; −TΔS (Interaction Entropy) = +273,2 kJ/mol; ΔG estimado = −669,2 kJ/mol (−159,9 kcal/mol); Kd estimado ≈ 3,06×10⁻¹¹⁷ (unidade molar relativa). Esses valores são, como esperado, fisicamente exagerados: sem um termo de solvatação implícita (PB/GB) para cancelar a maior parte da eletrostática, a energia de interação em vácuo entre duas cadeias carregadas superestima brutalmente a afinidade — exatamente o motivo pelo qual o MM-GBSA/MM-PBSA de verdade inclui esse termo. O próprio script sinalizou instabilidade numérica do método (desvio padrão da energia de interação de 35,3 kT, acima do limiar de 10 kT recomendado na literatura). Esses números não devem ser citados como energia livre de ligação absoluta; seu único uso legítimo é como métrica de comparação relativa entre isoformas da série, calculadas pelo mesmo método, quando as demais isoformas forem processadas de forma equivalente.</w:t>
      </w:r>
    </w:p>
    <w:p>
      <w:r>
        <w:drawing>
          <wp:inline xmlns:a="http://schemas.openxmlformats.org/drawingml/2006/main" xmlns:pic="http://schemas.openxmlformats.org/drawingml/2006/picture">
            <wp:extent cx="5577840" cy="3069487"/>
            <wp:docPr id="6" name="Picture 6"/>
            <wp:cNvGraphicFramePr>
              <a:graphicFrameLocks noChangeAspect="1"/>
            </wp:cNvGraphicFramePr>
            <a:graphic>
              <a:graphicData uri="http://schemas.openxmlformats.org/drawingml/2006/picture">
                <pic:pic>
                  <pic:nvPicPr>
                    <pic:cNvPr id="0" name="interaction_energy.png"/>
                    <pic:cNvPicPr/>
                  </pic:nvPicPr>
                  <pic:blipFill>
                    <a:blip r:embed="rId14"/>
                    <a:stretch>
                      <a:fillRect/>
                    </a:stretch>
                  </pic:blipFill>
                  <pic:spPr>
                    <a:xfrm>
                      <a:off x="0" y="0"/>
                      <a:ext cx="5577840" cy="3069487"/>
                    </a:xfrm>
                    <a:prstGeom prst="rect"/>
                  </pic:spPr>
                </pic:pic>
              </a:graphicData>
            </a:graphic>
          </wp:inline>
        </w:drawing>
      </w:r>
    </w:p>
    <w:p>
      <w:r>
        <w:t>Figura 6. Energia de interação Coulomb-SR + LJ-SR ao longo da subtrajetória usada na estimativa de energia livre.</w:t>
      </w:r>
    </w:p>
    <w:p>
      <w:pPr>
        <w:pStyle w:val="Heading2"/>
      </w:pPr>
      <w:r>
        <w:t>4.5 Síntese das análises adicionais</w:t>
      </w:r>
    </w:p>
    <w:p>
      <w:r>
        <w:t>As quatro análises exploratórias convergem com o que já havia sido estabelecido pela análise de tríade catalítica e reforçam-no com detalhe adicional: a His69 permanece a âncora central do reconhecimento, agora confirmada por três métodos independentes (distância mínima, frequência de contato e fingerprint de interação). Duas contribuições novas emergem que não eram visíveis na análise original de quatro resíduos: um componente de empacotamento aromático via Phe43/Phe111, e uma arquitetura de repetição em tándem do próprio ligante GORE12T (motivos Val-Leu-Arg/Lys separados por linkers Gly-Gly-Ser), cujos resíduos básicos concentram a maior parte do contato com a superfície do receptor. A estimativa de energia livre, embora não utilizável como valor absoluto, já está pronta para servir de métrica relativa quando comparada às demais isoformas da série, assim que processadas pelo mesmo protocolo.</w:t>
      </w:r>
    </w:p>
    <w:p>
      <w:pPr>
        <w:pStyle w:val="Heading1"/>
      </w:pPr>
      <w:r>
        <w:t>5. Isoforma DN1441-GORE12T (candidata a pseudo-protease)</w:t>
      </w:r>
    </w:p>
    <w:p>
      <w:pPr/>
      <w:r>
        <w:t>As isoformas DN1441 e DN1937, descritas nesta e na próxima seção, foram simuladas com o protocolo idêntico ao da Seção 1 — mesma preparação a pH 8,2, mesmo campo de força AMBER99SB-ILDN/TIP3P, caixa cúbica de 2,0 nm, KCl 0,10 M e produção de 100 ns com barostato de Parrinello-Rahman —, alterando-se apenas o receptor, a pose inicial do ligante e os quatro resíduos monitorados no sítio de interesse. O ligante GORE12T é o mesmo peptídeo de 75 resíduos em todas as isoformas; muda somente a pose de ancoragem específica de cada complexo.</w:t>
      </w:r>
    </w:p>
    <w:p>
      <w:pPr>
        <w:pStyle w:val="Heading2"/>
      </w:pPr>
      <w:r>
        <w:t>5.1 Contexto e tétrade monitorada</w:t>
      </w:r>
    </w:p>
    <w:p>
      <w:pPr/>
      <w:r>
        <w:t>O DN1441 distingue-se das demais isoformas por não apresentar a tríade catalítica clássica intacta: nas posições estruturalmente correspondentes a His, Asp, Ser e ao bolsão S1, os resíduos monitorados são Asn76, Asp119, Ala216 e Asp210. A substituição da histidina catalítica por asparagina (posição 76) e da serina catalítica por alanina (posição 216) caracteriza, em princípio, uma pseudo-protease cataliticamente inativa — a ausência do par His–Ser inviabiliza o mecanismo de hidrólise de serino-protease. A tétrade 76/119/216/210 foi mantida como referência de monitoramento por decisão do estudo, apesar da discrepância discutida na Seção 5.3.</w:t>
      </w:r>
    </w:p>
    <w:p>
      <w:pPr>
        <w:pStyle w:val="Heading2"/>
      </w:pPr>
      <w:r>
        <w:t>5.2 Estabilidade estrutural e interface</w:t>
      </w:r>
    </w:p>
    <w:p>
      <w:pPr/>
      <w:r>
        <w:t>O RMSD do backbone estabilizou-se em 0,297 ± 0,028 nm, na mesma faixa das demais isoformas e sem sinais de dissociação ao longo dos 100 ns. O RMSD do ligante foi de 0,255 ± 0,031 nm — o menor de toda a série —, indicando um peptídeo comparativamente mais rígido nesta pose, com menor reorganização conformacional interna. O raio de giro médio (1,834 nm) confirma a ausência de expansão ou colapso estrutural.</w:t>
      </w:r>
    </w:p>
    <w:p>
      <w:pPr/>
      <w:r>
        <w:t>A interface receptor–ligante, entretanto, é sensivelmente mais fraca que a do DN773. O número de contatos (pares atômicos &lt; 0,4 nm) foi de 551,5 ± 93,7 átomos — cerca de 27% menos que a réplica 2 do DN773 (757,6) — e as pontes de hidrogênio caíram para 2,37 ± 1,19, aproximadamente um terço do valor do DN773 (7,53). A SASA do receptor e do ligante (133,5 e 40,4 nm², respectivamente) acompanha um encaixe mais superficial e estático. O conjunto sugere um complexo estável, porém com interface menos consolidada e menor densidade de interações direcionais que os complexos com tríade intacta.</w:t>
      </w:r>
    </w:p>
    <w:p>
      <w:pPr>
        <w:pStyle w:val="Heading2"/>
      </w:pPr>
      <w:r>
        <w:t>5.3 Posicionamento e discrepância tétrade × mapa de contatos</w:t>
      </w:r>
    </w:p>
    <w:p>
      <w:pPr/>
      <w:r>
        <w:t>A análise de distância mínima entre o ligante e cada resíduo da tétrade mostra que apenas a Asn76 mantém proximidade relevante (distância média de 0,337 nm; contato &lt; 0,4 nm em 82,4% dos frames), enquanto Asp119 (0,630 nm), Ala216 (0,677 nm) e Asp210 (0,743 nm) permanecem sem aproximação significativa ao longo de toda a trajetória.</w:t>
      </w:r>
    </w:p>
    <w:p>
      <w:pPr/>
      <w:r>
        <w:t>O mapa de contatos por par de resíduos (CONTACT_MAP), porém, aponta o principal agrupamento de interface fora da tétrade monitorada: os resíduos de maior frequência de contato são Asn190 (0,99), Ile234 (0,96), Phe232 (0,95), Cys236 (0,92), His213 (0,85), Ala116 (0,85), Tyr241 (0,84) e Ile189 (0,89). Nenhum deles pertence à tétrade 76/119/216/210, cujos máximos de contato específico são próximos de zero. A reconciliação parcial é que a Asn76 fica próxima do ligante em muitos frames (mindist baixo) mas sem se fixar em um único parceiro — um contato difuso, não uma âncora específica como a His69 do DN773. O achado de maior relevância é a presença de uma histidina intacta (His213) entre os dois maiores hotspots da interface, o que abre a hipótese de que a tétrade funcional real do DN1441 esteja deslocada em relação à tétrade nominal monitorada, e que a isoforma não seja necessariamente uma pseudo-protease inerte. Essa hipótese foi registrada, mas a tétrade de referência foi mantida como está, e a questão permanece em aberto para investigação dirigida futura.</w:t>
      </w:r>
    </w:p>
    <w:p>
      <w:pPr>
        <w:pStyle w:val="Heading2"/>
      </w:pPr>
      <w:r>
        <w:t>5.4 Painel de resultados — DN1441</w:t>
      </w:r>
    </w:p>
    <w:p>
      <w:r>
        <w:drawing>
          <wp:inline xmlns:a="http://schemas.openxmlformats.org/drawingml/2006/main" xmlns:pic="http://schemas.openxmlformats.org/drawingml/2006/picture">
            <wp:extent cx="5580000" cy="7886935"/>
            <wp:docPr id="7" name="Picture 7"/>
            <wp:cNvGraphicFramePr>
              <a:graphicFrameLocks noChangeAspect="1"/>
            </wp:cNvGraphicFramePr>
            <a:graphic>
              <a:graphicData uri="http://schemas.openxmlformats.org/drawingml/2006/picture">
                <pic:pic>
                  <pic:nvPicPr>
                    <pic:cNvPr id="0" name="painel_completo.png"/>
                    <pic:cNvPicPr/>
                  </pic:nvPicPr>
                  <pic:blipFill>
                    <a:blip r:embed="rId15"/>
                    <a:stretch>
                      <a:fillRect/>
                    </a:stretch>
                  </pic:blipFill>
                  <pic:spPr>
                    <a:xfrm>
                      <a:off x="0" y="0"/>
                      <a:ext cx="5580000" cy="7886935"/>
                    </a:xfrm>
                    <a:prstGeom prst="rect"/>
                  </pic:spPr>
                </pic:pic>
              </a:graphicData>
            </a:graphic>
          </wp:inline>
        </w:drawing>
      </w:r>
    </w:p>
    <w:p>
      <w:pPr/>
      <w:r>
        <w:t>Figura 7. Painel de análises do complexo DN1441-GORE12T (100 ns, pH 8,2, KCl 0,10 M). RMSD do backbone e do ligante; RMSF por resíduo; raio de giro; contatos receptor–ligante (&lt; 0,4 nm); pontes de hidrogênio; SASA do receptor e do ligante; distâncias aos quatro resíduos monitorados (Asn76, Asp119, Ala216, Asp210/S1).</w:t>
      </w:r>
    </w:p>
    <w:p>
      <w:pPr>
        <w:pStyle w:val="Heading1"/>
      </w:pPr>
      <w:r>
        <w:t>6. Isoforma DN1937-GORE12T (tríade catalítica clássica intacta)</w:t>
      </w:r>
    </w:p>
    <w:p>
      <w:pPr>
        <w:pStyle w:val="Heading2"/>
      </w:pPr>
      <w:r>
        <w:t>6.1 Contexto e tríade catalítica</w:t>
      </w:r>
    </w:p>
    <w:p>
      <w:pPr/>
      <w:r>
        <w:t>O DN1937 recupera a tríade catalítica clássica de serino-protease intacta — His69, Asp114 e Ser212 —, com o bolsão S1 ocupado por Asp206. A numeração está deslocada em duas posições em relação ao DN773 (His na mesma posição 69; Asp116→114, Ser213→212, S1 207→206), mas os três resíduos catalíticos estão presentes e em geometria funcional. A verificação por distância interatômica na estrutura inicial confirma a integridade da tríade: His69 Nδ1 a 3,24 Å do carboxilato do Asp114 e His69 Nε2 a 3,89 Å da hidroxila da Ser212, ambas em distância compatível com ligação de hidrogênio catalítica. Diferentemente do DN1441, portanto, o DN1937 é uma protease estruturalmente competente.</w:t>
      </w:r>
    </w:p>
    <w:p>
      <w:pPr>
        <w:pStyle w:val="Heading2"/>
      </w:pPr>
      <w:r>
        <w:t>6.2 Estabilidade estrutural</w:t>
      </w:r>
    </w:p>
    <w:p>
      <w:pPr/>
      <w:r>
        <w:t>O RMSD do backbone estabilizou-se em um platô de 0,378 ± 0,026 nm na segunda metade da trajetória (média global 0,348 nm; máximo transitório de 0,48 nm), sem qualquer sinal de dissociação. O raio de giro manteve-se em 1,857 ± 0,015 nm, o mais compacto e estável da série. O RMSD do ligante alcançou um platô de 0,567 ± 0,041 nm (máximo de 0,76 nm) — valor superior ao das demais isoformas, refletindo um rearranjo inicial do peptídeo de cerca de 0,5 nm em relação à pose de docking, seguido de estabilização em uma pose ligada estável. A distância mínima receptor–ligante permaneceu em 0,174 ± 0,007 nm durante toda a simulação — contato direto ininterrupto, sem qualquer episódio de afastamento.</w:t>
      </w:r>
    </w:p>
    <w:p>
      <w:pPr>
        <w:pStyle w:val="Heading2"/>
      </w:pPr>
      <w:r>
        <w:t>6.3 Interface e hotspots de contato</w:t>
      </w:r>
    </w:p>
    <w:p>
      <w:pPr/>
      <w:r>
        <w:t>A interface do DN1937 é dominada pelo loop 103–109 do receptor: Tyr106, Pro104 e Gly108 apresentam frequência de contato próxima de 1,0, seguidos por Asn105, Asn107, Asp74 (0,97), His103 (0,90), Ala68 (0,77), Ile102 (0,73), Phe71 (0,73), Ala109 e a própria His69 (0,65). Do lado do ligante, o contato concentra-se em uma face rica em glicina e serina (Gly265, Ser267, Gly277, Gly289, todos ≥ 0,97) ancorada pela Arg306. O perfil farmacofórico identifica um par salino Asp74(receptor)–Arg306(ligante), ambos os resíduos com frequência de contato de aproximadamente 0,97, que atua como a principal âncora eletrostática do complexo. O número médio de contatos (&lt; 0,4 nm) foi de 525,1 ± 94,6 átomos e as pontes de hidrogênio de 8,62 ± 2,66 (com picos de até 18) — a rede de ligações de hidrogênio mais densa da série, apesar do número intermediário de contatos totais.</w:t>
      </w:r>
    </w:p>
    <w:p>
      <w:pPr>
        <w:pStyle w:val="Heading2"/>
      </w:pPr>
      <w:r>
        <w:t>6.4 Posicionamento no sítio catalítico</w:t>
      </w:r>
    </w:p>
    <w:p>
      <w:pPr/>
      <w:r>
        <w:t>A despeito de possuir a tríade catalítica intacta, o padrão de engajamento do DN1937 reproduz o achado central de toda a série: o reconhecimento é ancorado quase exclusivamente pela histidina catalítica. A His69 mantém distância mínima média de 0,266 nm ao ligante — contato direto sustentado —, enquanto o Asp114 (0,582 nm), a Ser212 (0,795 nm) e, sobretudo, o resíduo S1 Asp206 (1,342 nm) permanecem afastados ao longo de toda a trajetória. O dado mais informativo é o desengajamento do bolsão S1 mesmo quando ele é ocupado por um aspartato — um resíduo carregado e com cadeia lateral capaz, em princípio, de participar do reconhecimento. Ao contrário do DN773, onde a ausência de contato do S1 podia ser atribuída à falta de cadeia lateral da glicina, no DN1937 o S1 (Asp206) tem cadeia lateral e ainda assim não alcança o ligante. Isso indica que o GORE12T engaja a face da His69 na entrada da fenda de ligação de substrato, sem inserir-se produtivamente no bolsão S1 — um modo de ligação de superfície/entrada da fenda, e não de ocupação do sub-sítio de especificidade.</w:t>
      </w:r>
    </w:p>
    <w:p>
      <w:pPr>
        <w:pStyle w:val="Heading2"/>
      </w:pPr>
      <w:r>
        <w:t>6.5 Painel de resultados — DN1937</w:t>
      </w:r>
    </w:p>
    <w:p>
      <w:r>
        <w:drawing>
          <wp:inline xmlns:a="http://schemas.openxmlformats.org/drawingml/2006/main" xmlns:pic="http://schemas.openxmlformats.org/drawingml/2006/picture">
            <wp:extent cx="5580000" cy="7886935"/>
            <wp:docPr id="8" name="Picture 8"/>
            <wp:cNvGraphicFramePr>
              <a:graphicFrameLocks noChangeAspect="1"/>
            </wp:cNvGraphicFramePr>
            <a:graphic>
              <a:graphicData uri="http://schemas.openxmlformats.org/drawingml/2006/picture">
                <pic:pic>
                  <pic:nvPicPr>
                    <pic:cNvPr id="0" name="painel_completo.png"/>
                    <pic:cNvPicPr/>
                  </pic:nvPicPr>
                  <pic:blipFill>
                    <a:blip r:embed="rId16"/>
                    <a:stretch>
                      <a:fillRect/>
                    </a:stretch>
                  </pic:blipFill>
                  <pic:spPr>
                    <a:xfrm>
                      <a:off x="0" y="0"/>
                      <a:ext cx="5580000" cy="7886935"/>
                    </a:xfrm>
                    <a:prstGeom prst="rect"/>
                  </pic:spPr>
                </pic:pic>
              </a:graphicData>
            </a:graphic>
          </wp:inline>
        </w:drawing>
      </w:r>
    </w:p>
    <w:p>
      <w:pPr/>
      <w:r>
        <w:t>Figura 8. Painel de análises do complexo DN1937-GORE12T (100 ns, pH 8,2, KCl 0,10 M). RMSD do backbone e do ligante; RMSF por resíduo; raio de giro; contatos receptor–ligante (&lt; 0,4 nm); pontes de hidrogênio; SASA do receptor e do ligante; distâncias aos quatro resíduos do sítio catalítico (His69, Asp114, Ser212, Asp206/S1).</w:t>
      </w:r>
    </w:p>
    <w:p>
      <w:pPr>
        <w:pStyle w:val="Heading1"/>
      </w:pPr>
      <w:r>
        <w:t>7. Isoforma DN2954-GORE12T (tríade catalítica clássica intacta — última isoforma da série)</w:t>
      </w:r>
    </w:p>
    <w:p>
      <w:pPr/>
      <w:r>
        <w:t>O DN2954 encerra a série de quatro isoformas caracterizadas neste projeto, simulado com o protocolo idêntico às demais — pH 8,2, AMBER99SB-ILDN/TIP3P, caixa cúbica de 2,0 nm, KCl 0,10 M e produção de 100 ns com barostato de Parrinello-Rahman.</w:t>
      </w:r>
    </w:p>
    <w:p>
      <w:pPr>
        <w:pStyle w:val="Heading2"/>
      </w:pPr>
      <w:r>
        <w:t>7.1 Contexto e tétrade monitorada</w:t>
      </w:r>
    </w:p>
    <w:p>
      <w:pPr/>
      <w:r>
        <w:t>A numeração do construto DN2954 começa em 35 (diferente das demais isoformas). A tétrade foi determinada por motivo de sequência e confirmada por geometria 3D na estrutura inicial: His79 (motivo TAAHC), Asp126, Ser222 (motivo GDSGG) e S1 = Asp216 (Ser−6, base do bolsão, tipo tripsina, igual ao DN1937). A distância His79 Nδ1–Asp126 (3,73 Å) e His79 Nε2–Ser222 (3,38 Å) confirma a tríade catalítica clássica intacta e geometricamente competente, no mesmo padrão do DN1937.</w:t>
      </w:r>
    </w:p>
    <w:p>
      <w:pPr>
        <w:pStyle w:val="Heading2"/>
      </w:pPr>
      <w:r>
        <w:t>7.2 Estabilidade estrutural</w:t>
      </w:r>
    </w:p>
    <w:p>
      <w:pPr/>
      <w:r>
        <w:t>O RMSD do backbone atingiu platô em 0,282 ± 0,034 nm (máximo transitório de 0,45 nm nos primeiros 10 ns de acomodação), sem qualquer sinal de dissociação ao longo dos 100 ns. O RMSD do ligante estabilizou-se em 0,222 ± 0,034 nm — o mais baixo de toda a série, indicando a pose de ligação mais rígida entre as quatro isoformas. O raio de giro (1,880 ± 0,022 nm) oscila em torno de dois estados conformacionais próximos, sem expansão ou colapso. A distância mínima receptor–ligante permaneceu em torno de 0,176 nm durante toda a simulação, consistente com contato direto ininterrupto.</w:t>
      </w:r>
    </w:p>
    <w:p>
      <w:pPr>
        <w:pStyle w:val="Heading2"/>
      </w:pPr>
      <w:r>
        <w:t>7.3 Interface e hotspots de contato</w:t>
      </w:r>
    </w:p>
    <w:p>
      <w:pPr/>
      <w:r>
        <w:t>O número médio de contatos (&lt; 0,4 nm) foi de 626,5 ± 103,6 átomos e as pontes de hidrogênio de 6,07 ± 1,93 — valores intermediários na série, entre o DN1937 e a réplica 2 do DN773. O mapa de contatos por par de resíduos revela uma interface distribuída em múltiplos pontos de ancoragem, e não em um único par dominante: Lys55(receptor)–Ser278(ligante) (0,999), Ile56–Ser278 (0,995) e, sobretudo, o par salino Glu240(receptor, negativo-ionizável)–Arg293(ligante, positivo-ionizável) (0,974), além de Gln219–Lys281 (0,931), Gln219–Leu268 (0,928), Tyr99–Leu268 (0,922) e Thr167–Leu268 (0,915). O ligante GORE12T, cuja sequência contém um motivo repetitivo Gly-Ser-Gly-Gly-Ser-Val-Leu-Lys/Arg, é reconhecido por um sulco estendido do receptor que alterna resíduos hidrofóbicos (Ile56, Leu57, Tyr99) com pontos eletrostáticos (Lys55, Gln219, Glu240) — um modo de encaixe tipo grampo múltiplo, distinto tanto do par salino único do DN1937 (Asp74–Arg306) quanto da ancoragem centrada exclusivamente na histidina do DN773.</w:t>
      </w:r>
    </w:p>
    <w:p>
      <w:pPr>
        <w:pStyle w:val="Heading2"/>
      </w:pPr>
      <w:r>
        <w:t>7.4 Posicionamento no sítio catalítico</w:t>
      </w:r>
    </w:p>
    <w:p>
      <w:pPr/>
      <w:r>
        <w:t>A distância mínima ao ligante confirma o padrão transversal já observado nas isoformas anteriores: His79 (triad_1) apresenta distância média de 0,399 nm, com contato &lt; 0,4 nm em 58,0% dos frames — engajamento real, porém mais difuso que o do His69 do DN773 ou do DN1937 (o mapa de contatos por par de resíduos mostra frequência específica de apenas 0,125 para His79, refletindo proximidade geral ao ligante sem se fixar num único parceiro). Asp126 (triad_2, 0,765 nm, 2,5% dos frames) e Ser222 (triad_3, 0,483 nm, 9,2% dos frames, limítrofe) não se engajam de forma consistente. O resíduo S1, Asp216 (triad_4), permanece afastado do ligante durante toda a trajetória (0,812 nm de distância média, 0% dos frames abaixo de 0,4 nm) — o mesmo padrão de desengajamento do S1 observado em todas as isoformas anteriores, agora confirmado pela quarta vez consecutiva, independentemente da identidade do resíduo que ocupa o bolsão (Gly no DN773, Asp no DN1937, Asp no DN1441 e novamente Asp no DN2954).</w:t>
      </w:r>
    </w:p>
    <w:p>
      <w:pPr>
        <w:pStyle w:val="Heading2"/>
      </w:pPr>
      <w:r>
        <w:t>7.5 Painel de resultados — DN2954</w:t>
      </w:r>
    </w:p>
    <w:p>
      <w:r>
        <w:drawing>
          <wp:inline xmlns:a="http://schemas.openxmlformats.org/drawingml/2006/main" xmlns:pic="http://schemas.openxmlformats.org/drawingml/2006/picture">
            <wp:extent cx="5580000" cy="7886935"/>
            <wp:docPr id="9" name="Picture 9"/>
            <wp:cNvGraphicFramePr>
              <a:graphicFrameLocks noChangeAspect="1"/>
            </wp:cNvGraphicFramePr>
            <a:graphic>
              <a:graphicData uri="http://schemas.openxmlformats.org/drawingml/2006/picture">
                <pic:pic>
                  <pic:nvPicPr>
                    <pic:cNvPr id="0" name="painel_completo.png"/>
                    <pic:cNvPicPr/>
                  </pic:nvPicPr>
                  <pic:blipFill>
                    <a:blip r:embed="rId17"/>
                    <a:stretch>
                      <a:fillRect/>
                    </a:stretch>
                  </pic:blipFill>
                  <pic:spPr>
                    <a:xfrm>
                      <a:off x="0" y="0"/>
                      <a:ext cx="5580000" cy="7886935"/>
                    </a:xfrm>
                    <a:prstGeom prst="rect"/>
                  </pic:spPr>
                </pic:pic>
              </a:graphicData>
            </a:graphic>
          </wp:inline>
        </w:drawing>
      </w:r>
    </w:p>
    <w:p>
      <w:pPr/>
      <w:r>
        <w:t>Figura 9. Painel de análises do complexo DN2954-GORE12T (100 ns, pH 8,2, KCl 0,10 M). RMSD do backbone e do ligante; RMSF por resíduo; raio de giro; contatos receptor–ligante (&lt; 0,4 nm); pontes de hidrogênio; SASA do receptor e do ligante; distâncias aos quatro resíduos monitorados (His79, Asp126, Ser222, Asp216/S1).</w:t>
      </w:r>
    </w:p>
    <w:p>
      <w:pPr>
        <w:pStyle w:val="Heading1"/>
      </w:pPr>
      <w:r>
        <w:t>8. Síntese da série e protocolo padronizado (série completa)</w:t>
      </w:r>
    </w:p>
    <w:p>
      <w:pPr>
        <w:pStyle w:val="Heading2"/>
      </w:pPr>
      <w:r>
        <w:t>8.1 Comparação entre isoformas e mecanismo comum</w:t>
      </w:r>
    </w:p>
    <w:p>
      <w:pPr/>
      <w:r>
        <w:t>As Tabelas 1 e 2 reúnem os parâmetros quantitativos das quatro isoformas caracterizadas nesta série (DN773 em duas réplicas, DN1441, DN1937 e DN2954). Um padrão mecanístico consistente emerge da comparação: em todos os complexos, o GORE12T é ancorado pela histidina catalítica — His69 no DN773 e no DN1937, His79 no DN2954; no DN1441, cuja His catalítica nominal está mutada para Asn76, o papel de âncora recai sobre uma histidina intacta vizinha (His213), o maior hotspot de interface real dessa isoforma. Em contrapartida, o bolsão S1 nunca engaja o ligante, independentemente da identidade química do resíduo que o ocupa: Gly207 no DN773 (sem cadeia lateral), Asp206 no DN1937, Asp210 no DN1441 e Asp216 no DN2954 (aspartatos, com cadeia lateral) permanecem todos consistentemente afastados (&gt; 0,74 nm em todas as isoformas com S1 = Asp, &gt; 1,2 nm no DN773 e no DN1937). A confirmação por uma quarta isoforma independente, com a mesma química de S1 do DN1937 (aspartato) mas em contexto estrutural distinto, consolida a conclusão: essa observação — o engajamento da His acompanhado do desengajamento sistemático do S1, transversal a isoformas com S1 de naturezas químicas distintas — indica que o GORE12T reconhece a face da histidina na entrada da fenda de ligação de substrato, e não o sub-sítio de especificidade S1, como modo de ligação compartilhado por toda a série.</w:t>
      </w:r>
    </w:p>
    <w:p>
      <w:pPr/>
      <w:r>
        <w:t>Quanto à intensidade da interface, o DN773 forma o complexo mais consolidado (maior número de contatos e de pontes de hidrogênio), o DN1441 o mais fraco (interface superficial, pontes de hidrogênio reduzidas a um terço), enquanto DN1937 e DN2954 ocupam posições intermediárias — o DN1937 com a rede de ligações de hidrogênio mais densa da série (8,62 ± 2,66) e o DN2954 com contatos intermediários (626,5 ± 103,6) distribuídos por uma interface tipo grampo múltiplo, em vez de um único par de ancoragem dominante como nas demais isoformas com tríade intacta.</w:t>
      </w:r>
    </w:p>
    <w:p>
      <w:pPr>
        <w:pStyle w:val="Heading2"/>
      </w:pPr>
      <w:r>
        <w:t>8.2 Ranking relativo de energia livre (Interaction Entropy)</w:t>
      </w:r>
    </w:p>
    <w:p>
      <w:pPr/>
      <w:r>
        <w:t>A Tabela 2 apresenta as estimativas de energia livre de ligação obtidas pelo mesmo protocolo GROMACS-nativo (rerun com grupos de energia + Interaction Entropy) para as quatro isoformas. Reitera-se a ressalva metodológica já detalhada na Seção 4.4: por não incluírem termo de solvatação implícita, os valores absolutos são fisicamente exagerados e não devem ser citados como energia livre de ligação real; além disso, o desvio padrão da energia de interação excede o limiar de estabilidade numérica (10 kT) em todos os sistemas, tornando o −TΔS qualitativo. Com essas ressalvas, o ranking relativo — DN773 (−159,9 kcal/mol) mais favorável que DN2954 (−104,7 kcal/mol), seguido por DN1937 (−81,1 kcal/mol) e por último DN1441 (−58,4 kcal/mol) — é internamente coerente com a intensidade de interface medida de forma independente pelos contatos e pontes de hidrogênio, o que confere alguma confiança à ordenação, ainda que não aos valores absolutos.</w:t>
      </w:r>
    </w:p>
    <w:p>
      <w:pPr>
        <w:pStyle w:val="Heading2"/>
      </w:pPr>
      <w:r>
        <w:t>8.3 Pipeline padrão Milena-MD (protocolo validado)</w:t>
      </w:r>
    </w:p>
    <w:p>
      <w:pPr/>
      <w:r>
        <w:t>O fluxo de trabalho empregado nesta série está consolidado como protocolo padrão do projeto Milena-MD: um pipeline Nextflow DSL2 de 21 processos, validado de forma reprodutível em quatro isoformas e cinco trajetórias de produção independentes. A cada nova isoforma, apenas a separação do complexo bruto em receptor e ligante e a criação da planilha de amostra (samplesheet, com os quatro resíduos a monitorar) são necessárias — nenhuma alteração de código do pipeline foi requerida em nenhuma das isoformas após a validação inicial no DN773.</w:t>
      </w:r>
    </w:p>
    <w:p>
      <w:pPr/>
      <w:r>
        <w:t>A cadeia de processos é: preparação de protonação a pH 8,2 (pdb2pqr/PropKa) → montagem do complexo → topologia (pdb2gmx, AMBER99SB-ILDN) → caixa/solvatação/íons (KCl 0,10 M) → minimização → equilibração NVT (V-rescale) → equilibração NPT (Berendsen) → produção de 100 ns (Parrinello-Rahman) → pós-processamento (correção de PBC e alinhamento) → análises conformacionais e de interface (RMSD, RMSF, Rg, contatos, pontes de hidrogênio, SASA) → análise do sítio catalítico (distância e SASA por resíduo) → filtro de estabilidade → clusterização → mapa de contatos por resíduo (MDAnalysis) → perfil farmacofórico → fingerprint de interação (ProLIF) → estimativa de energia livre (rerun GROMACS + Interaction Entropy) → painel de figuras. A execução é distribuída por quatro ambientes conda isolados — um para GROMACS/pdb2pqr, um mínimo para geração de figuras (numpy/matplotlib), um para as análises de interface baseadas em MDAnalysis/ProLIF/RDKit, e um quarto, isolado, para o MM-GBSA — de modo que a reinstalação de qualquer dependência não comprometa o ambiente científico principal.</w:t>
      </w:r>
    </w:p>
    <w:p>
      <w:pPr>
        <w:pStyle w:val="Heading2"/>
      </w:pPr>
      <w:r>
        <w:t>8.4 Estado do MM-GBSA e próximos passos</w:t>
      </w:r>
    </w:p>
    <w:p>
      <w:pPr/>
      <w:r>
        <w:t>O único componente do pipeline que falha de forma sistemática é o cálculo de MM-GBSA (gmx_MMPBSA). A etapa está encadeada no fluxo com estratégia de erro tolerante (errorStrategy ‘ignore’), de modo que sua falha não bloqueia nenhuma análise a jusante. A falha foi reconfirmada nas quatro isoformas da série, com a mesma causa raiz identificada desde o DN773: o executável gmx_MMPBSA aborta na análise de argumentos porque os três caminhos de entrada (−cs, −ct, −ci) chegam com valor idêntico, disparando o erro de "argumentos duplicados". A correção proposta — gravar os caminhos absolutos resolvidos diretamente no script de execução, eliminando a passagem por argumentos posicionais através do isolamento de ambiente do gmx_MMPBSA — não foi aplicada ao longo da série; a estimativa de energia livre por Interaction Entropy (Seção 8.2) cumpriu integralmente o papel de métrica energética relativa entre as quatro isoformas, e a série está concluída com este substituto metodológico documentado.</w:t>
      </w:r>
    </w:p>
    <w:p>
      <w:pPr/>
    </w:p>
    <w:p>
      <w:pPr/>
      <w:r>
        <w:t>Tabela 2. Estimativa de energia livre de ligação por Interaction Entropy (rerun GROMACS, sem termo de solvatação; valores relativos, não absolutos).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t>Sistema</w:t>
            </w:r>
          </w:p>
        </w:tc>
        <w:tc>
          <w:tcPr>
            <w:tcW w:type="dxa" w:w="1881"/>
          </w:tcPr>
          <w:p>
            <w:r>
              <w:t>⟨ΔE_MM⟩ (kJ/mol)</w:t>
            </w:r>
          </w:p>
        </w:tc>
        <w:tc>
          <w:tcPr>
            <w:tcW w:type="dxa" w:w="1881"/>
          </w:tcPr>
          <w:p>
            <w:r>
              <w:t>−TΔS (kJ/mol)</w:t>
            </w:r>
          </w:p>
        </w:tc>
        <w:tc>
          <w:tcPr>
            <w:tcW w:type="dxa" w:w="1881"/>
          </w:tcPr>
          <w:p>
            <w:r>
              <w:t>ΔG_est (kcal/mol)</w:t>
            </w:r>
          </w:p>
        </w:tc>
        <w:tc>
          <w:tcPr>
            <w:tcW w:type="dxa" w:w="1881"/>
          </w:tcPr>
          <w:p>
            <w:r>
              <w:t>Desvio (kT)</w:t>
            </w:r>
          </w:p>
        </w:tc>
      </w:tr>
      <w:tr>
        <w:tc>
          <w:tcPr>
            <w:tcW w:type="dxa" w:w="1881"/>
          </w:tcPr>
          <w:p>
            <w:r>
              <w:t>DN773-GORE12T (r2)</w:t>
            </w:r>
          </w:p>
        </w:tc>
        <w:tc>
          <w:tcPr>
            <w:tcW w:type="dxa" w:w="1881"/>
          </w:tcPr>
          <w:p>
            <w:r>
              <w:t>−942,4 ± 88,1</w:t>
            </w:r>
          </w:p>
        </w:tc>
        <w:tc>
          <w:tcPr>
            <w:tcW w:type="dxa" w:w="1881"/>
          </w:tcPr>
          <w:p>
            <w:r>
              <w:t>+273,2</w:t>
            </w:r>
          </w:p>
        </w:tc>
        <w:tc>
          <w:tcPr>
            <w:tcW w:type="dxa" w:w="1881"/>
          </w:tcPr>
          <w:p>
            <w:r>
              <w:t>−159,9</w:t>
            </w:r>
          </w:p>
        </w:tc>
        <w:tc>
          <w:tcPr>
            <w:tcW w:type="dxa" w:w="1881"/>
          </w:tcPr>
          <w:p>
            <w:r>
              <w:t>35,3</w:t>
            </w:r>
          </w:p>
        </w:tc>
      </w:tr>
      <w:tr>
        <w:tc>
          <w:tcPr>
            <w:tcW w:type="dxa" w:w="1881"/>
          </w:tcPr>
          <w:p>
            <w:r>
              <w:t>DN1937-GORE12T</w:t>
            </w:r>
          </w:p>
        </w:tc>
        <w:tc>
          <w:tcPr>
            <w:tcW w:type="dxa" w:w="1881"/>
          </w:tcPr>
          <w:p>
            <w:r>
              <w:t>−760,9 ± 88,1</w:t>
            </w:r>
          </w:p>
        </w:tc>
        <w:tc>
          <w:tcPr>
            <w:tcW w:type="dxa" w:w="1881"/>
          </w:tcPr>
          <w:p>
            <w:r>
              <w:t>+421,4</w:t>
            </w:r>
          </w:p>
        </w:tc>
        <w:tc>
          <w:tcPr>
            <w:tcW w:type="dxa" w:w="1881"/>
          </w:tcPr>
          <w:p>
            <w:r>
              <w:t>−81,1</w:t>
            </w:r>
          </w:p>
        </w:tc>
        <w:tc>
          <w:tcPr>
            <w:tcW w:type="dxa" w:w="1881"/>
          </w:tcPr>
          <w:p>
            <w:r>
              <w:t>53,8</w:t>
            </w:r>
          </w:p>
        </w:tc>
      </w:tr>
      <w:tr>
        <w:tc>
          <w:tcPr>
            <w:tcW w:type="dxa" w:w="1881"/>
          </w:tcPr>
          <w:p>
            <w:r>
              <w:t>DN1441-GORE12T</w:t>
            </w:r>
          </w:p>
        </w:tc>
        <w:tc>
          <w:tcPr>
            <w:tcW w:type="dxa" w:w="1881"/>
          </w:tcPr>
          <w:p>
            <w:r>
              <w:t>−375,2 ± 45,6</w:t>
            </w:r>
          </w:p>
        </w:tc>
        <w:tc>
          <w:tcPr>
            <w:tcW w:type="dxa" w:w="1881"/>
          </w:tcPr>
          <w:p>
            <w:r>
              <w:t>+131,0</w:t>
            </w:r>
          </w:p>
        </w:tc>
        <w:tc>
          <w:tcPr>
            <w:tcW w:type="dxa" w:w="1881"/>
          </w:tcPr>
          <w:p>
            <w:r>
              <w:t>−58,4</w:t>
            </w:r>
          </w:p>
        </w:tc>
        <w:tc>
          <w:tcPr>
            <w:tcW w:type="dxa" w:w="1881"/>
          </w:tcPr>
          <w:p>
            <w:r>
              <w:t>18,3</w:t>
            </w:r>
          </w:p>
        </w:tc>
      </w:tr>
      <w:tr>
        <w:tc>
          <w:tcPr>
            <w:tcW w:type="dxa" w:w="1881"/>
          </w:tcPr>
          <w:p>
            <w:r>
              <w:t>DN2954-GORE12T</w:t>
            </w:r>
          </w:p>
        </w:tc>
        <w:tc>
          <w:tcPr>
            <w:tcW w:type="dxa" w:w="1881"/>
          </w:tcPr>
          <w:p>
            <w:r>
              <w:t>−663,6 ± 84,1</w:t>
            </w:r>
          </w:p>
        </w:tc>
        <w:tc>
          <w:tcPr>
            <w:tcW w:type="dxa" w:w="1881"/>
          </w:tcPr>
          <w:p>
            <w:r>
              <w:t>+225,7</w:t>
            </w:r>
          </w:p>
        </w:tc>
        <w:tc>
          <w:tcPr>
            <w:tcW w:type="dxa" w:w="1881"/>
          </w:tcPr>
          <w:p>
            <w:r>
              <w:t>−104,7</w:t>
            </w:r>
          </w:p>
        </w:tc>
        <w:tc>
          <w:tcPr>
            <w:tcW w:type="dxa" w:w="1881"/>
          </w:tcPr>
          <w:p>
            <w:r>
              <w:t>33,7</w:t>
            </w:r>
          </w:p>
        </w:tc>
      </w:tr>
    </w:tbl>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