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CD93" w14:textId="77777777" w:rsidR="002450F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808080"/>
        </w:rPr>
        <w:t>DIAGNÓSTICO</w:t>
      </w:r>
    </w:p>
    <w:p w14:paraId="2C7058D2" w14:textId="6D8DD954" w:rsidR="002450F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Origem do fragmento GORE3 (identificação da tripsina de Anticarsia </w:t>
      </w:r>
      <w:proofErr w:type="spellStart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gemmatalis</w:t>
      </w:r>
      <w:proofErr w:type="spellEnd"/>
    </w:p>
    <w:p w14:paraId="6D0C30A6" w14:textId="77777777" w:rsidR="002450F4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Pós-doutorado UFV / INCT-IPP — Inibidor peptídico GORE3 em Anticarsia </w:t>
      </w:r>
      <w:proofErr w:type="spellStart"/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gemmatalis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450F4" w14:paraId="5532B10B" w14:textId="77777777">
        <w:tc>
          <w:tcPr>
            <w:tcW w:w="2600" w:type="dxa"/>
            <w:shd w:val="clear" w:color="auto" w:fill="E7EDF5"/>
          </w:tcPr>
          <w:p w14:paraId="07B351A2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Autor</w:t>
            </w:r>
          </w:p>
        </w:tc>
        <w:tc>
          <w:tcPr>
            <w:tcW w:w="6400" w:type="dxa"/>
          </w:tcPr>
          <w:p w14:paraId="054F7B1D" w14:textId="558ABFF7" w:rsidR="002450F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Eulálio </w:t>
            </w:r>
            <w:r w:rsidR="00DF73FD">
              <w:rPr>
                <w:rFonts w:ascii="Calibri" w:eastAsia="Calibri" w:hAnsi="Calibri" w:cs="Calibri"/>
                <w:sz w:val="21"/>
                <w:szCs w:val="21"/>
              </w:rPr>
              <w:t>Gutemberg</w:t>
            </w:r>
          </w:p>
        </w:tc>
      </w:tr>
      <w:tr w:rsidR="002450F4" w14:paraId="33188FB1" w14:textId="77777777">
        <w:tc>
          <w:tcPr>
            <w:tcW w:w="2600" w:type="dxa"/>
            <w:shd w:val="clear" w:color="auto" w:fill="E7EDF5"/>
          </w:tcPr>
          <w:p w14:paraId="14BEE4F7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Orientação</w:t>
            </w:r>
          </w:p>
        </w:tc>
        <w:tc>
          <w:tcPr>
            <w:tcW w:w="6400" w:type="dxa"/>
          </w:tcPr>
          <w:p w14:paraId="7A6295C5" w14:textId="77777777" w:rsidR="002450F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Profa. Maria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Goreti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de Almeida Oliveira — UFV / INCT-IPP</w:t>
            </w:r>
          </w:p>
        </w:tc>
      </w:tr>
      <w:tr w:rsidR="002450F4" w14:paraId="3EC750E3" w14:textId="77777777">
        <w:tc>
          <w:tcPr>
            <w:tcW w:w="2600" w:type="dxa"/>
            <w:shd w:val="clear" w:color="auto" w:fill="E7EDF5"/>
          </w:tcPr>
          <w:p w14:paraId="504D4D25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6400" w:type="dxa"/>
          </w:tcPr>
          <w:p w14:paraId="40956819" w14:textId="77777777" w:rsidR="002450F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30 de julho de 2026</w:t>
            </w:r>
          </w:p>
        </w:tc>
      </w:tr>
      <w:tr w:rsidR="002450F4" w14:paraId="048374E5" w14:textId="77777777">
        <w:tc>
          <w:tcPr>
            <w:tcW w:w="2600" w:type="dxa"/>
            <w:shd w:val="clear" w:color="auto" w:fill="E7EDF5"/>
          </w:tcPr>
          <w:p w14:paraId="7F76EB14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Projeto</w:t>
            </w:r>
          </w:p>
        </w:tc>
        <w:tc>
          <w:tcPr>
            <w:tcW w:w="6400" w:type="dxa"/>
          </w:tcPr>
          <w:p w14:paraId="10255D92" w14:textId="77777777" w:rsidR="002450F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Resposta transcriptômica e interação estrutural do inibidor peptídico GORE3 em lagartas-praga</w:t>
            </w:r>
          </w:p>
        </w:tc>
      </w:tr>
    </w:tbl>
    <w:p w14:paraId="42283A47" w14:textId="77777777" w:rsidR="002450F4" w:rsidRDefault="002450F4">
      <w:pPr>
        <w:spacing w:after="200"/>
      </w:pPr>
    </w:p>
    <w:p w14:paraId="1C507B67" w14:textId="77777777" w:rsidR="002450F4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Contexto e pergunta de partida</w:t>
      </w:r>
    </w:p>
    <w:p w14:paraId="0D0751B8" w14:textId="77777777" w:rsidR="00DF73FD" w:rsidRDefault="00000000" w:rsidP="00DF73FD">
      <w:pPr>
        <w:spacing w:after="16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Em reunião com a Profa. Maria </w:t>
      </w:r>
      <w:proofErr w:type="spellStart"/>
      <w:r>
        <w:rPr>
          <w:rFonts w:ascii="Calibri" w:eastAsia="Calibri" w:hAnsi="Calibri" w:cs="Calibri"/>
          <w:sz w:val="22"/>
          <w:szCs w:val="22"/>
        </w:rPr>
        <w:t>Goreti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Almeida Oliveira sobre o projeto de inibidores de protease GORE3, foi informado que a sequência correspondente ao peptídeo GORE3, teria se originado de um fragmento de tripsina — provavelmente do próprio inseto-praga — usado como estratégia para burlar o sistema imune/mecanismos de defesa e compensação proteolítica do inseto. </w:t>
      </w:r>
    </w:p>
    <w:p w14:paraId="10BA3E98" w14:textId="148D551F" w:rsidR="002450F4" w:rsidRDefault="00000000" w:rsidP="00DF73FD">
      <w:pPr>
        <w:spacing w:after="160" w:line="276" w:lineRule="auto"/>
        <w:jc w:val="both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Metodologia</w:t>
      </w:r>
    </w:p>
    <w:p w14:paraId="54000304" w14:textId="77777777" w:rsidR="002450F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A investigação seguiu duas etapas complementares:</w:t>
      </w:r>
    </w:p>
    <w:p w14:paraId="1F809A54" w14:textId="77777777" w:rsidR="002450F4" w:rsidRDefault="00000000">
      <w:pPr>
        <w:pStyle w:val="Pargrafoda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Revisão da literatura e de trabalhos acadêmicos do grupo de pesquisa (orientação da Profa. </w:t>
      </w:r>
      <w:proofErr w:type="spellStart"/>
      <w:r>
        <w:rPr>
          <w:rFonts w:ascii="Calibri" w:eastAsia="Calibri" w:hAnsi="Calibri" w:cs="Calibri"/>
          <w:sz w:val="22"/>
          <w:szCs w:val="22"/>
        </w:rPr>
        <w:t>Goreti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que descrevem a lógica de desenho dos peptídeos da série GORE, incluindo a dissertação de mestrado de João Vitor Aguilar de Oliveira (UFV, 2023) e o artigo de Paulo et al. (2026, </w:t>
      </w:r>
      <w:proofErr w:type="spellStart"/>
      <w:r>
        <w:rPr>
          <w:rFonts w:ascii="Calibri" w:eastAsia="Calibri" w:hAnsi="Calibri" w:cs="Calibri"/>
          <w:sz w:val="22"/>
          <w:szCs w:val="22"/>
        </w:rPr>
        <w:t>Pest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Management Science) sobre o GORE3.</w:t>
      </w:r>
    </w:p>
    <w:p w14:paraId="23AD553F" w14:textId="77777777" w:rsidR="002450F4" w:rsidRDefault="00000000">
      <w:pPr>
        <w:pStyle w:val="Pargrafoda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Varredura direta e reprodutível no banco de dados NCBI: download de todas as sequências de proteína anotadas como "</w:t>
      </w:r>
      <w:proofErr w:type="spellStart"/>
      <w:r>
        <w:rPr>
          <w:rFonts w:ascii="Calibri" w:eastAsia="Calibri" w:hAnsi="Calibri" w:cs="Calibri"/>
          <w:sz w:val="22"/>
          <w:szCs w:val="22"/>
        </w:rPr>
        <w:t>trypsin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para o organismo Anticarsia </w:t>
      </w:r>
      <w:proofErr w:type="spellStart"/>
      <w:r>
        <w:rPr>
          <w:rFonts w:ascii="Calibri" w:eastAsia="Calibri" w:hAnsi="Calibri" w:cs="Calibri"/>
          <w:sz w:val="22"/>
          <w:szCs w:val="22"/>
        </w:rPr>
        <w:t>gemmatalis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(genoma de referência </w:t>
      </w:r>
      <w:proofErr w:type="spellStart"/>
      <w:r>
        <w:rPr>
          <w:rFonts w:ascii="Calibri" w:eastAsia="Calibri" w:hAnsi="Calibri" w:cs="Calibri"/>
          <w:sz w:val="22"/>
          <w:szCs w:val="22"/>
        </w:rPr>
        <w:t>RefSeq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GCF_050436995.1) via NCBI E-</w:t>
      </w:r>
      <w:proofErr w:type="spellStart"/>
      <w:r>
        <w:rPr>
          <w:rFonts w:ascii="Calibri" w:eastAsia="Calibri" w:hAnsi="Calibri" w:cs="Calibri"/>
          <w:sz w:val="22"/>
          <w:szCs w:val="22"/>
        </w:rPr>
        <w:t>utilities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seguida de busca literal pela </w:t>
      </w:r>
      <w:proofErr w:type="spellStart"/>
      <w:r>
        <w:rPr>
          <w:rFonts w:ascii="Calibri" w:eastAsia="Calibri" w:hAnsi="Calibri" w:cs="Calibri"/>
          <w:sz w:val="22"/>
          <w:szCs w:val="22"/>
        </w:rPr>
        <w:t>substring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"LALAY" em cada sequência.</w:t>
      </w:r>
    </w:p>
    <w:p w14:paraId="4BAC055D" w14:textId="77777777" w:rsidR="002450F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Essa segunda etapa foi necessária porque nem a dissertação de Aguilar (2023) nem o artigo de Paulo et al. (2026) publicam a sequência literal de aminoácidos do GORE3 nem o número de acesso da tripsina de origem — apenas descrevem a lógica geral do desenho (peptídeo hidrofóbico, terminado em tirosina, derivado da tripsina digestiva do próprio inseto).</w:t>
      </w:r>
    </w:p>
    <w:p w14:paraId="21569276" w14:textId="77777777" w:rsidR="002450F4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Resultado</w:t>
      </w:r>
    </w:p>
    <w:p w14:paraId="113D6BE6" w14:textId="77777777" w:rsidR="002450F4" w:rsidRDefault="00000000">
      <w:pPr>
        <w:spacing w:after="16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Foram baixadas 527 sequências de proteína associadas ao termo "</w:t>
      </w:r>
      <w:proofErr w:type="spellStart"/>
      <w:r>
        <w:rPr>
          <w:rFonts w:ascii="Calibri" w:eastAsia="Calibri" w:hAnsi="Calibri" w:cs="Calibri"/>
          <w:sz w:val="22"/>
          <w:szCs w:val="22"/>
        </w:rPr>
        <w:t>trypsin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em Anticarsia </w:t>
      </w:r>
      <w:proofErr w:type="spellStart"/>
      <w:r>
        <w:rPr>
          <w:rFonts w:ascii="Calibri" w:eastAsia="Calibri" w:hAnsi="Calibri" w:cs="Calibri"/>
          <w:sz w:val="22"/>
          <w:szCs w:val="22"/>
        </w:rPr>
        <w:t>gemmatalis</w:t>
      </w:r>
      <w:proofErr w:type="spellEnd"/>
      <w:r>
        <w:rPr>
          <w:rFonts w:ascii="Calibri" w:eastAsia="Calibri" w:hAnsi="Calibri" w:cs="Calibri"/>
          <w:sz w:val="22"/>
          <w:szCs w:val="22"/>
        </w:rPr>
        <w:t>. A busca literal por "LALAY" identificou 13 sequências contendo o motivo exato, todas compartilhando o mesmo trecho N-terminal ("MKSLLIVFALAALALAYEP..."). Uma dessas sequências está anotada precisamente como tripsina:</w:t>
      </w:r>
    </w:p>
    <w:p w14:paraId="0328C849" w14:textId="77777777" w:rsidR="00DF73FD" w:rsidRDefault="00DF73FD">
      <w:pPr>
        <w:spacing w:after="160" w:line="276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42A592F3" w14:textId="77777777" w:rsidR="00DF73FD" w:rsidRDefault="00DF73FD">
      <w:pPr>
        <w:spacing w:after="160" w:line="276" w:lineRule="auto"/>
        <w:jc w:val="bot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450F4" w14:paraId="01C3382E" w14:textId="77777777">
        <w:tc>
          <w:tcPr>
            <w:tcW w:w="2600" w:type="dxa"/>
            <w:shd w:val="clear" w:color="auto" w:fill="E7EDF5"/>
          </w:tcPr>
          <w:p w14:paraId="7C60FE6A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lastRenderedPageBreak/>
              <w:t>Acesso NCBI</w:t>
            </w:r>
          </w:p>
        </w:tc>
        <w:tc>
          <w:tcPr>
            <w:tcW w:w="6400" w:type="dxa"/>
          </w:tcPr>
          <w:p w14:paraId="300D1AA0" w14:textId="77777777" w:rsidR="002450F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XP_075977317.1</w:t>
            </w:r>
          </w:p>
        </w:tc>
      </w:tr>
      <w:tr w:rsidR="002450F4" w14:paraId="4D62031E" w14:textId="77777777">
        <w:tc>
          <w:tcPr>
            <w:tcW w:w="2600" w:type="dxa"/>
            <w:shd w:val="clear" w:color="auto" w:fill="E7EDF5"/>
          </w:tcPr>
          <w:p w14:paraId="394EFE33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Anotação</w:t>
            </w:r>
          </w:p>
        </w:tc>
        <w:tc>
          <w:tcPr>
            <w:tcW w:w="6400" w:type="dxa"/>
          </w:tcPr>
          <w:p w14:paraId="267ABAEE" w14:textId="77777777" w:rsidR="002450F4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trypsin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beta [Anticarsia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gemmatalis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]</w:t>
            </w:r>
          </w:p>
        </w:tc>
      </w:tr>
      <w:tr w:rsidR="002450F4" w14:paraId="2BAA9F33" w14:textId="77777777">
        <w:tc>
          <w:tcPr>
            <w:tcW w:w="2600" w:type="dxa"/>
            <w:shd w:val="clear" w:color="auto" w:fill="E7EDF5"/>
          </w:tcPr>
          <w:p w14:paraId="441E7AC1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Genoma de referência</w:t>
            </w:r>
          </w:p>
        </w:tc>
        <w:tc>
          <w:tcPr>
            <w:tcW w:w="6400" w:type="dxa"/>
          </w:tcPr>
          <w:p w14:paraId="60580452" w14:textId="77777777" w:rsidR="002450F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GCF_050436995.1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RefSeq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</w:tr>
      <w:tr w:rsidR="002450F4" w14:paraId="49C69E39" w14:textId="77777777">
        <w:tc>
          <w:tcPr>
            <w:tcW w:w="2600" w:type="dxa"/>
            <w:shd w:val="clear" w:color="auto" w:fill="E7EDF5"/>
          </w:tcPr>
          <w:p w14:paraId="4BAA2019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Tamanho da proteína</w:t>
            </w:r>
          </w:p>
        </w:tc>
        <w:tc>
          <w:tcPr>
            <w:tcW w:w="6400" w:type="dxa"/>
          </w:tcPr>
          <w:p w14:paraId="589E3E3D" w14:textId="77777777" w:rsidR="002450F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274 aminoácidos</w:t>
            </w:r>
          </w:p>
        </w:tc>
      </w:tr>
      <w:tr w:rsidR="002450F4" w14:paraId="2C837692" w14:textId="77777777">
        <w:tc>
          <w:tcPr>
            <w:tcW w:w="2600" w:type="dxa"/>
            <w:shd w:val="clear" w:color="auto" w:fill="E7EDF5"/>
          </w:tcPr>
          <w:p w14:paraId="63B0D868" w14:textId="77777777" w:rsidR="002450F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Posição de LALAY</w:t>
            </w:r>
          </w:p>
        </w:tc>
        <w:tc>
          <w:tcPr>
            <w:tcW w:w="6400" w:type="dxa"/>
          </w:tcPr>
          <w:p w14:paraId="126AF69C" w14:textId="77777777" w:rsidR="002450F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resíduos 13–17 (numeração 1-based)</w:t>
            </w:r>
          </w:p>
        </w:tc>
      </w:tr>
    </w:tbl>
    <w:p w14:paraId="4A6885D9" w14:textId="77777777" w:rsidR="002450F4" w:rsidRDefault="002450F4">
      <w:pPr>
        <w:spacing w:after="200"/>
      </w:pPr>
    </w:p>
    <w:p w14:paraId="26E3A243" w14:textId="77777777" w:rsidR="002450F4" w:rsidRDefault="00000000">
      <w:pPr>
        <w:pStyle w:val="Ttulo2"/>
        <w:spacing w:before="250" w:after="120"/>
      </w:pPr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Sequência completa (XP_075977317.1), com LALAY destacado</w:t>
      </w:r>
    </w:p>
    <w:p w14:paraId="05D4A24F" w14:textId="77777777" w:rsidR="002450F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>MKSLLIVFALAA</w:t>
      </w:r>
      <w:r>
        <w:rPr>
          <w:rFonts w:ascii="Consolas" w:eastAsia="Consolas" w:hAnsi="Consolas" w:cs="Consolas"/>
          <w:b/>
          <w:bCs/>
          <w:color w:val="C00000"/>
        </w:rPr>
        <w:t>LALAY</w:t>
      </w:r>
      <w:r>
        <w:rPr>
          <w:rFonts w:ascii="Consolas" w:eastAsia="Consolas" w:hAnsi="Consolas" w:cs="Consolas"/>
        </w:rPr>
        <w:t>EPIENNYHENVGIPEAARIMQAEQAMDFDGSRIVGGSAANAGAYPFLGGLVIS</w:t>
      </w:r>
    </w:p>
    <w:p w14:paraId="49636C7E" w14:textId="77777777" w:rsidR="002450F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>LTSGHTSICGSSLLTNTRSVTAAHCWRSRDHQARQFVVVHGSNRLMSGGVRTTTTNVVMHGSYNINTLAN</w:t>
      </w:r>
    </w:p>
    <w:p w14:paraId="0645F5AB" w14:textId="77777777" w:rsidR="002450F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>DIAIINHNRVAYTNVIRNIGLASGSNQFAGSWANAAGFGATENGSSGNKRHVRLQVITNAVCRQTYGNTI</w:t>
      </w:r>
    </w:p>
    <w:p w14:paraId="44EE5712" w14:textId="77777777" w:rsidR="002450F4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</w:rPr>
        <w:t>IASTLCTSGAGRVGTCGGDSGGPLAIGNTLIGVTSFGYRPGCALGRPAGFARVTSFESWIRGRL</w:t>
      </w:r>
    </w:p>
    <w:p w14:paraId="068F1EFD" w14:textId="77777777" w:rsidR="002450F4" w:rsidRDefault="002450F4">
      <w:pPr>
        <w:spacing w:after="200"/>
      </w:pPr>
    </w:p>
    <w:p w14:paraId="3BA49465" w14:textId="77777777" w:rsidR="002450F4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4. Interpretação e ressalva</w:t>
      </w:r>
    </w:p>
    <w:p w14:paraId="33DDC148" w14:textId="77777777" w:rsidR="002450F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 posição 13–17 cai dentro do </w:t>
      </w:r>
      <w:r>
        <w:rPr>
          <w:rFonts w:ascii="Calibri" w:eastAsia="Calibri" w:hAnsi="Calibri" w:cs="Calibri"/>
          <w:b/>
          <w:bCs/>
          <w:sz w:val="22"/>
          <w:szCs w:val="22"/>
        </w:rPr>
        <w:t>peptídeo sinal</w:t>
      </w:r>
      <w:r>
        <w:rPr>
          <w:rFonts w:ascii="Calibri" w:eastAsia="Calibri" w:hAnsi="Calibri" w:cs="Calibri"/>
          <w:sz w:val="22"/>
          <w:szCs w:val="22"/>
        </w:rPr>
        <w:t xml:space="preserve"> da </w:t>
      </w:r>
      <w:proofErr w:type="spellStart"/>
      <w:r>
        <w:rPr>
          <w:rFonts w:ascii="Calibri" w:eastAsia="Calibri" w:hAnsi="Calibri" w:cs="Calibri"/>
          <w:sz w:val="22"/>
          <w:szCs w:val="22"/>
        </w:rPr>
        <w:t>pré</w:t>
      </w:r>
      <w:proofErr w:type="spellEnd"/>
      <w:r>
        <w:rPr>
          <w:rFonts w:ascii="Calibri" w:eastAsia="Calibri" w:hAnsi="Calibri" w:cs="Calibri"/>
          <w:sz w:val="22"/>
          <w:szCs w:val="22"/>
        </w:rPr>
        <w:t>-pró-tripsina — não na pró-região (</w:t>
      </w:r>
      <w:proofErr w:type="spellStart"/>
      <w:r>
        <w:rPr>
          <w:rFonts w:ascii="Calibri" w:eastAsia="Calibri" w:hAnsi="Calibri" w:cs="Calibri"/>
          <w:sz w:val="22"/>
          <w:szCs w:val="22"/>
        </w:rPr>
        <w:t>propeptídeo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de ativação do zimogênio, que é a hipótese inicial baseada na dissertação de Aguilar (2023). O N-terminal canônico da enzima madura da família das </w:t>
      </w:r>
      <w:proofErr w:type="spellStart"/>
      <w:r>
        <w:rPr>
          <w:rFonts w:ascii="Calibri" w:eastAsia="Calibri" w:hAnsi="Calibri" w:cs="Calibri"/>
          <w:sz w:val="22"/>
          <w:szCs w:val="22"/>
        </w:rPr>
        <w:t>quimotripsinas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(motivo "IVGG...", característico de </w:t>
      </w:r>
      <w:proofErr w:type="spellStart"/>
      <w:r>
        <w:rPr>
          <w:rFonts w:ascii="Calibri" w:eastAsia="Calibri" w:hAnsi="Calibri" w:cs="Calibri"/>
          <w:sz w:val="22"/>
          <w:szCs w:val="22"/>
        </w:rPr>
        <w:t>serino</w:t>
      </w:r>
      <w:proofErr w:type="spellEnd"/>
      <w:r>
        <w:rPr>
          <w:rFonts w:ascii="Calibri" w:eastAsia="Calibri" w:hAnsi="Calibri" w:cs="Calibri"/>
          <w:sz w:val="22"/>
          <w:szCs w:val="22"/>
        </w:rPr>
        <w:t>-proteases digestivas de inseto) só começa no resíduo ~51 da sequência ("...RIVGGSAANAGAYPFLGGLVIS"). Isso é coerente com a composição do GORE3 — cinco aminoácidos hidrofóbicos — já que peptídeos sinal são, por definição, o trecho mais hidrofóbico de toda a proteína, necessário para o direcionamento e translocação ao retículo endoplasmático.</w:t>
      </w:r>
    </w:p>
    <w:p w14:paraId="5D4CB1C9" w14:textId="77777777" w:rsidR="002450F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Um achado adicional relevante: o mesmo N-terminal contendo LALAY é compartilhado por outros 12 </w:t>
      </w:r>
      <w:proofErr w:type="spellStart"/>
      <w:r>
        <w:rPr>
          <w:rFonts w:ascii="Calibri" w:eastAsia="Calibri" w:hAnsi="Calibri" w:cs="Calibri"/>
          <w:sz w:val="22"/>
          <w:szCs w:val="22"/>
        </w:rPr>
        <w:t>parálogos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genoma de A. </w:t>
      </w:r>
      <w:proofErr w:type="spellStart"/>
      <w:r>
        <w:rPr>
          <w:rFonts w:ascii="Calibri" w:eastAsia="Calibri" w:hAnsi="Calibri" w:cs="Calibri"/>
          <w:sz w:val="22"/>
          <w:szCs w:val="22"/>
        </w:rPr>
        <w:t>gemmatalis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majoritariamente anotados como </w:t>
      </w:r>
      <w:proofErr w:type="spellStart"/>
      <w:r>
        <w:rPr>
          <w:rFonts w:ascii="Calibri" w:eastAsia="Calibri" w:hAnsi="Calibri" w:cs="Calibri"/>
          <w:sz w:val="22"/>
          <w:szCs w:val="22"/>
        </w:rPr>
        <w:t>collagenase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collagenase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-like, e um deles como transmembrane protease </w:t>
      </w:r>
      <w:proofErr w:type="spellStart"/>
      <w:r>
        <w:rPr>
          <w:rFonts w:ascii="Calibri" w:eastAsia="Calibri" w:hAnsi="Calibri" w:cs="Calibri"/>
          <w:sz w:val="22"/>
          <w:szCs w:val="22"/>
        </w:rPr>
        <w:t>serine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9-like. Isso indica um cluster gênico de </w:t>
      </w:r>
      <w:proofErr w:type="spellStart"/>
      <w:r>
        <w:rPr>
          <w:rFonts w:ascii="Calibri" w:eastAsia="Calibri" w:hAnsi="Calibri" w:cs="Calibri"/>
          <w:sz w:val="22"/>
          <w:szCs w:val="22"/>
        </w:rPr>
        <w:t>serino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-proteases da família </w:t>
      </w:r>
      <w:proofErr w:type="spellStart"/>
      <w:r>
        <w:rPr>
          <w:rFonts w:ascii="Calibri" w:eastAsia="Calibri" w:hAnsi="Calibri" w:cs="Calibri"/>
          <w:sz w:val="22"/>
          <w:szCs w:val="22"/>
        </w:rPr>
        <w:t>quimotripsina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(tripsinas, colagenases e afins, comum em genomas de lepidópteros) que herdou o mesmo peptídeo sinal ancestral — ou seja, LALAY não é exclusivo de uma única tripsina, mas está presente em todo esse grupo de genes </w:t>
      </w:r>
      <w:proofErr w:type="spellStart"/>
      <w:r>
        <w:rPr>
          <w:rFonts w:ascii="Calibri" w:eastAsia="Calibri" w:hAnsi="Calibri" w:cs="Calibri"/>
          <w:sz w:val="22"/>
          <w:szCs w:val="22"/>
        </w:rPr>
        <w:t>parálogos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24D428F" w14:textId="2FF8C76A" w:rsidR="002450F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Pendência declarada: não foi possível confirmar, nos textos acessíveis publicamente, se o mecanismo de "hidrólise" mencionado corresponde à clivagem do peptídeo sinal (achado desta investigação) ou à autólise de ativação do zimogênio (sugerida pelo título do artigo de Paulo et al., 2026, "</w:t>
      </w:r>
      <w:proofErr w:type="spellStart"/>
      <w:r>
        <w:rPr>
          <w:rFonts w:ascii="Calibri" w:eastAsia="Calibri" w:hAnsi="Calibri" w:cs="Calibri"/>
          <w:sz w:val="22"/>
          <w:szCs w:val="22"/>
        </w:rPr>
        <w:t>Peptidic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derived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trypsin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autolysis</w:t>
      </w:r>
      <w:proofErr w:type="spellEnd"/>
      <w:r>
        <w:rPr>
          <w:rFonts w:ascii="Calibri" w:eastAsia="Calibri" w:hAnsi="Calibri" w:cs="Calibri"/>
          <w:sz w:val="22"/>
          <w:szCs w:val="22"/>
        </w:rPr>
        <w:t>..."). Recomenda-se confirmar diretamente com a orientadora qual desses dois mecanismos foi de fato utilizado no desenho original do GORE3, e se o acesso XP_075977317.1 corresponde à isoforma/sequência efetivamente empregada.</w:t>
      </w:r>
    </w:p>
    <w:p w14:paraId="48FF6049" w14:textId="77777777" w:rsidR="002450F4" w:rsidRDefault="00000000">
      <w:pPr>
        <w:pStyle w:val="Ttulo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5. Fontes consultadas</w:t>
      </w:r>
    </w:p>
    <w:p w14:paraId="081D9F6C" w14:textId="77777777" w:rsidR="002450F4" w:rsidRDefault="00000000">
      <w:pPr>
        <w:pStyle w:val="Pargrafoda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OLIVEIRA, João Vitor Aguilar de. Desenho racional de peptídeos inibidores como biopesticidas para Anticarsia </w:t>
      </w:r>
      <w:proofErr w:type="spellStart"/>
      <w:r>
        <w:rPr>
          <w:rFonts w:ascii="Calibri" w:eastAsia="Calibri" w:hAnsi="Calibri" w:cs="Calibri"/>
          <w:sz w:val="22"/>
          <w:szCs w:val="22"/>
        </w:rPr>
        <w:t>gemmatalis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Spodoptera frugiperda. Dissertação (Mestrado em Bioquímica Aplicada) — Universidade Federal de Viçosa, 2023. Orientadora: Maria </w:t>
      </w:r>
      <w:proofErr w:type="spellStart"/>
      <w:r>
        <w:rPr>
          <w:rFonts w:ascii="Calibri" w:eastAsia="Calibri" w:hAnsi="Calibri" w:cs="Calibri"/>
          <w:sz w:val="22"/>
          <w:szCs w:val="22"/>
        </w:rPr>
        <w:t>Goreti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Almeida Oliveira. DOI: 10.47328/ufvbbt.2023.685.</w:t>
      </w:r>
    </w:p>
    <w:p w14:paraId="7379AFF9" w14:textId="77777777" w:rsidR="002450F4" w:rsidRDefault="00000000">
      <w:pPr>
        <w:pStyle w:val="PargrafodaLista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PAULO, D. G. S. et al. </w:t>
      </w:r>
      <w:proofErr w:type="spellStart"/>
      <w:r>
        <w:rPr>
          <w:rFonts w:ascii="Calibri" w:eastAsia="Calibri" w:hAnsi="Calibri" w:cs="Calibri"/>
          <w:sz w:val="22"/>
          <w:szCs w:val="22"/>
        </w:rPr>
        <w:t>Peptidic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derived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trypsin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autolysis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modulates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insect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digestive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proteases </w:t>
      </w:r>
      <w:proofErr w:type="spellStart"/>
      <w:r>
        <w:rPr>
          <w:rFonts w:ascii="Calibri" w:eastAsia="Calibri" w:hAnsi="Calibri" w:cs="Calibri"/>
          <w:sz w:val="22"/>
          <w:szCs w:val="22"/>
        </w:rPr>
        <w:t>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supports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plant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biochemical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defense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Pest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Management Science, 2026. PMID: 41572648.</w:t>
      </w:r>
    </w:p>
    <w:p w14:paraId="1E60D713" w14:textId="77777777" w:rsidR="002450F4" w:rsidRDefault="00000000">
      <w:pPr>
        <w:pStyle w:val="PargrafodaLista"/>
        <w:numPr>
          <w:ilvl w:val="0"/>
          <w:numId w:val="1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National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Center for </w:t>
      </w:r>
      <w:proofErr w:type="spellStart"/>
      <w:r>
        <w:rPr>
          <w:rFonts w:ascii="Calibri" w:eastAsia="Calibri" w:hAnsi="Calibri" w:cs="Calibri"/>
          <w:sz w:val="22"/>
          <w:szCs w:val="22"/>
        </w:rPr>
        <w:t>Biotechnology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Information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(NCBI). Protein </w:t>
      </w:r>
      <w:proofErr w:type="spellStart"/>
      <w:r>
        <w:rPr>
          <w:rFonts w:ascii="Calibri" w:eastAsia="Calibri" w:hAnsi="Calibri" w:cs="Calibri"/>
          <w:sz w:val="22"/>
          <w:szCs w:val="22"/>
        </w:rPr>
        <w:t>database</w:t>
      </w:r>
      <w:proofErr w:type="spellEnd"/>
      <w:r>
        <w:rPr>
          <w:rFonts w:ascii="Calibri" w:eastAsia="Calibri" w:hAnsi="Calibri" w:cs="Calibri"/>
          <w:sz w:val="22"/>
          <w:szCs w:val="22"/>
        </w:rPr>
        <w:t>, consulta em 30/07/2026 (E-</w:t>
      </w:r>
      <w:proofErr w:type="spellStart"/>
      <w:r>
        <w:rPr>
          <w:rFonts w:ascii="Calibri" w:eastAsia="Calibri" w:hAnsi="Calibri" w:cs="Calibri"/>
          <w:sz w:val="22"/>
          <w:szCs w:val="22"/>
        </w:rPr>
        <w:t>utilities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esearch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efetch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termo "Anticarsia </w:t>
      </w:r>
      <w:proofErr w:type="spellStart"/>
      <w:r>
        <w:rPr>
          <w:rFonts w:ascii="Calibri" w:eastAsia="Calibri" w:hAnsi="Calibri" w:cs="Calibri"/>
          <w:sz w:val="22"/>
          <w:szCs w:val="22"/>
        </w:rPr>
        <w:t>gemmatalis</w:t>
      </w:r>
      <w:proofErr w:type="spellEnd"/>
      <w:r>
        <w:rPr>
          <w:rFonts w:ascii="Calibri" w:eastAsia="Calibri" w:hAnsi="Calibri" w:cs="Calibri"/>
          <w:sz w:val="22"/>
          <w:szCs w:val="22"/>
        </w:rPr>
        <w:t>"[</w:t>
      </w:r>
      <w:proofErr w:type="spellStart"/>
      <w:r>
        <w:rPr>
          <w:rFonts w:ascii="Calibri" w:eastAsia="Calibri" w:hAnsi="Calibri" w:cs="Calibri"/>
          <w:sz w:val="22"/>
          <w:szCs w:val="22"/>
        </w:rPr>
        <w:t>Organism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AND </w:t>
      </w:r>
      <w:proofErr w:type="spellStart"/>
      <w:r>
        <w:rPr>
          <w:rFonts w:ascii="Calibri" w:eastAsia="Calibri" w:hAnsi="Calibri" w:cs="Calibri"/>
          <w:sz w:val="22"/>
          <w:szCs w:val="22"/>
        </w:rPr>
        <w:t>trypsin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All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Fields]; genoma de referência GCF_050436995.1).</w:t>
      </w:r>
    </w:p>
    <w:sectPr w:rsidR="002450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31F4D"/>
    <w:multiLevelType w:val="hybridMultilevel"/>
    <w:tmpl w:val="BE1EFE14"/>
    <w:lvl w:ilvl="0" w:tplc="D8D891FE">
      <w:start w:val="1"/>
      <w:numFmt w:val="bullet"/>
      <w:lvlText w:val="●"/>
      <w:lvlJc w:val="left"/>
      <w:pPr>
        <w:ind w:left="720" w:hanging="360"/>
      </w:pPr>
    </w:lvl>
    <w:lvl w:ilvl="1" w:tplc="32E0357E">
      <w:start w:val="1"/>
      <w:numFmt w:val="bullet"/>
      <w:lvlText w:val="○"/>
      <w:lvlJc w:val="left"/>
      <w:pPr>
        <w:ind w:left="1440" w:hanging="360"/>
      </w:pPr>
    </w:lvl>
    <w:lvl w:ilvl="2" w:tplc="A134BEDA">
      <w:start w:val="1"/>
      <w:numFmt w:val="bullet"/>
      <w:lvlText w:val="■"/>
      <w:lvlJc w:val="left"/>
      <w:pPr>
        <w:ind w:left="2160" w:hanging="360"/>
      </w:pPr>
    </w:lvl>
    <w:lvl w:ilvl="3" w:tplc="51DCF184">
      <w:start w:val="1"/>
      <w:numFmt w:val="bullet"/>
      <w:lvlText w:val="●"/>
      <w:lvlJc w:val="left"/>
      <w:pPr>
        <w:ind w:left="2880" w:hanging="360"/>
      </w:pPr>
    </w:lvl>
    <w:lvl w:ilvl="4" w:tplc="F1ECA1AE">
      <w:start w:val="1"/>
      <w:numFmt w:val="bullet"/>
      <w:lvlText w:val="○"/>
      <w:lvlJc w:val="left"/>
      <w:pPr>
        <w:ind w:left="3600" w:hanging="360"/>
      </w:pPr>
    </w:lvl>
    <w:lvl w:ilvl="5" w:tplc="3C06032A">
      <w:start w:val="1"/>
      <w:numFmt w:val="bullet"/>
      <w:lvlText w:val="■"/>
      <w:lvlJc w:val="left"/>
      <w:pPr>
        <w:ind w:left="4320" w:hanging="360"/>
      </w:pPr>
    </w:lvl>
    <w:lvl w:ilvl="6" w:tplc="B9DA7CAC">
      <w:start w:val="1"/>
      <w:numFmt w:val="bullet"/>
      <w:lvlText w:val="●"/>
      <w:lvlJc w:val="left"/>
      <w:pPr>
        <w:ind w:left="5040" w:hanging="360"/>
      </w:pPr>
    </w:lvl>
    <w:lvl w:ilvl="7" w:tplc="3FAAADC8">
      <w:start w:val="1"/>
      <w:numFmt w:val="bullet"/>
      <w:lvlText w:val="●"/>
      <w:lvlJc w:val="left"/>
      <w:pPr>
        <w:ind w:left="5760" w:hanging="360"/>
      </w:pPr>
    </w:lvl>
    <w:lvl w:ilvl="8" w:tplc="5D501B7E">
      <w:start w:val="1"/>
      <w:numFmt w:val="bullet"/>
      <w:lvlText w:val="●"/>
      <w:lvlJc w:val="left"/>
      <w:pPr>
        <w:ind w:left="6480" w:hanging="360"/>
      </w:pPr>
    </w:lvl>
  </w:abstractNum>
  <w:num w:numId="1" w16cid:durableId="1643659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0F4"/>
    <w:rsid w:val="002450F4"/>
    <w:rsid w:val="00624F89"/>
    <w:rsid w:val="00847374"/>
    <w:rsid w:val="0097222C"/>
    <w:rsid w:val="00D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624E3"/>
  <w15:docId w15:val="{F6D7E802-546A-4D29-B2D5-70747869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820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Eulalio Santos</cp:lastModifiedBy>
  <cp:revision>3</cp:revision>
  <dcterms:created xsi:type="dcterms:W3CDTF">2026-07-30T16:02:00Z</dcterms:created>
  <dcterms:modified xsi:type="dcterms:W3CDTF">2026-07-30T16:18:00Z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ca1366bf-9990-474f-84a6-b3e381cffbb7</vt:lpwstr>
  </property>
</Properties>
</file>