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Transcriptoma de novo da glândula salivar de </w:t>
      </w:r>
      <w:r>
        <w:rPr>
          <w:i/>
        </w:rPr>
        <w:t>Mahanarva spectabilis</w:t>
      </w:r>
      <w:r>
        <w:t xml:space="preserve"> (Hemiptera: Cercopidae): candidatos a efetores fitotóxicos e endossimbiontes associados à síndrome do "amarelão" em pastagens</w:t>
      </w:r>
    </w:p>
    <w:p>
      <w:pPr>
        <w:jc w:val="both"/>
      </w:pPr>
      <w:r>
        <w:rPr>
          <w:b/>
        </w:rPr>
        <w:t>Eulalio Santos¹\*, [Coautores a definir]</w:t>
      </w:r>
    </w:p>
    <w:p>
      <w:pPr>
        <w:jc w:val="both"/>
      </w:pPr>
      <w:r>
        <w:t>¹Departamento de Biologia Geral / Departamento de Bioquímica e Biologia Molecular, Universidade Federal de Viçosa (UFV), Viçosa, MG 36570-900, Brasil</w:t>
      </w:r>
    </w:p>
    <w:p>
      <w:pPr>
        <w:jc w:val="both"/>
      </w:pPr>
      <w:r>
        <w:t>\*Correspondência: eulalio.santos@ufv.br</w:t>
      </w:r>
    </w:p>
    <w:p>
      <w:pPr>
        <w:ind w:left="567"/>
      </w:pPr>
      <w:r>
        <w:rPr>
          <w:b/>
          <w:i/>
          <w:sz w:val="20"/>
        </w:rPr>
        <w:t>Nota:</w:t>
      </w:r>
      <w:r>
        <w:rPr>
          <w:i/>
          <w:sz w:val="20"/>
        </w:rPr>
        <w:t xml:space="preserve"> este documento é atualizado incrementalmente à medida que os módulos de análise avançam (ver [Seção 6 — Status das Análises](#6-status-das-análises--próximas-etapas) para o estado atual). Última atualização: 2026-07-02.</w:t>
      </w:r>
    </w:p>
    <w:p>
      <w:pPr/>
    </w:p>
    <w:p>
      <w:pPr>
        <w:pStyle w:val="Heading2"/>
      </w:pPr>
      <w:r>
        <w:t>Resumo / Abstract</w:t>
      </w:r>
    </w:p>
    <w:p>
      <w:pPr>
        <w:jc w:val="both"/>
      </w:pPr>
      <w:r>
        <w:rPr>
          <w:i/>
        </w:rPr>
        <w:t>Mahanarva spectabilis</w:t>
      </w:r>
      <w:r>
        <w:t xml:space="preserve"> (cigarrinha-das-pastagens, Hemiptera: Cercopidae) é uma das principais pragas de pastagens de </w:t>
      </w:r>
      <w:r>
        <w:rPr>
          <w:i/>
        </w:rPr>
        <w:t>Brachiaria</w:t>
      </w:r>
      <w:r>
        <w:t>/</w:t>
      </w:r>
      <w:r>
        <w:rPr>
          <w:i/>
        </w:rPr>
        <w:t>Urochloa</w:t>
      </w:r>
      <w:r>
        <w:t xml:space="preserve"> no Brasil, causando o sintoma conhecido como "amarelão": clorose progressiva e secamento foliar ao redor dos pontos de alimentação, com forte impacto na capacidade de suporte de pastagens. Apesar da relevância econômica, nenhum estudo até o momento identificou quimicamente o(s) composto(s) responsável(is) pela fitotoxemia, e a contribuição de microrganismos associados ao inseto (endossimbiontes obrigatórios, possíveis patógenos vetorados) permanece pouco explorada nesta espécie. Aqui apresentamos a montagem de novo e anotação funcional completa do transcriptoma da glândula salivar de </w:t>
      </w:r>
      <w:r>
        <w:rPr>
          <w:i/>
        </w:rPr>
        <w:t>M. spectabilis</w:t>
      </w:r>
      <w:r>
        <w:t xml:space="preserve"> (Trinity: 90.344 genes / 103.560 transcritos; CD-HIT-EST 95%; TransDecoder: 12.445 proteínas; BUSCO insecta_odb10: C:96,2%), e iniciamos uma investigação transcriptômica dirigida a duas hipóteses complementares sobre a origem do amarelão: (i) toxinas/efetores salivares fitotóxicos secretados durante a alimentação xilemática, e (ii) contribuição de microrganismos associados à glândula/hospedeiro. A triagem taxonômica das anotações já revelou </w:t>
      </w:r>
      <w:r>
        <w:rPr>
          <w:b/>
        </w:rPr>
        <w:t>57 proteínas com alta identidade (~99%) a *Candidatus* Karelsulcia muelleri e 1 proteína a um simbionte *Sodalis*-like de *Philaenus spumarius</w:t>
      </w:r>
      <w:r>
        <w:rPr>
          <w:i/>
        </w:rPr>
        <w:t xml:space="preserve">, consistente com o padrão de endossimbiose dupla obrigatória descrito para cigarrinhas-das-pastagens sul-americanas próximas. A anotação funcional já identifica múltiplos candidatos plausíveis a efetor salivar (proteases tipo veneno, peptídeos salivares secretados, mucinas, fosfolipases, domínios EF-hand/Ca-binding, lacase), cuja priorização sistemática (predição de secretoma + expressão + cruzamento com literatura proteômica do mesmo grupo) está em andamento. Este trabalho fornece o primeiro recurso transcriptômico de larga escala para a glândula salivar de </w:t>
      </w:r>
      <w:r>
        <w:t>M. spectabilis* e um arcabouço analítico replicável para testar hipóteses sobre fitotoxemia e simbiose em Cercopidae.</w:t>
      </w:r>
    </w:p>
    <w:p>
      <w:pPr>
        <w:jc w:val="both"/>
      </w:pPr>
      <w:r>
        <w:rPr>
          <w:b/>
        </w:rPr>
        <w:t>Palavras-chave:</w:t>
      </w:r>
      <w:r>
        <w:t xml:space="preserve"> </w:t>
      </w:r>
      <w:r>
        <w:rPr>
          <w:i/>
        </w:rPr>
        <w:t>Mahanarva spectabilis</w:t>
      </w:r>
      <w:r>
        <w:t xml:space="preserve">, cigarrinha-das-pastagens, amarelão, transcriptoma de novo, efetores salivares, endossimbiontes, </w:t>
      </w:r>
      <w:r>
        <w:rPr>
          <w:i/>
        </w:rPr>
        <w:t>Candidatus</w:t>
      </w:r>
      <w:r>
        <w:t xml:space="preserve"> Sulcia muelleri, fitotoxemia</w:t>
      </w:r>
    </w:p>
    <w:p>
      <w:pPr/>
    </w:p>
    <w:p>
      <w:pPr>
        <w:pStyle w:val="Heading2"/>
      </w:pPr>
      <w:r>
        <w:t>1. Introdução</w:t>
      </w:r>
    </w:p>
    <w:p>
      <w:pPr>
        <w:jc w:val="both"/>
      </w:pPr>
      <w:r>
        <w:rPr>
          <w:i/>
        </w:rPr>
        <w:t>Mahanarva spectabilis</w:t>
      </w:r>
      <w:r>
        <w:t xml:space="preserve"> (Distant, 1909) pertence ao grupo das "cigarrinhas-das-pastagens" (Hemiptera: Cercopidae), que inclui as principais pragas de gramíneas forrageiras neotropicais, entre elas os gêneros </w:t>
      </w:r>
      <w:r>
        <w:rPr>
          <w:i/>
        </w:rPr>
        <w:t>Mahanarva</w:t>
      </w:r>
      <w:r>
        <w:t xml:space="preserve">, </w:t>
      </w:r>
      <w:r>
        <w:rPr>
          <w:i/>
        </w:rPr>
        <w:t>Deois</w:t>
      </w:r>
      <w:r>
        <w:t xml:space="preserve">, </w:t>
      </w:r>
      <w:r>
        <w:rPr>
          <w:i/>
        </w:rPr>
        <w:t>Notozulia</w:t>
      </w:r>
      <w:r>
        <w:t xml:space="preserve"> e </w:t>
      </w:r>
      <w:r>
        <w:rPr>
          <w:i/>
        </w:rPr>
        <w:t>Zulia</w:t>
      </w:r>
      <w:r>
        <w:t xml:space="preserve"> (Hernandez et al., 2022). Populações de 25–50 adultos/m² podem reduzir a taxa de lotação de pastagens em 26–33% (Holmann &amp; Peck, 2002, apud Hernandez et al., 2022), tornando essas cigarrinhas uma das pragas de maior impacto econômico na pecuária brasileira baseada em </w:t>
      </w:r>
      <w:r>
        <w:rPr>
          <w:i/>
        </w:rPr>
        <w:t>Brachiaria</w:t>
      </w:r>
      <w:r>
        <w:t>/</w:t>
      </w:r>
      <w:r>
        <w:rPr>
          <w:i/>
        </w:rPr>
        <w:t>Urochloa</w:t>
      </w:r>
      <w:r>
        <w:t>.</w:t>
      </w:r>
    </w:p>
    <w:p>
      <w:pPr>
        <w:jc w:val="both"/>
      </w:pPr>
      <w:r>
        <w:t xml:space="preserve">O dano característico, popularmente conhecido como "amarelão" ou "queima do capim", manifesta-se como clorose acropetal em ninfas de estádios avançados e manchas cloróticas esbranquiçadas ao redor dos pontos de sucção em adultos, evoluindo para necrose e secamento foliar sob alta infestação (Valério et al., 2001; Sotelo &amp; Cardona, 2001; Thompson &amp; González, 2005). Diferentemente das cigarrinhas floema-alimentadoras (Cicadellidae, ex. </w:t>
      </w:r>
      <w:r>
        <w:rPr>
          <w:i/>
        </w:rPr>
        <w:t>Empoasca</w:t>
      </w:r>
      <w:r>
        <w:t xml:space="preserve"> spp.), cujo dano ("hopperburn") resulta de um padrão específico de ferimento vascular mais resposta da planta (Backus, Serrano &amp; Ranger, 2005), as cigarrinhas-das-pastagens (Cercopoidea) alimentam-se estritamente de xilema, formando uma bainha salivar contínua ao redor do vaso (Cornara et al., 2018). O consenso agronômico atribui o amarelão a substâncias fitotóxicas presentes na saliva injetada durante a alimentação xilemática, possivelmente incluindo uma fração que se coagula nos tecidos (bloqueio vascular local) e uma fração solúvel translocada a distância (necrose sistêmica). Ainda assim, </w:t>
      </w:r>
      <w:r>
        <w:rPr>
          <w:b/>
        </w:rPr>
        <w:t>nenhum estudo publicado identificou molecularmente essa(s) toxina(s)</w:t>
      </w:r>
      <w:r>
        <w:t xml:space="preserve"> até o momento.</w:t>
      </w:r>
    </w:p>
    <w:p>
      <w:pPr>
        <w:jc w:val="both"/>
      </w:pPr>
      <w:r>
        <w:t xml:space="preserve">Um grupo de pesquisa da UFV (Departamento de Bioquímica e Biologia Molecular) vem caracterizando por proteômica os componentes da saliva e da espuma protetora de </w:t>
      </w:r>
      <w:r>
        <w:rPr>
          <w:i/>
        </w:rPr>
        <w:t>M. spectabilis</w:t>
      </w:r>
      <w:r>
        <w:t xml:space="preserve">: Monteiro (2019) identificou candidatos a efetor, incluindo ácidos graxos de cadeia longa, na saliva de ninfas/adultos alimentados em diferentes forrageiras; Rinaldi (2021) investigou diretamente componentes moleculares da toxina e da espuma salivar; Rinaldi et al. (2026) caracterizaram estruturalmente proteínas de espuma de ninfas via LC-MS/MS e modelagem AlphaFold. O presente transcriptoma foi concebido como um recurso complementar em nível de transcrito para essa mesma pergunta biológica, permitindo (i) uma busca sistemática, guiada por anotação funcional e predição de secretoma, por candidatos a efetor/toxina salivar, e (ii) uma investigação, ainda inédita para o gênero </w:t>
      </w:r>
      <w:r>
        <w:rPr>
          <w:i/>
        </w:rPr>
        <w:t>Mahanarva</w:t>
      </w:r>
      <w:r>
        <w:t>, sobre a contribuição de microrganismos associados ao inseto.</w:t>
      </w:r>
    </w:p>
    <w:p>
      <w:pPr>
        <w:jc w:val="both"/>
      </w:pPr>
      <w:r>
        <w:t xml:space="preserve">Quanto à segunda hipótese: cigarrinhas-espumantes (superfamília Cercopoidea) são classicamente conhecidas por hospedar endossimbiontes bacterianos obrigatórios de complementação nutricional, tipicamente </w:t>
      </w:r>
      <w:r>
        <w:rPr>
          <w:i/>
        </w:rPr>
        <w:t>Candidatus</w:t>
      </w:r>
      <w:r>
        <w:t xml:space="preserve"> Sulcia muelleri (Bacteroidota) associado a um segundo simbionte, </w:t>
      </w:r>
      <w:r>
        <w:rPr>
          <w:i/>
        </w:rPr>
        <w:t>Candidatus</w:t>
      </w:r>
      <w:r>
        <w:t xml:space="preserve"> Zinderia insecticola (Betaproteobacteria) ou, em algumas linhagens, um substituto evolutivo </w:t>
      </w:r>
      <w:r>
        <w:rPr>
          <w:i/>
        </w:rPr>
        <w:t>Sodalis</w:t>
      </w:r>
      <w:r>
        <w:t xml:space="preserve">-like (McCutcheon &amp; Moran, 2007; Bennett &amp; Moran, 2013; Koga &amp; Moran, 2014). Foieri et al. (2022) confirmaram por 16S rRNA a presença de </w:t>
      </w:r>
      <w:r>
        <w:rPr>
          <w:i/>
        </w:rPr>
        <w:t>Sulcia</w:t>
      </w:r>
      <w:r>
        <w:t xml:space="preserve"> em três cigarrinhas-das-pastagens sul-americanas filogeneticamente próximas de </w:t>
      </w:r>
      <w:r>
        <w:rPr>
          <w:i/>
        </w:rPr>
        <w:t>Mahanarva</w:t>
      </w:r>
      <w:r>
        <w:t xml:space="preserve"> (</w:t>
      </w:r>
      <w:r>
        <w:rPr>
          <w:i/>
        </w:rPr>
        <w:t>Notozulia entreriana</w:t>
      </w:r>
      <w:r>
        <w:t xml:space="preserve">, </w:t>
      </w:r>
      <w:r>
        <w:rPr>
          <w:i/>
        </w:rPr>
        <w:t>Deois mourei</w:t>
      </w:r>
      <w:r>
        <w:t xml:space="preserve">, </w:t>
      </w:r>
      <w:r>
        <w:rPr>
          <w:i/>
        </w:rPr>
        <w:t>Deois knoblauchii</w:t>
      </w:r>
      <w:r>
        <w:t xml:space="preserve">), tornando a presença desse simbionte em </w:t>
      </w:r>
      <w:r>
        <w:rPr>
          <w:i/>
        </w:rPr>
        <w:t>M. spectabilis</w:t>
      </w:r>
      <w:r>
        <w:t xml:space="preserve"> uma expectativa forte a priori. Adicionalmente, por serem exclusivamente xilema-alimentadoras, cigarrinhas-das-pastagens são, em princípio, vetores mecanisticamente plausíveis de patógenos limitados ao xilema (ex. </w:t>
      </w:r>
      <w:r>
        <w:rPr>
          <w:i/>
        </w:rPr>
        <w:t>Xylella fastidiosa</w:t>
      </w:r>
      <w:r>
        <w:t>, já confirmada em cigarrinhas-espumantes europeias (Cornara et al., 2017), mas biologicamente incompatíveis como vetores de fitoplasmas (limitados ao floema).</w:t>
      </w:r>
    </w:p>
    <w:p>
      <w:pPr>
        <w:jc w:val="both"/>
      </w:pPr>
      <w:r>
        <w:t xml:space="preserve">Este artigo tem como objetivo (1) documentar a montagem e anotação funcional completa do transcriptoma da glândula salivar de </w:t>
      </w:r>
      <w:r>
        <w:rPr>
          <w:i/>
        </w:rPr>
        <w:t>M. spectabilis</w:t>
      </w:r>
      <w:r>
        <w:t>; (2) reportar os achados iniciais da triagem taxonômica quanto a endossimbiontes/microrganismos associados; e (3) estabelecer o arcabouço metodológico, em execução incremental, para a priorização de candidatos a efetor/toxina salivar relacionados ao amarelão.</w:t>
      </w:r>
    </w:p>
    <w:p>
      <w:pPr/>
    </w:p>
    <w:p>
      <w:pPr>
        <w:pStyle w:val="Heading2"/>
      </w:pPr>
      <w:r>
        <w:t>2. Materiais e Métodos</w:t>
      </w:r>
    </w:p>
    <w:p>
      <w:pPr>
        <w:pStyle w:val="Heading3"/>
      </w:pPr>
      <w:r>
        <w:t>2.1 Material biológico e sequenciamento</w:t>
      </w:r>
    </w:p>
    <w:p>
      <w:pPr>
        <w:jc w:val="both"/>
      </w:pPr>
      <w:r>
        <w:t xml:space="preserve">Glândulas salivares de </w:t>
      </w:r>
      <w:r>
        <w:rPr>
          <w:i/>
        </w:rPr>
        <w:t>M. spectabilis</w:t>
      </w:r>
      <w:r>
        <w:t xml:space="preserve"> foram dissecadas para extração de RNA total e sequenciamento Illumina paired-end (detalhes de biblioteca/plataforma/número de réplicas a confirmar e incluir nesta seção antes da submissão; ver </w:t>
      </w:r>
      <w:r>
        <w:rPr>
          <w:rFonts w:ascii="Courier New" w:hAnsi="Courier New"/>
          <w:sz w:val="20"/>
        </w:rPr>
        <w:t>data/README.md</w:t>
      </w:r>
      <w:r>
        <w:t>). Os arquivos FASTQ brutos não estão incluídos neste repositório devido ao tamanho; serão depositados no NCBI SRA por ocasião da publicação.</w:t>
      </w:r>
    </w:p>
    <w:p>
      <w:pPr>
        <w:pStyle w:val="Heading3"/>
      </w:pPr>
      <w:r>
        <w:t>2.2 Montagem de novo e avaliação de qualidade</w:t>
      </w:r>
    </w:p>
    <w:p>
      <w:pPr>
        <w:jc w:val="both"/>
      </w:pPr>
      <w:r>
        <w:t>Reads foram processados com FastQC + fastp (Q≥20, comprimento mínimo 50 bp) e montados de novo com Trinity (</w:t>
      </w:r>
      <w:r>
        <w:rPr>
          <w:rFonts w:ascii="Courier New" w:hAnsi="Courier New"/>
          <w:sz w:val="20"/>
        </w:rPr>
        <w:t>--SS_lib_type RF</w:t>
      </w:r>
      <w:r>
        <w:t xml:space="preserve">, </w:t>
      </w:r>
      <w:r>
        <w:rPr>
          <w:rFonts w:ascii="Courier New" w:hAnsi="Courier New"/>
          <w:sz w:val="20"/>
        </w:rPr>
        <w:t>--min_kmer_cov 2</w:t>
      </w:r>
      <w:r>
        <w:t xml:space="preserve">, </w:t>
      </w:r>
      <w:r>
        <w:rPr>
          <w:rFonts w:ascii="Courier New" w:hAnsi="Courier New"/>
          <w:sz w:val="20"/>
        </w:rPr>
        <w:t>--jaccard_clip</w:t>
      </w:r>
      <w:r>
        <w:t>). Transcritos redundantes foram agrupados com CD-HIT-EST (identidade 0,95). ORFs foram preditas com TransDecoder (</w:t>
      </w:r>
      <w:r>
        <w:rPr>
          <w:rFonts w:ascii="Courier New" w:hAnsi="Courier New"/>
          <w:sz w:val="20"/>
        </w:rPr>
        <w:t>--single_best_only</w:t>
      </w:r>
      <w:r>
        <w:t xml:space="preserve">). A completude da montagem foi avaliada com BUSCO (linhagem </w:t>
      </w:r>
      <w:r>
        <w:rPr>
          <w:rFonts w:ascii="Courier New" w:hAnsi="Courier New"/>
          <w:sz w:val="20"/>
        </w:rPr>
        <w:t>insecta_odb10</w:t>
      </w:r>
      <w:r>
        <w:t>, 1.367 genes ortólogos de cópia única) e estatísticas gerais com TrinityStats.pl/seqkit.</w:t>
      </w:r>
    </w:p>
    <w:p>
      <w:pPr>
        <w:pStyle w:val="Heading3"/>
      </w:pPr>
      <w:r>
        <w:t>2.3 Anotação funcional</w:t>
      </w:r>
    </w:p>
    <w:p>
      <w:pPr>
        <w:jc w:val="both"/>
      </w:pPr>
      <w:r>
        <w:t>Proteínas preditas foram anotadas por: (i) DIAMOND BLASTp contra o NCBI NR (</w:t>
      </w:r>
      <w:r>
        <w:rPr>
          <w:rFonts w:ascii="Courier New" w:hAnsi="Courier New"/>
          <w:sz w:val="20"/>
        </w:rPr>
        <w:t>--evalue 1e-5 --max-target-seqs 1</w:t>
      </w:r>
      <w:r>
        <w:t>); (ii) classificação taxonômica dos melhores hits via TaxonKit (lineage completo, não a versão reformatada por ranks, para evitar perda de classificação — ver Seção 5, Problemas Conhecidos); (iii) eggNOG-mapper (GO, KEGG, COG, CAZy); (iv) HMMER/Pfam-A (domínios proteicos). Todas as fontes foram integradas em uma tabela única (</w:t>
      </w:r>
      <w:r>
        <w:rPr>
          <w:rFonts w:ascii="Courier New" w:hAnsi="Courier New"/>
          <w:sz w:val="20"/>
        </w:rPr>
        <w:t>results/annotation_complete.tsv</w:t>
      </w:r>
      <w:r>
        <w:t xml:space="preserve">, </w:t>
      </w:r>
      <w:r>
        <w:rPr>
          <w:rFonts w:ascii="Courier New" w:hAnsi="Courier New"/>
          <w:sz w:val="20"/>
        </w:rPr>
        <w:t>03_annotation/auto_annotate.py</w:t>
      </w:r>
      <w:r>
        <w:t>).</w:t>
      </w:r>
    </w:p>
    <w:p>
      <w:pPr>
        <w:pStyle w:val="Heading3"/>
      </w:pPr>
      <w:r>
        <w:t>2.4 Quantificação de expressão</w:t>
      </w:r>
    </w:p>
    <w:p>
      <w:pPr>
        <w:jc w:val="both"/>
      </w:pPr>
      <w:r>
        <w:t>A abundância de transcritos foi quantificada com Salmon (</w:t>
      </w:r>
      <w:r>
        <w:rPr>
          <w:rFonts w:ascii="Courier New" w:hAnsi="Courier New"/>
          <w:sz w:val="20"/>
        </w:rPr>
        <w:t>expression/salmon-quant.sf</w:t>
      </w:r>
      <w:r>
        <w:t>, TPM por transcrito), usada como camada de evidência adicional na priorização de candidatos a efetor (Seção 2.6) e na extração de candidatos a endossimbionte (Seção 2.7).</w:t>
      </w:r>
    </w:p>
    <w:p>
      <w:pPr>
        <w:pStyle w:val="Heading3"/>
      </w:pPr>
      <w:r>
        <w:t>2.5 Predição de secretoma clássico</w:t>
      </w:r>
    </w:p>
    <w:p>
      <w:pPr>
        <w:jc w:val="both"/>
      </w:pPr>
      <w:r>
        <w:t>Proteínas preditas foram/serão submetidas a predição de peptídeo sinal (SignalP 6.0, com fallback para 5.0) e contagem de hélices transmembrana (TMHMM), classificando como "secretoma clássico" as proteínas com peptídeo sinal presente E ≤1 hélice TM (</w:t>
      </w:r>
      <w:r>
        <w:rPr>
          <w:rFonts w:ascii="Courier New" w:hAnsi="Courier New"/>
          <w:sz w:val="20"/>
        </w:rPr>
        <w:t>05_secretome/secretome_predict.py</w:t>
      </w:r>
      <w:r>
        <w:t xml:space="preserve">, 9 fases). </w:t>
      </w:r>
      <w:r>
        <w:rPr>
          <w:b/>
        </w:rPr>
        <w:t>Status: implementado, execução pendente</w:t>
      </w:r>
      <w:r>
        <w:t xml:space="preserve"> (depende de instalação de SignalP6/TMHMM em servidor com licença acadêmica — ver Seção 6).</w:t>
      </w:r>
    </w:p>
    <w:p>
      <w:pPr>
        <w:pStyle w:val="Heading3"/>
      </w:pPr>
      <w:r>
        <w:t>2.6 Priorização de candidatos a efetor/toxina salivar</w:t>
      </w:r>
    </w:p>
    <w:p>
      <w:pPr>
        <w:jc w:val="both"/>
      </w:pPr>
      <w:r>
        <w:t xml:space="preserve">Uma vez disponível o secretoma clássico, os candidatos serão filtrados por: (i) status de secretado; (ii) presença de termos/domínios funcionais associados a fitotoxicidade em Hemiptera na literatura (proteases tipo veneno, peptídeos salivares secretados, mucinas, lacases, fosfolipases A2/B, domínios EF-hand/Ca-binding, CAZymes GH28/GH5 via dbCAN dedicado); e (iii) nível de expressão (TPM). Peso adicional será atribuído a candidatos que se sobrepõem a famílias/proteínas já reportadas na proteômica do mesmo grupo (Monteiro, 2019; Rinaldi, 2021, 2026). </w:t>
      </w:r>
      <w:r>
        <w:rPr>
          <w:b/>
        </w:rPr>
        <w:t>Status: planejado, aguardando secretoma</w:t>
      </w:r>
      <w:r>
        <w:t xml:space="preserve"> (</w:t>
      </w:r>
      <w:r>
        <w:rPr>
          <w:rFonts w:ascii="Courier New" w:hAnsi="Courier New"/>
          <w:sz w:val="20"/>
        </w:rPr>
        <w:t>06_effector_prioritization/</w:t>
      </w:r>
      <w:r>
        <w:t>).</w:t>
      </w:r>
    </w:p>
    <w:p>
      <w:pPr>
        <w:pStyle w:val="Heading3"/>
      </w:pPr>
      <w:r>
        <w:t>2.7 Triagem de endossimbiontes e microrganismos associados</w:t>
      </w:r>
    </w:p>
    <w:p>
      <w:pPr>
        <w:jc w:val="both"/>
      </w:pPr>
      <w:r>
        <w:t xml:space="preserve">Na ausência de FASTQ bruto disponível para triagem metagenômica clássica (Kraken2/Kaiju), a triagem foi conduzida em duas camadas: </w:t>
      </w:r>
      <w:r>
        <w:rPr>
          <w:b/>
        </w:rPr>
        <w:t>Camada 1</w:t>
      </w:r>
      <w:r>
        <w:t xml:space="preserve"> (implementada) — reaproveitamento das classificações taxonômicas DIAMOND/lineage já geradas na anotação funcional (</w:t>
      </w:r>
      <w:r>
        <w:rPr>
          <w:rFonts w:ascii="Courier New" w:hAnsi="Courier New"/>
          <w:sz w:val="20"/>
        </w:rPr>
        <w:t>07_metagenomic_screen/01_taxonomic_summary.py</w:t>
      </w:r>
      <w:r>
        <w:t xml:space="preserve">), extraindo proteínas com hit em </w:t>
      </w:r>
      <w:r>
        <w:rPr>
          <w:i/>
        </w:rPr>
        <w:t>Sulcia</w:t>
      </w:r>
      <w:r>
        <w:t>/</w:t>
      </w:r>
      <w:r>
        <w:rPr>
          <w:i/>
        </w:rPr>
        <w:t>Zinderia</w:t>
      </w:r>
      <w:r>
        <w:t>/</w:t>
      </w:r>
      <w:r>
        <w:rPr>
          <w:i/>
        </w:rPr>
        <w:t>Sodalis</w:t>
      </w:r>
      <w:r>
        <w:t>-like e sinalizando separadamente hits de baixa prioridade (</w:t>
      </w:r>
      <w:r>
        <w:rPr>
          <w:i/>
        </w:rPr>
        <w:t>Xylella</w:t>
      </w:r>
      <w:r>
        <w:t xml:space="preserve">, fitoplasma) com justificativa biológica explícita (fitoplasmas são floema-limitados; a cigarrinha é xilema-alimentadora). </w:t>
      </w:r>
      <w:r>
        <w:rPr>
          <w:b/>
        </w:rPr>
        <w:t>Camada 2</w:t>
      </w:r>
      <w:r>
        <w:t xml:space="preserve"> (planejada, servidor) — confirmação independente via classificação de contigs montados por estrutura gênica (Whokaryote/Tiara) e/ou LCA taxonômico (CAT/BAT), robusta para organismos pouco representados em bancos de referência.</w:t>
      </w:r>
    </w:p>
    <w:p>
      <w:pPr/>
    </w:p>
    <w:p>
      <w:pPr>
        <w:pStyle w:val="Heading2"/>
      </w:pPr>
      <w:r>
        <w:t>3. Resultados</w:t>
      </w:r>
    </w:p>
    <w:p>
      <w:pPr>
        <w:pStyle w:val="Heading3"/>
      </w:pPr>
      <w:r>
        <w:t>3.1 Montagem e avaliação de qualidade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Métrica</w:t>
            </w:r>
          </w:p>
        </w:tc>
        <w:tc>
          <w:tcPr>
            <w:tcW w:type="dxa" w:w="4561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Valor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Genes Trinity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90.344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Transcritos Trinity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103.560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Conteúdo GC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34,21%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N50 (todos os transcritos)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738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Bases montadas totais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68.986.692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Proteínas TransDecoder (`--single_best_only`)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12.445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BUSCO (insecta_odb10, n=1.367)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C:96,2% [S:39,9%, D:56,3%], F:1,9%, M:1,9%</w:t>
            </w:r>
          </w:p>
        </w:tc>
      </w:tr>
    </w:tbl>
    <w:p>
      <w:pPr/>
    </w:p>
    <w:p>
      <w:pPr>
        <w:pStyle w:val="Heading3"/>
      </w:pPr>
      <w:r>
        <w:t>3.2 Anotação funcional</w:t>
      </w:r>
    </w:p>
    <w:p>
      <w:pPr>
        <w:jc w:val="both"/>
      </w:pPr>
      <w:r>
        <w:t>Da tabela integrada (</w:t>
      </w:r>
      <w:r>
        <w:rPr>
          <w:rFonts w:ascii="Courier New" w:hAnsi="Courier New"/>
          <w:sz w:val="20"/>
        </w:rPr>
        <w:t>results/annotation_complete.tsv</w:t>
      </w:r>
      <w:r>
        <w:t xml:space="preserve">, 12.445 proteínas), 62,1% possuem domínio Pfam, 44,0% possuem termo GO e 42,6% possuem ortólogo KEGG (eggNOG-mapper). Uma coluna CAZy foi adicionada (1,4% das proteínas, 175 no total), mas </w:t>
      </w:r>
      <w:r>
        <w:rPr>
          <w:b/>
        </w:rPr>
        <w:t>nenhum hit às famílias GH28/GH5</w:t>
      </w:r>
      <w:r>
        <w:t xml:space="preserve"> (celulases/pectinases classicamente associadas a efetores fitotóxicos de degradação de parede celular) foi encontrado, resultado que reflete a baixa sensibilidade já conhecida da anotação CAZy do eggNOG e motiva uma análise dbCAN dedicada (Seção 2.6).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64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ion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both"/>
      </w:pPr>
      <w:r>
        <w:rPr>
          <w:i/>
          <w:sz w:val="18"/>
        </w:rPr>
        <w:t>Figura 1. Cobertura da anotacao funcional e origem taxonomica das 12.445 proteinas preditas (dados corrigidos pos-fix do bug de merge de anotacao, Secao 3.2). (A) Proporcao de proteinas anotadas por fonte: dominio Pfam (62,1%), ortologo KEGG (42,6%), termo GO (44,0%) e hit DIAMOND contra o NCBI NR (75,1%). (B) Distribuicao taxonomica dos melhores hits DIAMOND: Eukaryota (8.711; 70,0%), nao classificado (3.164; 25,4%), Bacteria (540; 4,3%), Fungi (256; 2,1%) e Viruses (30; 0,2%).</w:t>
      </w:r>
    </w:p>
    <w:p>
      <w:pPr>
        <w:jc w:val="both"/>
      </w:pPr>
      <w:r>
        <w:t>A distribuição dos 20 termos GO mais frequentes (profundidade ≥ 3) reforça o perfil esperado de um tecido secretor metabolicamente ativo: entre os processos biológicos mais representados estão regulação de processo celular (25,6%) e processo metabólico primário (24,1%); entre as funções moleculares, ligação a composto heterocíclico (11,0%) e ligação a enzima (9,2%); entre os componentes celulares, organela intracelular (33,0%) e organela limitada por membrana (29,9%).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424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2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both"/>
      </w:pPr>
      <w:r>
        <w:rPr>
          <w:i/>
          <w:sz w:val="18"/>
        </w:rPr>
        <w:t>Figura 2. Distribuicao dos 20 termos GO mais frequentes por categoria entre as 12.445 proteinas preditas (profundidade GO &gt;= 3). Paineis: Processo Biologico, Funcao Molecular e Componente Celular, com o numero de proteinas e a porcentagem associada a cada termo.</w:t>
      </w:r>
    </w:p>
    <w:p>
      <w:pPr>
        <w:jc w:val="both"/>
      </w:pPr>
      <w:r>
        <w:t>Entre os 12.445 proteínas com ortólogo KEGG atribuído, a via mais representada é "Metabolic pathways" (845 proteínas, 6,8%), seguida por "Biosynthesis of secondary metabolites" (388; 3,1%) e "Ribosome" (261; 2,1%). A predominância de vias metabólicas centrais e de categorias amplamente conservadas (Human Diseases, Other) nas posições intermediárias do ranking é esperada para eggNOG-mapper, cuja anotação usa como referência ortólogos humanos/modelo, e não indica especialização funcional exclusiva da glândula salivar.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54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gg_pathways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4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both"/>
      </w:pPr>
      <w:r>
        <w:rPr>
          <w:i/>
          <w:sz w:val="18"/>
        </w:rPr>
        <w:t>Figura 3. Top 20 vias KEGG mais representadas entre as proteinas anotadas, coloridas por categoria funcional KEGG (Cellular Processes, Environmental/Genetic Information Processing, Human Diseases, Metabolism, Organismal Systems, Other). Via mais frequente: Metabolic pathways (845 proteinas, 6,8%), seguida por Biosynthesis of secondary metabolites (388; 3,1%) e Ribosome (261; 2,1%).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57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gg_pathways_bub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both"/>
      </w:pPr>
      <w:r>
        <w:rPr>
          <w:i/>
          <w:sz w:val="18"/>
        </w:rPr>
        <w:t>Figura 4. Distribuicao das 30 vias KEGG mais representadas, agrupadas por categoria funcional (eixo x) e numero de proteinas associadas (eixo y; tamanho do circulo proporcional a contagem). Complementa a Figura 3 ao evidenciar a dispersao de vias dentro de cada categoria KEGG.</w:t>
      </w:r>
    </w:p>
    <w:p>
      <w:pPr>
        <w:pStyle w:val="Heading3"/>
      </w:pPr>
      <w:r>
        <w:t>3.3 Distribuição taxonômica dos melhores hits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Origem taxonômica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N proteínas</w:t>
            </w:r>
          </w:p>
        </w:tc>
        <w:tc>
          <w:tcPr>
            <w:tcW w:type="dxa" w:w="3041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%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Eukaryota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8.711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70,0%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Bacteria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540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4,3%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Fungi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256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2,1%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Viruses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0,2%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Não classificado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3.164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25,4%</w:t>
            </w:r>
          </w:p>
        </w:tc>
      </w:tr>
    </w:tbl>
    <w:p>
      <w:pPr/>
    </w:p>
    <w:p>
      <w:pPr>
        <w:jc w:val="both"/>
      </w:pPr>
      <w:r>
        <w:rPr>
          <w:i/>
        </w:rPr>
        <w:t>Nota: as categorias Eukaryota/Fungi não são mutuamente exclusivas (uma proteína fúngica é, por definição, também eucariótica); a soma das categorias pode exceder 100%.</w:t>
      </w:r>
      <w:r>
        <w:t xml:space="preserve"> Entre os hits fúngicos, predominam espécies de </w:t>
      </w:r>
      <w:r>
        <w:rPr>
          <w:i/>
        </w:rPr>
        <w:t>Metarhizium</w:t>
      </w:r>
      <w:r>
        <w:t xml:space="preserve"> (fungo entomopatogênico), biologicamente plausível como infecção natural do inseto.</w:t>
      </w:r>
    </w:p>
    <w:p>
      <w:pPr>
        <w:pStyle w:val="Heading3"/>
      </w:pPr>
      <w:r>
        <w:t>3.4 Candidatos a endossimbionte</w:t>
      </w:r>
    </w:p>
    <w:p>
      <w:pPr>
        <w:jc w:val="both"/>
      </w:pPr>
      <w:r>
        <w:t xml:space="preserve">A extração dirigida de hits com correspondência a simbiontes conhecidos de Auchenorrhyncha identificou </w:t>
      </w:r>
      <w:r>
        <w:rPr>
          <w:b/>
        </w:rPr>
        <w:t>57 proteínas com ~99% de identidade a *Candidatus* Karelsulcia muelleri</w:t>
      </w:r>
      <w:r>
        <w:t xml:space="preserve">, incluindo genes housekeeping clássicos de simbiontes nutricionais (6-fosfofrutoquinase, GAPDH, chaperonina GroEL, enzima málica, fator de iniciação da tradução IF-2) — um padrão de expressão consistente com um simbionte metabolicamente ativo e não com contaminação aleatória. Foi identificada também </w:t>
      </w:r>
      <w:r>
        <w:rPr>
          <w:b/>
        </w:rPr>
        <w:t>1 proteína com hit em simbionte *Sodalis*-like de *Philaenus spumarius</w:t>
      </w:r>
      <w:r>
        <w:rPr>
          <w:i/>
        </w:rPr>
        <w:t xml:space="preserve"> (cigarrinha-das-pastagens europeia, mesma superfamília Cercopoidea). Esses achados são fortemente consistentes com o padrão de endossimbiose dupla obrigatória (</w:t>
      </w:r>
      <w:r>
        <w:t>Sulcia</w:t>
      </w:r>
      <w:r>
        <w:rPr>
          <w:i/>
        </w:rPr>
        <w:t xml:space="preserve"> + </w:t>
      </w:r>
      <w:r>
        <w:t>Zinderia</w:t>
      </w:r>
      <w:r>
        <w:rPr>
          <w:i/>
        </w:rPr>
        <w:t>/</w:t>
      </w:r>
      <w:r>
        <w:t>Sodalis*-like) já descrito para cigarrinhas-espumantes, incluindo três espécies sul-americanas próximas confirmadas por Foieri et al. (2022).</w:t>
      </w:r>
    </w:p>
    <w:p>
      <w:pPr>
        <w:jc w:val="both"/>
      </w:pPr>
      <w:r>
        <w:t xml:space="preserve">Dois hits de baixa confiança foram sinalizados separadamente: 1 proteína com 45,1% de identidade a </w:t>
      </w:r>
      <w:r>
        <w:rPr>
          <w:i/>
        </w:rPr>
        <w:t>Xylella fastidiosa</w:t>
      </w:r>
      <w:r>
        <w:t xml:space="preserve"> (domínio genérico Bro-N, baixa especificidade) e 1 proteína com 70,0% de identidade a uma DNA polimerase parcial de fitoplasma "aster yellows". Ambos são tratados como ruído exploratório e não como evidência de vetoração — o hit de fitoplasma é biologicamente improvável dado o hábito xilema-alimentador da espécie (ver Seção 1).</w:t>
      </w:r>
    </w:p>
    <w:p>
      <w:pPr>
        <w:pStyle w:val="Heading3"/>
      </w:pPr>
      <w:r>
        <w:t>3.5 Candidatos preliminares a efetor/toxina salivar (pré-secretoma)</w:t>
      </w:r>
    </w:p>
    <w:p>
      <w:pPr>
        <w:jc w:val="both"/>
      </w:pPr>
      <w:r>
        <w:t>Mesmo antes da filtragem formal por secretoma (Seção 2.6), a anotação funcional já revela múltiplas famílias de interesse compatíveis com efetores salivares fitotóxicos descritos em outros Hemiptera: proteases tipo veneno (protease-like, dipeptidil peptidase 4, carboxipeptidase de serina, 5′-nucleotidase tipo veneno de serpente), peptídeos/proteínas salivares secretados (domínio MBF2), óxido nítrico sintase salivar, lacase 1, mucinas (mucin-2/5AC/7/17, hemocitina), fosfolipases A2/B, e 78 domínios EF-hand (ligação a Ca²⁺). A ausência de anotação CAZy sensível (Seção 3.2) deixa em aberto a questão de celulases/pectinases, a ser resolvida com dbCAN dedicado. A priorização quantitativa (peso por secreção, expressão e literatura) está pendente (Seção 2.6).</w:t>
      </w:r>
    </w:p>
    <w:p>
      <w:pPr/>
    </w:p>
    <w:p>
      <w:pPr>
        <w:pStyle w:val="Heading2"/>
      </w:pPr>
      <w:r>
        <w:t>4. Discussão</w:t>
      </w:r>
    </w:p>
    <w:p>
      <w:pPr>
        <w:jc w:val="both"/>
      </w:pPr>
      <w:r>
        <w:t xml:space="preserve">Os resultados de montagem e anotação situam este transcriptoma como um recurso robusto e comparável a outros esforços de sequenciamento de novo em Hemiptera não-modelo (BUSCO &gt;95%, ampla cobertura de anotação funcional). O achado mais imediatamente conclusivo é a confirmação, em nível de transcrito, da endossimbiose dupla obrigatória esperada para Cercopoidea. Os 57 hits de </w:t>
      </w:r>
      <w:r>
        <w:rPr>
          <w:i/>
        </w:rPr>
        <w:t>Sulcia</w:t>
      </w:r>
      <w:r>
        <w:t xml:space="preserve"> com identidade ~99% em genes de biossíntese/metabolismo central deixam pouca dúvida quanto à presença ativa desse simbionte no material analisado, mesmo tendo a glândula salivar (e não o corpo gorduroso/bacteriócitos, sítio clássico de residência de </w:t>
      </w:r>
      <w:r>
        <w:rPr>
          <w:i/>
        </w:rPr>
        <w:t>Sulcia</w:t>
      </w:r>
      <w:r>
        <w:t xml:space="preserve">) como tecido de origem. Esse padrão de "vazamento" transcricional de simbiontes altamente expressos em tecidos adjacentes já foi documentado em outros Hemiptera (ex. </w:t>
      </w:r>
      <w:r>
        <w:rPr>
          <w:i/>
        </w:rPr>
        <w:t>Buchnera</w:t>
      </w:r>
      <w:r>
        <w:t xml:space="preserve"> em transcriptomas de afídeo, Bansal et al., 2014). Isso reforça a viabilidade de extrair informação de endossimbiontes a partir de transcriptomas de tecido específico, sem necessidade de sequenciamento metagenômico dedicado.</w:t>
      </w:r>
    </w:p>
    <w:p>
      <w:pPr>
        <w:jc w:val="both"/>
      </w:pPr>
      <w:r>
        <w:t xml:space="preserve">A ausência de suporte forte para </w:t>
      </w:r>
      <w:r>
        <w:rPr>
          <w:i/>
        </w:rPr>
        <w:t>Xylella fastidiosa</w:t>
      </w:r>
      <w:r>
        <w:t xml:space="preserve"> ou fitoplasma (hits únicos, fracos ou biologicamente implausíveis) não permite ainda descartar ou confirmar a hipótese de vetoração de patógenos; indica apenas que, se presente, a carga desses organismos no material sequenciado é muito baixa ou ausente. Dado que cigarrinhas-espumantes europeias já são vetores confirmados de </w:t>
      </w:r>
      <w:r>
        <w:rPr>
          <w:i/>
        </w:rPr>
        <w:t>Xylella</w:t>
      </w:r>
      <w:r>
        <w:t xml:space="preserve"> (Cornara et al., 2017) e que o hábito xilema-alimentador de </w:t>
      </w:r>
      <w:r>
        <w:rPr>
          <w:i/>
        </w:rPr>
        <w:t>M. spectabilis</w:t>
      </w:r>
      <w:r>
        <w:t xml:space="preserve"> é mecanisticamente compatível, esta permanece uma hipótese em aberto que merece confirmação direcionada (PCR específico, por exemplo), não descartável apenas pela ausência de sinal transcriptômico forte em uma única biblioteca.</w:t>
      </w:r>
    </w:p>
    <w:p>
      <w:pPr>
        <w:jc w:val="both"/>
      </w:pPr>
      <w:r>
        <w:t>Quanto à hipótese de toxina/efetor salivar, a anotação já disponível aponta para diversos candidatos promissores, mas a conclusão substantiva sobre quais desses transcritos são efetivamente secretados, abundantes e específicos da glândula salivar depende da execução do módulo de secretoma e da priorização quantitativa (Seção 2.5–2.6), ainda pendentes. A convergência entre esta abordagem transcriptômica e a proteômica já publicada/em andamento pelo grupo UFV (Monteiro, 2019; Rinaldi, 2021, 2026) será um teste importante de robustez para qualquer candidato priorizado.</w:t>
      </w:r>
    </w:p>
    <w:p>
      <w:pPr/>
    </w:p>
    <w:p>
      <w:pPr>
        <w:pStyle w:val="Heading2"/>
      </w:pPr>
      <w:r>
        <w:t>5. Limitações</w:t>
      </w:r>
    </w:p>
    <w:p>
      <w:pPr>
        <w:pStyle w:val="ListNumber"/>
        <w:spacing w:after="60"/>
      </w:pPr>
      <w:r>
        <w:t>Ausência de FASTQ bruto no repositório impede triagem metagenômica clássica (Kraken2/Kaiju) diretamente sobre as reads; a triagem atual depende de contigs/proteínas já montados e de sua representação em bancos de referência.</w:t>
      </w:r>
    </w:p>
    <w:p>
      <w:pPr>
        <w:pStyle w:val="ListNumber"/>
        <w:spacing w:after="60"/>
      </w:pPr>
      <w:r>
        <w:t>Cobertura de anotação por eggNOG/KEGG (~43-44%) e a ausência de hits CAZy GH28/GH5 podem refletir tanto ausência real dessas atividades enzimáticas quanto limitações de sensibilidade das ferramentas usadas; as duas explicações não são equivalentes.</w:t>
      </w:r>
    </w:p>
    <w:p>
      <w:pPr>
        <w:pStyle w:val="ListNumber"/>
        <w:spacing w:after="60"/>
      </w:pPr>
      <w:r>
        <w:t>Uma única biblioteca/condição de glândula salivar limita inferências sobre variação de expressão de candidatos a efetor entre hospedeiros/estádios; não há, no momento, comparação entre forrageiras resistentes/suscetíveis como em Monteiro (2019).</w:t>
      </w:r>
    </w:p>
    <w:p>
      <w:pPr>
        <w:pStyle w:val="ListNumber"/>
        <w:spacing w:after="60"/>
      </w:pPr>
      <w:r>
        <w:t xml:space="preserve">Os hits de </w:t>
      </w:r>
      <w:r>
        <w:rPr>
          <w:i/>
        </w:rPr>
        <w:t>Xylella</w:t>
      </w:r>
      <w:r>
        <w:t>/fitoplasma são de baixa confiança e não substituem confirmação molecular direcionada (PCR/sequenciamento de amplicon).</w:t>
      </w:r>
    </w:p>
    <w:p>
      <w:pPr/>
    </w:p>
    <w:p>
      <w:pPr>
        <w:pStyle w:val="Heading2"/>
      </w:pPr>
      <w:r>
        <w:t>6. Status das Análises / Próximas Etapas</w:t>
      </w:r>
    </w:p>
    <w:p>
      <w:pPr>
        <w:jc w:val="both"/>
      </w:pPr>
      <w:r>
        <w:t xml:space="preserve">Tabela viva, atualizada a cada módulo concluído (ver plano completo em </w:t>
      </w:r>
      <w:r>
        <w:rPr>
          <w:rFonts w:ascii="Courier New" w:hAnsi="Courier New"/>
          <w:sz w:val="20"/>
        </w:rPr>
        <w:t>C:\Users\eulal\.claude\plans\fa-a-um-diagn-stico-desse-crystalline-noodle.md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Módulo</w:t>
            </w:r>
          </w:p>
        </w:tc>
        <w:tc>
          <w:tcPr>
            <w:tcW w:type="dxa" w:w="228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8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Data</w:t>
            </w:r>
          </w:p>
        </w:tc>
        <w:tc>
          <w:tcPr>
            <w:tcW w:type="dxa" w:w="2280"/>
            <w:shd w:val="clear" w:color="auto" w:fill="D9E1F2"/>
          </w:tcPr>
          <w:p>
            <w:r>
              <w:rPr>
                <w:rFonts w:ascii="Times New Roman" w:hAnsi="Times New Roman"/>
                <w:b/>
                <w:sz w:val="20"/>
              </w:rPr>
              <w:t>Observação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1. Montagem + avaliação (Trinity/CD-HIT/TransDecoder/BUSCO)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Concluído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(histórico)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Seção 3.1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2. Anotação funcional (DIAMOND/eggNOG/Pfam) + correção de bug de merge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Concluído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2026-07-02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Bug de merge corrigido e validado (`03_annotation/07_fix_annotation_merge.py`); Seção 3.2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3. Quantificação de expressão (Salmon)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Concluído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(histórico)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Usado nos módulos 5 e 6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4. Triagem de endossimbiontes — Camada 1 (DIAMOND/lineage)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Concluído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2026-07-02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57 Sulcia + 1 Sodalis-like; Seção 3.4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5. Triagem de endossimbiontes — Camada 2 (Whokaryote/Tiara/CAT-BAT)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Pendente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Requer servidor; aguardando autorização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6. Predição de secretoma (SignalP6/TMHMM)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Pendente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Requer servidor + licença SignalP6; script pronto (`05_secretome/secretome_predict.py`)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7. Priorização de efetores/toxinas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Pendente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Depende do módulo 6; script a implementar (`06_effector_prioritization/`)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8. dbCAN dedicado (CAZy GH28/GH5)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Pendente (opcional)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Requer servidor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9. Confirmação direcionada Xylella/fitoplasma (PCR)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Sugerido, fora do escopo computacional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Decisão do grupo/laboratório</w:t>
            </w:r>
          </w:p>
        </w:tc>
      </w:tr>
    </w:tbl>
    <w:p>
      <w:pPr/>
    </w:p>
    <w:p>
      <w:pPr/>
    </w:p>
    <w:p>
      <w:pPr>
        <w:pStyle w:val="Heading2"/>
      </w:pPr>
      <w:r>
        <w:t>Referências</w:t>
      </w:r>
    </w:p>
    <w:p>
      <w:pPr>
        <w:jc w:val="both"/>
      </w:pPr>
      <w:r>
        <w:t xml:space="preserve">Backus, E.A., Serrano, M.S., Ranger, C.M. (2005). Mechanisms of hopperburn: an overview of insect taxonomy, behavior, and physiology. </w:t>
      </w:r>
      <w:r>
        <w:rPr>
          <w:i/>
        </w:rPr>
        <w:t>Annual Review of Entomology</w:t>
      </w:r>
      <w:r>
        <w:t>, 50, 125–151. https://doi.org/10.1146/annurev.ento.49.061802.123310</w:t>
      </w:r>
    </w:p>
    <w:p>
      <w:pPr>
        <w:jc w:val="both"/>
      </w:pPr>
      <w:r>
        <w:t xml:space="preserve">Bansal, R. et al. (2014). Deep sequencing of the transcriptomes of soybean aphid and associated endosymbionts. </w:t>
      </w:r>
      <w:r>
        <w:rPr>
          <w:i/>
        </w:rPr>
        <w:t>PLOS ONE</w:t>
      </w:r>
      <w:r>
        <w:t>, 9(9), e106438. https://doi.org/10.1371/journal.pone.0106438</w:t>
      </w:r>
    </w:p>
    <w:p>
      <w:pPr>
        <w:jc w:val="both"/>
      </w:pPr>
      <w:r>
        <w:t xml:space="preserve">Bennett, G.M., Moran, N.A. (2013). Small, smaller, smallest: the origins and evolution of ancient dual symbioses in a phloem-feeding insect. </w:t>
      </w:r>
      <w:r>
        <w:rPr>
          <w:i/>
        </w:rPr>
        <w:t>Genome Biology and Evolution</w:t>
      </w:r>
      <w:r>
        <w:t>, 5(9), 1675–1688. https://doi.org/10.1093/gbe/evt118</w:t>
      </w:r>
    </w:p>
    <w:p>
      <w:pPr>
        <w:jc w:val="both"/>
      </w:pPr>
      <w:r>
        <w:t xml:space="preserve">Buchfink, B., Xie, C., Huson, D.H. (2021). Sensitive protein alignments at tree-of-life scale using DIAMOND. </w:t>
      </w:r>
      <w:r>
        <w:rPr>
          <w:i/>
        </w:rPr>
        <w:t>Nature Methods</w:t>
      </w:r>
      <w:r>
        <w:t>, 18, 366–368. https://doi.org/10.1038/s41592-021-01101-x</w:t>
      </w:r>
    </w:p>
    <w:p>
      <w:pPr>
        <w:jc w:val="both"/>
      </w:pPr>
      <w:r>
        <w:t xml:space="preserve">Cantalapiedra, C.P. et al. (2021). eggNOG-mapper v2: functional annotation, orthology assignments, and domain prediction at the metagenomic scale. </w:t>
      </w:r>
      <w:r>
        <w:rPr>
          <w:i/>
        </w:rPr>
        <w:t>Molecular Biology and Evolution</w:t>
      </w:r>
      <w:r>
        <w:t>, 38(12), 5825–5829. https://doi.org/10.1093/molbev/msab293</w:t>
      </w:r>
    </w:p>
    <w:p>
      <w:pPr>
        <w:jc w:val="both"/>
      </w:pPr>
      <w:r>
        <w:t xml:space="preserve">Cornara, D. et al. (2017). Spittlebugs as vectors of </w:t>
      </w:r>
      <w:r>
        <w:rPr>
          <w:i/>
        </w:rPr>
        <w:t>Xylella fastidiosa</w:t>
      </w:r>
      <w:r>
        <w:t xml:space="preserve"> in olive orchards in Italy. </w:t>
      </w:r>
      <w:r>
        <w:rPr>
          <w:i/>
        </w:rPr>
        <w:t>Journal of Pest Science</w:t>
      </w:r>
      <w:r>
        <w:t>, 90, 521–530. https://doi.org/10.1007/s10340-016-0793-0</w:t>
      </w:r>
    </w:p>
    <w:p>
      <w:pPr>
        <w:jc w:val="both"/>
      </w:pPr>
      <w:r>
        <w:t xml:space="preserve">Cornara, D. et al. (2018). EPG combined with micro-CT and video recording reveals new insights on the feeding behavior of </w:t>
      </w:r>
      <w:r>
        <w:rPr>
          <w:i/>
        </w:rPr>
        <w:t>Philaenus spumarius</w:t>
      </w:r>
      <w:r>
        <w:t xml:space="preserve">. </w:t>
      </w:r>
      <w:r>
        <w:rPr>
          <w:i/>
        </w:rPr>
        <w:t>Journal of Pest Science</w:t>
      </w:r>
      <w:r>
        <w:t>, 91, 941–951.</w:t>
      </w:r>
    </w:p>
    <w:p>
      <w:pPr>
        <w:jc w:val="both"/>
      </w:pPr>
      <w:r>
        <w:t xml:space="preserve">Foieri, F., Decker-Franco, C., Marino de Remes Lenicov, A.M., Arneodo, J.D. (2022). First identification of bacterial endosymbionts in three South-American spittlebug pests: </w:t>
      </w:r>
      <w:r>
        <w:rPr>
          <w:i/>
        </w:rPr>
        <w:t>Notozulia entreriana</w:t>
      </w:r>
      <w:r>
        <w:t xml:space="preserve">, </w:t>
      </w:r>
      <w:r>
        <w:rPr>
          <w:i/>
        </w:rPr>
        <w:t>Deois mourei</w:t>
      </w:r>
      <w:r>
        <w:t xml:space="preserve"> and </w:t>
      </w:r>
      <w:r>
        <w:rPr>
          <w:i/>
        </w:rPr>
        <w:t>Deois knoblauchii</w:t>
      </w:r>
      <w:r>
        <w:t xml:space="preserve">. </w:t>
      </w:r>
      <w:r>
        <w:rPr>
          <w:i/>
        </w:rPr>
        <w:t>Bulletin of Insectology</w:t>
      </w:r>
      <w:r>
        <w:t>.</w:t>
      </w:r>
    </w:p>
    <w:p>
      <w:pPr>
        <w:jc w:val="both"/>
      </w:pPr>
      <w:r>
        <w:t xml:space="preserve">Grabherr, M.G. et al. (2011). Full-length transcriptome assembly from RNA-Seq data without a reference genome. </w:t>
      </w:r>
      <w:r>
        <w:rPr>
          <w:i/>
        </w:rPr>
        <w:t>Nature Biotechnology</w:t>
      </w:r>
      <w:r>
        <w:t>, 29(7), 644–652. https://doi.org/10.1038/nbt.1883</w:t>
      </w:r>
    </w:p>
    <w:p>
      <w:pPr>
        <w:jc w:val="both"/>
      </w:pPr>
      <w:r>
        <w:t xml:space="preserve">Hernandez, C.A. et al. (2022). Spittlebugs (Hemiptera: Cercopidae): integrated pest management on gramineous crops in the Neotropical ecozone. </w:t>
      </w:r>
      <w:r>
        <w:rPr>
          <w:i/>
        </w:rPr>
        <w:t>Frontiers in Sustainable Food Systems</w:t>
      </w:r>
      <w:r>
        <w:t>, 6, 891417. https://doi.org/10.3389/fsufs.2022.891417</w:t>
      </w:r>
    </w:p>
    <w:p>
      <w:pPr>
        <w:jc w:val="both"/>
      </w:pPr>
      <w:r>
        <w:t xml:space="preserve">Koga, R., Moran, N.A. (2014). Swapping symbionts in spittlebugs: evolutionary replacement of a reduced genome symbiont. </w:t>
      </w:r>
      <w:r>
        <w:rPr>
          <w:i/>
        </w:rPr>
        <w:t>The ISME Journal</w:t>
      </w:r>
      <w:r>
        <w:t>, 8, 1237–1249. https://doi.org/10.1038/ismej.2013.235</w:t>
      </w:r>
    </w:p>
    <w:p>
      <w:pPr>
        <w:jc w:val="both"/>
      </w:pPr>
      <w:r>
        <w:t xml:space="preserve">Manni, M. et al. (2021). BUSCO update: novel and streamlined workflows along with broader and deeper phylogenetic coverage for scoring of eukaryotic, prokaryotic, and viral genomes. </w:t>
      </w:r>
      <w:r>
        <w:rPr>
          <w:i/>
        </w:rPr>
        <w:t>Molecular Biology and Evolution</w:t>
      </w:r>
      <w:r>
        <w:t>, 38(10), 4647–4654. https://doi.org/10.1093/molbev/msab199</w:t>
      </w:r>
    </w:p>
    <w:p>
      <w:pPr>
        <w:jc w:val="both"/>
      </w:pPr>
      <w:r>
        <w:t xml:space="preserve">McCutcheon, J.P., Moran, N.A. (2007). Parallel genomic evolution and metabolic interdependence in an ancient symbiosis. </w:t>
      </w:r>
      <w:r>
        <w:rPr>
          <w:i/>
        </w:rPr>
        <w:t>PNAS</w:t>
      </w:r>
      <w:r>
        <w:t>, 104(49), 19392–19397. https://doi.org/10.1073/pnas.0708855104</w:t>
      </w:r>
    </w:p>
    <w:p>
      <w:pPr>
        <w:jc w:val="both"/>
      </w:pPr>
      <w:r>
        <w:t xml:space="preserve">Mistry, J. et al. (2021). Pfam: the protein families database in 2021. </w:t>
      </w:r>
      <w:r>
        <w:rPr>
          <w:i/>
        </w:rPr>
        <w:t>Nucleic Acids Research</w:t>
      </w:r>
      <w:r>
        <w:t>, 49(D1), D412–D419. https://doi.org/10.1093/nar/gkaa913</w:t>
      </w:r>
    </w:p>
    <w:p>
      <w:pPr>
        <w:jc w:val="both"/>
      </w:pPr>
      <w:r>
        <w:t>Monteiro, L.P. (2019). Caracterização molecular da interação das cigarrinhas-das-pastagens (</w:t>
      </w:r>
      <w:r>
        <w:rPr>
          <w:i/>
        </w:rPr>
        <w:t>Mahanarva spectabilis</w:t>
      </w:r>
      <w:r>
        <w:t>) com diferentes forrageiras. Dissertação de Mestrado, Universidade Federal de Viçosa.</w:t>
      </w:r>
    </w:p>
    <w:p>
      <w:pPr>
        <w:jc w:val="both"/>
      </w:pPr>
      <w:r>
        <w:t>Rinaldi, A.J. (2021). Análise de componentes moleculares da espuma e da toxina presente na glândula salivar de cigarrinha das pastagens. Dissertação de Mestrado, Universidade Federal de Viçosa.</w:t>
      </w:r>
    </w:p>
    <w:p>
      <w:pPr>
        <w:jc w:val="both"/>
      </w:pPr>
      <w:r>
        <w:t xml:space="preserve">Rinaldi, A.J. et al. (2026). Molecular and structural characterization of foam proteins from </w:t>
      </w:r>
      <w:r>
        <w:rPr>
          <w:i/>
        </w:rPr>
        <w:t>Mahanarva spectabilis</w:t>
      </w:r>
      <w:r>
        <w:t xml:space="preserve"> (Distant, 1909) (Hemiptera: Cercopidae) nymphs reveals adaptive features and potential targets for pest control. </w:t>
      </w:r>
      <w:r>
        <w:rPr>
          <w:i/>
        </w:rPr>
        <w:t>Archives of Insect Biochemistry and Physiology</w:t>
      </w:r>
      <w:r>
        <w:t>.</w:t>
      </w:r>
    </w:p>
    <w:p>
      <w:pPr>
        <w:jc w:val="both"/>
      </w:pPr>
      <w:r>
        <w:t>Sotelo, G., Cardona, C. (2001). [Sintomatologia e biologia de cigarrinhas-das-pastagens]. Apud Hernandez et al. (2022).</w:t>
      </w:r>
    </w:p>
    <w:p>
      <w:pPr>
        <w:jc w:val="both"/>
      </w:pPr>
      <w:r>
        <w:t>Thompson, V., González, R. (2005). [Danos de cigarrinhas em gramíneas forrageiras]. Apud Hernandez et al. (2022).</w:t>
      </w:r>
    </w:p>
    <w:p>
      <w:pPr>
        <w:jc w:val="both"/>
      </w:pPr>
      <w:r>
        <w:t>Valério, J.R. et al. (2001). [Caracterização de sintomas de dano de cigarrinhas-das-pastagens]. Apud Hernandez et al. (2022).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exac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