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 xml:space="preserve">Transcriptoma de novo da glândula salivar de </w:t>
      </w:r>
      <w:r>
        <w:rPr>
          <w:i/>
        </w:rPr>
        <w:t>Mahanarva spectabilis</w:t>
      </w:r>
      <w:r>
        <w:t xml:space="preserve"> (Hemiptera: Cercopidae): candidatos a efetores fitotóxicos e endossimbiontes associados à síndrome do "amarelão" em pastagens</w:t>
      </w:r>
    </w:p>
    <w:p>
      <w:pPr>
        <w:jc w:val="both"/>
      </w:pPr>
      <w:r>
        <w:rPr>
          <w:b/>
        </w:rPr>
        <w:t>Eulalio Santos¹\*, [Coautores a definir]</w:t>
      </w:r>
    </w:p>
    <w:p>
      <w:pPr>
        <w:jc w:val="both"/>
      </w:pPr>
      <w:r>
        <w:t>¹Departamento de Biologia Geral / Departamento de Bioquímica e Biologia Molecular, Universidade Federal de Viçosa (UFV), Viçosa, MG 36570-900, Brasil</w:t>
      </w:r>
    </w:p>
    <w:p>
      <w:pPr>
        <w:jc w:val="both"/>
      </w:pPr>
      <w:r>
        <w:t>\*Correspondência: eulalio.santos@ufv.br</w:t>
      </w:r>
    </w:p>
    <w:p>
      <w:pPr>
        <w:ind w:left="567"/>
      </w:pPr>
      <w:r>
        <w:rPr>
          <w:b/>
          <w:i/>
          <w:sz w:val="20"/>
        </w:rPr>
        <w:t>Nota:</w:t>
      </w:r>
      <w:r>
        <w:rPr>
          <w:i/>
          <w:sz w:val="20"/>
        </w:rPr>
        <w:t xml:space="preserve"> este documento é atualizado incrementalmente à medida que os módulos de análise avançam (ver [Seção 6 — Status das Análises](#6-status-das-análises--próximas-etapas) para o estado atual). Todos os 13 módulos computacionais planejados estão concluídos; passou por uma auditoria de integridade completa (dados vs. arquivos-fonte, servidor vs. local, revisão de código) em 2026-08-30/31, sem número fabricado encontrado (item 17). Última atualização: 2026-08-31.</w:t>
      </w:r>
    </w:p>
    <w:p>
      <w:pPr/>
    </w:p>
    <w:p>
      <w:pPr>
        <w:pStyle w:val="Heading2"/>
      </w:pPr>
      <w:r>
        <w:t>Resumo / Abstract</w:t>
      </w:r>
    </w:p>
    <w:p>
      <w:pPr>
        <w:jc w:val="both"/>
      </w:pPr>
      <w:r>
        <w:rPr>
          <w:i/>
        </w:rPr>
        <w:t>Mahanarva spectabilis</w:t>
      </w:r>
      <w:r>
        <w:t xml:space="preserve"> (cigarrinha-das-pastagens, Hemiptera: Cercopidae) é uma das principais pragas de pastagens de </w:t>
      </w:r>
      <w:r>
        <w:rPr>
          <w:i/>
        </w:rPr>
        <w:t>Brachiaria</w:t>
      </w:r>
      <w:r>
        <w:t>/</w:t>
      </w:r>
      <w:r>
        <w:rPr>
          <w:i/>
        </w:rPr>
        <w:t>Urochloa</w:t>
      </w:r>
      <w:r>
        <w:t xml:space="preserve"> no Brasil, causando o sintoma conhecido como "amarelão": clorose progressiva e secamento foliar ao redor dos pontos de alimentação, com forte impacto na capacidade de suporte de pastagens. Apesar da relevância econômica, nenhum estudo até o momento identificou quimicamente o(s) composto(s) responsável(is) pela fitotoxemia, e a contribuição de microrganismos associados ao inseto (endossimbiontes obrigatórios, possíveis patógenos vetorados) permanece pouco explorada nesta espécie. Aqui apresentamos a montagem de novo e anotação funcional completa do transcriptoma da glândula salivar de </w:t>
      </w:r>
      <w:r>
        <w:rPr>
          <w:i/>
        </w:rPr>
        <w:t>M. spectabilis</w:t>
      </w:r>
      <w:r>
        <w:t xml:space="preserve"> (Trinity: 90.344 genes / 103.560 transcritos; CD-HIT-EST 95%; TransDecoder: 12.445 proteínas; BUSCO insecta_odb10: C:96,2%), e iniciamos uma investigação transcriptômica dirigida a duas hipóteses complementares sobre a origem do amarelão: (i) toxinas/efetores salivares fitotóxicos secretados durante a alimentação xilemática, e (ii) contribuição de microrganismos associados à glândula/hospedeiro. A triagem taxonômica das anotações revelou </w:t>
      </w:r>
      <w:r>
        <w:rPr>
          <w:b/>
        </w:rPr>
        <w:t>57 proteínas com alta identidade (~99%) a *Candidatus* Karelsulcia muelleri e 1 proteína a um simbionte *Sodalis*-like de *Philaenus spumarius</w:t>
      </w:r>
      <w:r>
        <w:rPr>
          <w:i/>
        </w:rPr>
        <w:t xml:space="preserve">, consistente com o padrão de endossimbiose dupla obrigatória descrito para cigarrinhas-das-pastagens sul-americanas próximas; uma segunda camada de classificação estrutural independente (Whokaryote+Tiara) confirmou 3 desses candidatos como procariotos (0 discordâncias), com os demais fora do alcance de avaliação da ferramenta. A predição de secretoma clássico (TMbed) identificou 1.171 proteínas secretadas (9,4%), das quais </w:t>
      </w:r>
      <w:r>
        <w:rPr>
          <w:i/>
        </w:rPr>
        <w:t>35 são candidatos priorizados a efetor/toxina salivar</w:t>
      </w:r>
      <w:r>
        <w:rPr>
          <w:i/>
        </w:rPr>
        <w:t xml:space="preserve"> por combinarem secreção com termos/domínios associados a fitotoxicidade em outros Hemiptera (proteases e carboxipeptidases tipo veneno, peptídeos salivares secretados, mucinas, fosfolipases, domínios EF-hand/Ca-binding, lacase). Uma anotação dbCAN dedicada, mais sensível que a anotação CAZy padrão, identificou adicionalmente 15 proteínas com domínios GH28/GH5 (celulases/pectinases), embora nenhuma esteja no secretoma clássico. Numa terceira camada de triagem dirigida diretamente à pergunta "algum patógeno causa o amarelão?", caracterizamos o microbioma completo (540 hits de Bacteria e 256 de Fungi, agrupados por gênero) e conduzimos busca dirigida por vírus (domínio RdRp), confirmação/refutação genoma-inteira de </w:t>
      </w:r>
      <w:r>
        <w:t>Xylella</w:t>
      </w:r>
      <w:r>
        <w:rPr>
          <w:i/>
        </w:rPr>
        <w:t xml:space="preserve">/fitoplasma por mapeamento de reads brutos, e varredura por genes de toxina microbiana. </w:t>
      </w:r>
      <w:r>
        <w:rPr>
          <w:i/>
        </w:rPr>
        <w:t>Nenhum patógeno causador do amarelão foi confirmado</w:t>
      </w:r>
      <w:r>
        <w:rPr>
          <w:i/>
        </w:rPr>
        <w:t xml:space="preserve">: </w:t>
      </w:r>
      <w:r>
        <w:t>Xylella</w:t>
      </w:r>
      <w:r>
        <w:rPr>
          <w:i/>
        </w:rPr>
        <w:t xml:space="preserve"> e fitoplasma foram diretamente refutados (cobertura genoma-inteira &lt;0,3%, sinal residual majoritariamente explicado por rRNA conservado), os vírus confirmados com alta confiança são todos linhagens específicas de artrópode sem precedente fitopatogênico, e nenhum gene de fitotoxina clássica foi encontrado. Por eliminação, esse resultado reforça a hipótese de efetor/toxina salivar do próprio inseto como explicação mais bem sustentada pelos dados atuais. Este trabalho fornece o primeiro recurso transcriptômico de larga escala para a glândula salivar de </w:t>
      </w:r>
      <w:r>
        <w:t>M. spectabilis* e um arcabouço analítico replicável, com uma lista concreta e priorizada de candidatos, para testar hipóteses sobre fitotoxemia e simbiose em Cercopidae.</w:t>
      </w:r>
    </w:p>
    <w:p>
      <w:pPr>
        <w:jc w:val="both"/>
      </w:pPr>
      <w:r>
        <w:rPr>
          <w:b/>
        </w:rPr>
        <w:t>Palavras-chave:</w:t>
      </w:r>
      <w:r>
        <w:t xml:space="preserve"> </w:t>
      </w:r>
      <w:r>
        <w:rPr>
          <w:i/>
        </w:rPr>
        <w:t>Mahanarva spectabilis</w:t>
      </w:r>
      <w:r>
        <w:t xml:space="preserve">, cigarrinha-das-pastagens, amarelão, transcriptoma de novo, efetores salivares, endossimbiontes, </w:t>
      </w:r>
      <w:r>
        <w:rPr>
          <w:i/>
        </w:rPr>
        <w:t>Candidatus</w:t>
      </w:r>
      <w:r>
        <w:t xml:space="preserve"> Sulcia muelleri, fitotoxemia</w:t>
      </w:r>
    </w:p>
    <w:p>
      <w:pPr/>
    </w:p>
    <w:p>
      <w:pPr>
        <w:pStyle w:val="Heading2"/>
      </w:pPr>
      <w:r>
        <w:t>1. Introdução</w:t>
      </w:r>
    </w:p>
    <w:p>
      <w:pPr>
        <w:jc w:val="both"/>
      </w:pPr>
      <w:r>
        <w:rPr>
          <w:i/>
        </w:rPr>
        <w:t>Mahanarva spectabilis</w:t>
      </w:r>
      <w:r>
        <w:t xml:space="preserve"> (Distant, 1909) pertence ao grupo das "cigarrinhas-das-pastagens" (Hemiptera: Cercopidae), que inclui as principais pragas de gramíneas forrageiras neotropicais, entre elas os gêneros </w:t>
      </w:r>
      <w:r>
        <w:rPr>
          <w:i/>
        </w:rPr>
        <w:t>Mahanarva</w:t>
      </w:r>
      <w:r>
        <w:t xml:space="preserve">, </w:t>
      </w:r>
      <w:r>
        <w:rPr>
          <w:i/>
        </w:rPr>
        <w:t>Deois</w:t>
      </w:r>
      <w:r>
        <w:t xml:space="preserve">, </w:t>
      </w:r>
      <w:r>
        <w:rPr>
          <w:i/>
        </w:rPr>
        <w:t>Notozulia</w:t>
      </w:r>
      <w:r>
        <w:t xml:space="preserve"> e </w:t>
      </w:r>
      <w:r>
        <w:rPr>
          <w:i/>
        </w:rPr>
        <w:t>Zulia</w:t>
      </w:r>
      <w:r>
        <w:t xml:space="preserve"> (Hernandez et al., 2022). Populações de 25–50 adultos/m² podem reduzir a taxa de lotação de pastagens em 26–33% (Holmann &amp; Peck, 2002, apud Hernandez et al., 2022), tornando essas cigarrinhas uma das pragas de maior impacto econômico na pecuária brasileira baseada em </w:t>
      </w:r>
      <w:r>
        <w:rPr>
          <w:i/>
        </w:rPr>
        <w:t>Brachiaria</w:t>
      </w:r>
      <w:r>
        <w:t>/</w:t>
      </w:r>
      <w:r>
        <w:rPr>
          <w:i/>
        </w:rPr>
        <w:t>Urochloa</w:t>
      </w:r>
      <w:r>
        <w:t>.</w:t>
      </w:r>
    </w:p>
    <w:p>
      <w:pPr>
        <w:jc w:val="both"/>
      </w:pPr>
      <w:r>
        <w:t xml:space="preserve">O dano característico, popularmente conhecido como "amarelão" ou "queima do capim", manifesta-se como clorose acropetal em ninfas de estádios avançados e manchas cloróticas esbranquiçadas ao redor dos pontos de sucção em adultos, evoluindo para necrose e secamento foliar sob alta infestação (Valério et al., 2001; Sotelo &amp; Cardona, 2001; Thompson &amp; González, 2005). Diferentemente das cigarrinhas floema-alimentadoras (Cicadellidae, ex. </w:t>
      </w:r>
      <w:r>
        <w:rPr>
          <w:i/>
        </w:rPr>
        <w:t>Empoasca</w:t>
      </w:r>
      <w:r>
        <w:t xml:space="preserve"> spp.), cujo dano ("hopperburn") resulta de um padrão específico de ferimento vascular mais resposta da planta (Backus, Serrano &amp; Ranger, 2005), as cigarrinhas-das-pastagens (Cercopoidea) alimentam-se estritamente de xilema, formando uma bainha salivar contínua ao redor do vaso (Cornara et al., 2018). O consenso agronômico atribui o amarelão a substâncias fitotóxicas presentes na saliva injetada durante a alimentação xilemática, possivelmente incluindo uma fração que se coagula nos tecidos (bloqueio vascular local) e uma fração solúvel translocada a distância (necrose sistêmica). Ainda assim, </w:t>
      </w:r>
      <w:r>
        <w:rPr>
          <w:b/>
        </w:rPr>
        <w:t>nenhum estudo publicado identificou molecularmente essa(s) toxina(s)</w:t>
      </w:r>
      <w:r>
        <w:t xml:space="preserve"> até o momento.</w:t>
      </w:r>
    </w:p>
    <w:p>
      <w:pPr>
        <w:jc w:val="both"/>
      </w:pPr>
      <w:r>
        <w:t xml:space="preserve">Um grupo de pesquisa da UFV (Departamento de Bioquímica e Biologia Molecular) vem caracterizando por proteômica os componentes da saliva e da espuma protetora de </w:t>
      </w:r>
      <w:r>
        <w:rPr>
          <w:i/>
        </w:rPr>
        <w:t>M. spectabilis</w:t>
      </w:r>
      <w:r>
        <w:t xml:space="preserve">: Monteiro (2019) identificou candidatos a efetor, incluindo ácidos graxos de cadeia longa, na saliva de ninfas/adultos alimentados em diferentes forrageiras; Rinaldi (2021) investigou diretamente componentes moleculares da toxina e da espuma salivar; Rinaldi et al. (2026) caracterizaram estruturalmente proteínas de espuma de ninfas via LC-MS/MS e modelagem AlphaFold. O presente transcriptoma foi concebido como um recurso complementar em nível de transcrito para essa mesma pergunta biológica, permitindo (i) uma busca sistemática, guiada por anotação funcional e predição de secretoma, por candidatos a efetor/toxina salivar, e (ii) uma investigação, ainda inédita para o gênero </w:t>
      </w:r>
      <w:r>
        <w:rPr>
          <w:i/>
        </w:rPr>
        <w:t>Mahanarva</w:t>
      </w:r>
      <w:r>
        <w:t>, sobre a contribuição de microrganismos associados ao inseto.</w:t>
      </w:r>
    </w:p>
    <w:p>
      <w:pPr>
        <w:jc w:val="both"/>
      </w:pPr>
      <w:r>
        <w:t xml:space="preserve">Quanto à segunda hipótese: cigarrinhas-espumantes (superfamília Cercopoidea) são classicamente conhecidas por hospedar endossimbiontes bacterianos obrigatórios de complementação nutricional, tipicamente </w:t>
      </w:r>
      <w:r>
        <w:rPr>
          <w:i/>
        </w:rPr>
        <w:t>Candidatus</w:t>
      </w:r>
      <w:r>
        <w:t xml:space="preserve"> Sulcia muelleri (Bacteroidota) associado a um segundo simbionte, </w:t>
      </w:r>
      <w:r>
        <w:rPr>
          <w:i/>
        </w:rPr>
        <w:t>Candidatus</w:t>
      </w:r>
      <w:r>
        <w:t xml:space="preserve"> Zinderia insecticola (Betaproteobacteria) ou, em algumas linhagens, um substituto evolutivo </w:t>
      </w:r>
      <w:r>
        <w:rPr>
          <w:i/>
        </w:rPr>
        <w:t>Sodalis</w:t>
      </w:r>
      <w:r>
        <w:t xml:space="preserve">-like (McCutcheon &amp; Moran, 2007; Bennett &amp; Moran, 2013; Koga &amp; Moran, 2014). Foieri et al. (2022) confirmaram por 16S rRNA a presença de </w:t>
      </w:r>
      <w:r>
        <w:rPr>
          <w:i/>
        </w:rPr>
        <w:t>Sulcia</w:t>
      </w:r>
      <w:r>
        <w:t xml:space="preserve"> em três cigarrinhas-das-pastagens sul-americanas filogeneticamente próximas de </w:t>
      </w:r>
      <w:r>
        <w:rPr>
          <w:i/>
        </w:rPr>
        <w:t>Mahanarva</w:t>
      </w:r>
      <w:r>
        <w:t xml:space="preserve"> (</w:t>
      </w:r>
      <w:r>
        <w:rPr>
          <w:i/>
        </w:rPr>
        <w:t>Notozulia entreriana</w:t>
      </w:r>
      <w:r>
        <w:t xml:space="preserve">, </w:t>
      </w:r>
      <w:r>
        <w:rPr>
          <w:i/>
        </w:rPr>
        <w:t>Deois mourei</w:t>
      </w:r>
      <w:r>
        <w:t xml:space="preserve">, </w:t>
      </w:r>
      <w:r>
        <w:rPr>
          <w:i/>
        </w:rPr>
        <w:t>Deois knoblauchii</w:t>
      </w:r>
      <w:r>
        <w:t xml:space="preserve">), tornando a presença desse simbionte em </w:t>
      </w:r>
      <w:r>
        <w:rPr>
          <w:i/>
        </w:rPr>
        <w:t>M. spectabilis</w:t>
      </w:r>
      <w:r>
        <w:t xml:space="preserve"> uma expectativa forte a priori. Adicionalmente, por serem exclusivamente xilema-alimentadoras, cigarrinhas-das-pastagens são, em princípio, vetores mecanisticamente plausíveis de patógenos limitados ao xilema (ex. </w:t>
      </w:r>
      <w:r>
        <w:rPr>
          <w:i/>
        </w:rPr>
        <w:t>Xylella fastidiosa</w:t>
      </w:r>
      <w:r>
        <w:t>, já confirmada em cigarrinhas-espumantes europeias (Cornara et al., 2017), mas biologicamente incompatíveis como vetores de fitoplasmas (limitados ao floema).</w:t>
      </w:r>
    </w:p>
    <w:p>
      <w:pPr>
        <w:jc w:val="both"/>
      </w:pPr>
      <w:r>
        <w:t xml:space="preserve">Este artigo tem como objetivo (1) documentar a montagem e anotação funcional completa do transcriptoma da glândula salivar de </w:t>
      </w:r>
      <w:r>
        <w:rPr>
          <w:i/>
        </w:rPr>
        <w:t>M. spectabilis</w:t>
      </w:r>
      <w:r>
        <w:t>; (2) reportar os achados iniciais da triagem taxonômica quanto a endossimbiontes/microrganismos associados; e (3) estabelecer o arcabouço metodológico, em execução incremental, para a priorização de candidatos a efetor/toxina salivar relacionados ao amarelão.</w:t>
      </w:r>
    </w:p>
    <w:p>
      <w:pPr/>
    </w:p>
    <w:p>
      <w:pPr>
        <w:pStyle w:val="Heading2"/>
      </w:pPr>
      <w:r>
        <w:t>2. Materiais e Métodos</w:t>
      </w:r>
    </w:p>
    <w:p>
      <w:pPr>
        <w:pStyle w:val="Heading3"/>
      </w:pPr>
      <w:r>
        <w:t>2.1 Material biológico e sequenciamento</w:t>
      </w:r>
    </w:p>
    <w:p>
      <w:pPr>
        <w:jc w:val="both"/>
      </w:pPr>
      <w:r>
        <w:t xml:space="preserve">Glândulas salivares de </w:t>
      </w:r>
      <w:r>
        <w:rPr>
          <w:i/>
        </w:rPr>
        <w:t>M. spectabilis</w:t>
      </w:r>
      <w:r>
        <w:t xml:space="preserve"> foram dissecadas para extração de RNA total e sequenciamento Illumina paired-end (detalhes de biblioteca/plataforma/número de réplicas a confirmar e incluir nesta seção antes da submissão; ver </w:t>
      </w:r>
      <w:r>
        <w:rPr>
          <w:rFonts w:ascii="Courier New" w:hAnsi="Courier New"/>
          <w:sz w:val="20"/>
        </w:rPr>
        <w:t>data/README.md</w:t>
      </w:r>
      <w:r>
        <w:t>). Os arquivos FASTQ brutos não estão incluídos neste repositório devido ao tamanho; serão depositados no NCBI SRA por ocasião da publicação.</w:t>
      </w:r>
    </w:p>
    <w:p>
      <w:pPr>
        <w:pStyle w:val="Heading3"/>
      </w:pPr>
      <w:r>
        <w:t>2.2 Montagem de novo e avaliação de qualidade</w:t>
      </w:r>
    </w:p>
    <w:p>
      <w:pPr>
        <w:jc w:val="both"/>
      </w:pPr>
      <w:r>
        <w:t xml:space="preserve">Reads foram avaliados com </w:t>
      </w:r>
      <w:r>
        <w:rPr>
          <w:b/>
        </w:rPr>
        <w:t>FastQC v0.12.1</w:t>
      </w:r>
      <w:r>
        <w:t xml:space="preserve"> e </w:t>
      </w:r>
      <w:r>
        <w:rPr>
          <w:b/>
        </w:rPr>
        <w:t>MultiQC v1.21</w:t>
      </w:r>
      <w:r>
        <w:t xml:space="preserve"> (relatório agregado, pré e pós-trimming) e filtrados/aparados com </w:t>
      </w:r>
      <w:r>
        <w:rPr>
          <w:b/>
        </w:rPr>
        <w:t>fastp v0.23.4</w:t>
      </w:r>
      <w:r>
        <w:t xml:space="preserve"> (Q≥20, comprimento mínimo 50 bp). A montagem de novo foi feita com </w:t>
      </w:r>
      <w:r>
        <w:rPr>
          <w:b/>
        </w:rPr>
        <w:t>Trinity v2.15.2</w:t>
      </w:r>
      <w:r>
        <w:t xml:space="preserve"> (</w:t>
      </w:r>
      <w:r>
        <w:rPr>
          <w:rFonts w:ascii="Courier New" w:hAnsi="Courier New"/>
          <w:sz w:val="20"/>
        </w:rPr>
        <w:t>--SS_lib_type RF</w:t>
      </w:r>
      <w:r>
        <w:t xml:space="preserve">, </w:t>
      </w:r>
      <w:r>
        <w:rPr>
          <w:rFonts w:ascii="Courier New" w:hAnsi="Courier New"/>
          <w:sz w:val="20"/>
        </w:rPr>
        <w:t>--min_kmer_cov 2</w:t>
      </w:r>
      <w:r>
        <w:t xml:space="preserve">, </w:t>
      </w:r>
      <w:r>
        <w:rPr>
          <w:rFonts w:ascii="Courier New" w:hAnsi="Courier New"/>
          <w:sz w:val="20"/>
        </w:rPr>
        <w:t>--min_contig_length 300</w:t>
      </w:r>
      <w:r>
        <w:t xml:space="preserve">, </w:t>
      </w:r>
      <w:r>
        <w:rPr>
          <w:rFonts w:ascii="Courier New" w:hAnsi="Courier New"/>
          <w:sz w:val="20"/>
        </w:rPr>
        <w:t>--jaccard_clip</w:t>
      </w:r>
      <w:r>
        <w:t xml:space="preserve">). Transcritos redundantes foram agrupados com </w:t>
      </w:r>
      <w:r>
        <w:rPr>
          <w:b/>
        </w:rPr>
        <w:t>CD-HIT-EST v4.8.1</w:t>
      </w:r>
      <w:r>
        <w:t xml:space="preserve"> (</w:t>
      </w:r>
      <w:r>
        <w:rPr>
          <w:rFonts w:ascii="Courier New" w:hAnsi="Courier New"/>
          <w:sz w:val="20"/>
        </w:rPr>
        <w:t>-c 0.95</w:t>
      </w:r>
      <w:r>
        <w:t xml:space="preserve">, identidade de 95% sobre a sequência mais curta; </w:t>
      </w:r>
      <w:r>
        <w:rPr>
          <w:rFonts w:ascii="Courier New" w:hAnsi="Courier New"/>
          <w:sz w:val="20"/>
        </w:rPr>
        <w:t>-n 8</w:t>
      </w:r>
      <w:r>
        <w:t xml:space="preserve">, </w:t>
      </w:r>
      <w:r>
        <w:rPr>
          <w:rFonts w:ascii="Courier New" w:hAnsi="Courier New"/>
          <w:sz w:val="20"/>
        </w:rPr>
        <w:t>-M 0</w:t>
      </w:r>
      <w:r>
        <w:t xml:space="preserve">). ORFs foram preditas com </w:t>
      </w:r>
      <w:r>
        <w:rPr>
          <w:b/>
        </w:rPr>
        <w:t>TransDecoder v5.7.1</w:t>
      </w:r>
      <w:r>
        <w:t xml:space="preserve"> (</w:t>
      </w:r>
      <w:r>
        <w:rPr>
          <w:rFonts w:ascii="Courier New" w:hAnsi="Courier New"/>
          <w:sz w:val="20"/>
        </w:rPr>
        <w:t>TransDecoder.LongOrfs -m 100</w:t>
      </w:r>
      <w:r>
        <w:t xml:space="preserve"> seguido de </w:t>
      </w:r>
      <w:r>
        <w:rPr>
          <w:rFonts w:ascii="Courier New" w:hAnsi="Courier New"/>
          <w:sz w:val="20"/>
        </w:rPr>
        <w:t>TransDecoder.Predict --single_best_only</w:t>
      </w:r>
      <w:r>
        <w:t xml:space="preserve">, retendo o melhor ORF por transcrito, mínimo 100 aminoácidos). A completude da montagem foi avaliada com </w:t>
      </w:r>
      <w:r>
        <w:rPr>
          <w:b/>
        </w:rPr>
        <w:t>BUSCO v6.0.0</w:t>
      </w:r>
      <w:r>
        <w:t xml:space="preserve"> (linhagem </w:t>
      </w:r>
      <w:r>
        <w:rPr>
          <w:rFonts w:ascii="Courier New" w:hAnsi="Courier New"/>
          <w:sz w:val="20"/>
        </w:rPr>
        <w:t>insecta_odb10</w:t>
      </w:r>
      <w:r>
        <w:t xml:space="preserve">, criada em 2024-01-08, 1.367 genes ortólogos de cópia única, modo </w:t>
      </w:r>
      <w:r>
        <w:rPr>
          <w:rFonts w:ascii="Courier New" w:hAnsi="Courier New"/>
          <w:sz w:val="20"/>
        </w:rPr>
        <w:t>euk_tran</w:t>
      </w:r>
      <w:r>
        <w:t xml:space="preserve">; dependências internas hmmsearch 3.4 e metaeuk 7.bba0d80) e estatísticas gerais com </w:t>
      </w:r>
      <w:r>
        <w:rPr>
          <w:rFonts w:ascii="Courier New" w:hAnsi="Courier New"/>
          <w:sz w:val="20"/>
        </w:rPr>
        <w:t>TrinityStats.pl</w:t>
      </w:r>
      <w:r>
        <w:t xml:space="preserve"> (empacotado com o Trinity) e </w:t>
      </w:r>
      <w:r>
        <w:rPr>
          <w:b/>
        </w:rPr>
        <w:t>seqkit v2.13.0</w:t>
      </w:r>
      <w:r>
        <w:t>.</w:t>
      </w:r>
    </w:p>
    <w:p>
      <w:pPr>
        <w:pStyle w:val="Heading3"/>
      </w:pPr>
      <w:r>
        <w:t>2.3 Anotação funcional</w:t>
      </w:r>
    </w:p>
    <w:p>
      <w:pPr>
        <w:jc w:val="both"/>
      </w:pPr>
      <w:r>
        <w:t xml:space="preserve">Proteínas preditas foram anotadas por: (i) </w:t>
      </w:r>
      <w:r>
        <w:rPr>
          <w:b/>
        </w:rPr>
        <w:t>DIAMOND v2.1.9</w:t>
      </w:r>
      <w:r>
        <w:t xml:space="preserve"> BLASTp contra o NCBI NR (</w:t>
      </w:r>
      <w:r>
        <w:rPr>
          <w:rFonts w:ascii="Courier New" w:hAnsi="Courier New"/>
          <w:sz w:val="20"/>
        </w:rPr>
        <w:t>--evalue 1e-5 --max-target-seqs 1</w:t>
      </w:r>
      <w:r>
        <w:t xml:space="preserve">); (ii) classificação taxonômica dos melhores hits via </w:t>
      </w:r>
      <w:r>
        <w:rPr>
          <w:b/>
        </w:rPr>
        <w:t>TaxonKit v0.15.1</w:t>
      </w:r>
      <w:r>
        <w:t xml:space="preserve"> (lineage completo, não a versão reformatada por ranks, para evitar perda de classificação — ver Seção 5, Problemas Conhecidos); (iii) </w:t>
      </w:r>
      <w:r>
        <w:rPr>
          <w:b/>
        </w:rPr>
        <w:t>eggNOG-mapper v2.1.12</w:t>
      </w:r>
      <w:r>
        <w:t xml:space="preserve"> (GO, KEGG, COG, CAZy); (iv) </w:t>
      </w:r>
      <w:r>
        <w:rPr>
          <w:b/>
        </w:rPr>
        <w:t>HMMER v3.4</w:t>
      </w:r>
      <w:r>
        <w:t xml:space="preserve"> (</w:t>
      </w:r>
      <w:r>
        <w:rPr>
          <w:rFonts w:ascii="Courier New" w:hAnsi="Courier New"/>
          <w:sz w:val="20"/>
        </w:rPr>
        <w:t>hmmscan</w:t>
      </w:r>
      <w:r>
        <w:t xml:space="preserve">) contra o banco </w:t>
      </w:r>
      <w:r>
        <w:rPr>
          <w:b/>
        </w:rPr>
        <w:t>Pfam-A</w:t>
      </w:r>
      <w:r>
        <w:t xml:space="preserve"> (domínios proteicos). Todas as fontes foram integradas em uma tabela única (</w:t>
      </w:r>
      <w:r>
        <w:rPr>
          <w:rFonts w:ascii="Courier New" w:hAnsi="Courier New"/>
          <w:sz w:val="20"/>
        </w:rPr>
        <w:t>results/annotation_complete.tsv</w:t>
      </w:r>
      <w:r>
        <w:t xml:space="preserve">, </w:t>
      </w:r>
      <w:r>
        <w:rPr>
          <w:rFonts w:ascii="Courier New" w:hAnsi="Courier New"/>
          <w:sz w:val="20"/>
        </w:rPr>
        <w:t>03_annotation/auto_annotate.py</w:t>
      </w:r>
      <w:r>
        <w:t xml:space="preserve"> + </w:t>
      </w:r>
      <w:r>
        <w:rPr>
          <w:rFonts w:ascii="Courier New" w:hAnsi="Courier New"/>
          <w:sz w:val="20"/>
        </w:rPr>
        <w:t>07_fix_annotation_merge.py</w:t>
      </w:r>
      <w:r>
        <w:t>).</w:t>
      </w:r>
    </w:p>
    <w:p>
      <w:pPr>
        <w:pStyle w:val="Heading3"/>
      </w:pPr>
      <w:r>
        <w:t>2.4 Quantificação de expressão</w:t>
      </w:r>
    </w:p>
    <w:p>
      <w:pPr>
        <w:jc w:val="both"/>
      </w:pPr>
      <w:r>
        <w:t xml:space="preserve">A abundância de transcritos foi quantificada com </w:t>
      </w:r>
      <w:r>
        <w:rPr>
          <w:b/>
        </w:rPr>
        <w:t>Salmon v1.10.3</w:t>
      </w:r>
      <w:r>
        <w:t xml:space="preserve"> (modo de mapeamento seletivo contra o transcriptoma montado, TPM por transcrito; </w:t>
      </w:r>
      <w:r>
        <w:rPr>
          <w:rFonts w:ascii="Courier New" w:hAnsi="Courier New"/>
          <w:sz w:val="20"/>
        </w:rPr>
        <w:t>expression/salmon-quant.sf</w:t>
      </w:r>
      <w:r>
        <w:t>), usada como camada de evidência adicional na priorização de candidatos a efetor (Seção 2.6) e na extração de candidatos a endossimbionte (Seção 2.7).</w:t>
      </w:r>
    </w:p>
    <w:p>
      <w:pPr>
        <w:pStyle w:val="Heading3"/>
      </w:pPr>
      <w:r>
        <w:t>2.5 Predição de secretoma clássico</w:t>
      </w:r>
    </w:p>
    <w:p>
      <w:pPr>
        <w:jc w:val="both"/>
      </w:pPr>
      <w:r>
        <w:t xml:space="preserve">Proteínas preditas foram submetidas a predição conjunta de peptídeo sinal e segmento transmembrana com </w:t>
      </w:r>
      <w:r>
        <w:rPr>
          <w:b/>
        </w:rPr>
        <w:t>TMbed v1.0.2</w:t>
      </w:r>
      <w:r>
        <w:t xml:space="preserve"> (Bernhofer &amp; Rost, 2022; torch v2.13.0, transformers v4.57.6), um preditor baseado em embeddings de protein language model (ProtT5), classificando como "secretoma clássico" as proteínas com peptídeo sinal presente E ≤1 segmento transmembrana (</w:t>
      </w:r>
      <w:r>
        <w:rPr>
          <w:rFonts w:ascii="Courier New" w:hAnsi="Courier New"/>
          <w:sz w:val="20"/>
        </w:rPr>
        <w:t>05_secretome/secretome_predict.py</w:t>
      </w:r>
      <w:r>
        <w:t>). TMbed substituiu SignalP6/TMHMM, cuja licença acadêmica DTU nunca foi obtida neste ou em outros dois projetos do laboratório (</w:t>
      </w:r>
      <w:r>
        <w:rPr>
          <w:rFonts w:ascii="Courier New" w:hAnsi="Courier New"/>
          <w:sz w:val="20"/>
        </w:rPr>
        <w:t>RLPredictiOme</w:t>
      </w:r>
      <w:r>
        <w:t xml:space="preserve">, </w:t>
      </w:r>
      <w:r>
        <w:rPr>
          <w:rFonts w:ascii="Courier New" w:hAnsi="Courier New"/>
          <w:sz w:val="20"/>
        </w:rPr>
        <w:t>caracterization-trypsin</w:t>
      </w:r>
      <w:r>
        <w:t xml:space="preserve">); TMbed é instalável via </w:t>
      </w:r>
      <w:r>
        <w:rPr>
          <w:rFonts w:ascii="Courier New" w:hAnsi="Courier New"/>
          <w:sz w:val="20"/>
        </w:rPr>
        <w:t>pip</w:t>
      </w:r>
      <w:r>
        <w:t xml:space="preserve">, roda localmente sem necessidade de conta/licença, e não está disponível via bioconda/conda-forge sob nenhum nome de pacote. </w:t>
      </w:r>
      <w:r>
        <w:rPr>
          <w:b/>
        </w:rPr>
        <w:t>Status: concluído.</w:t>
      </w:r>
    </w:p>
    <w:p>
      <w:pPr>
        <w:pStyle w:val="Heading3"/>
      </w:pPr>
      <w:r>
        <w:t>2.6 Priorização de candidatos a efetor/toxina salivar</w:t>
      </w:r>
    </w:p>
    <w:p>
      <w:pPr>
        <w:jc w:val="both"/>
      </w:pPr>
      <w:r>
        <w:t xml:space="preserve">Os candidatos foram filtrados por: (i) status de secretado (Seção 2.5); (ii) presença de termos/domínios funcionais associados a fitotoxicidade em Hemiptera na literatura (proteases tipo veneno, peptídeos salivares secretados, mucinas, lacases, fosfolipases A2/B, domínios EF-hand/Ca-binding, CAZymes GH28/GH5 via dbCAN dedicado, com correspondência por expressão regular sensível a subfamílias com sufixo, ex. </w:t>
      </w:r>
      <w:r>
        <w:rPr>
          <w:rFonts w:ascii="Courier New" w:hAnsi="Courier New"/>
          <w:sz w:val="20"/>
        </w:rPr>
        <w:t>GH5_12</w:t>
      </w:r>
      <w:r>
        <w:t xml:space="preserve">) e (iii) nível de expressão (TPM), via </w:t>
      </w:r>
      <w:r>
        <w:rPr>
          <w:rFonts w:ascii="Courier New" w:hAnsi="Courier New"/>
          <w:sz w:val="20"/>
        </w:rPr>
        <w:t>06_effector_prioritization/effector_candidates.py</w:t>
      </w:r>
      <w:r>
        <w:t xml:space="preserve">. O ranking é aditivo (número de termos curados correspondentes, depois TPM), não inferido por ML. </w:t>
      </w:r>
      <w:r>
        <w:rPr>
          <w:b/>
        </w:rPr>
        <w:t>Status: concluído.</w:t>
      </w:r>
    </w:p>
    <w:p>
      <w:pPr>
        <w:pStyle w:val="Heading3"/>
      </w:pPr>
      <w:r>
        <w:t>2.7 Triagem de endossimbiontes, patógenos e microbioma associado (Camadas 1–3)</w:t>
      </w:r>
    </w:p>
    <w:p>
      <w:pPr>
        <w:jc w:val="both"/>
      </w:pPr>
      <w:r>
        <w:t xml:space="preserve">A triagem foi conduzida em três camadas progressivas. </w:t>
      </w:r>
      <w:r>
        <w:rPr>
          <w:b/>
        </w:rPr>
        <w:t>Camada 1</w:t>
      </w:r>
      <w:r>
        <w:t xml:space="preserve"> — reaproveitamento das classificações taxonômicas DIAMOND/lineage já geradas na anotação funcional (</w:t>
      </w:r>
      <w:r>
        <w:rPr>
          <w:rFonts w:ascii="Courier New" w:hAnsi="Courier New"/>
          <w:sz w:val="20"/>
        </w:rPr>
        <w:t>07_metagenomic_screen/01_taxonomic_summary.py</w:t>
      </w:r>
      <w:r>
        <w:t xml:space="preserve">), extraindo proteínas com hit em </w:t>
      </w:r>
      <w:r>
        <w:rPr>
          <w:i/>
        </w:rPr>
        <w:t>Sulcia</w:t>
      </w:r>
      <w:r>
        <w:t>/</w:t>
      </w:r>
      <w:r>
        <w:rPr>
          <w:i/>
        </w:rPr>
        <w:t>Zinderia</w:t>
      </w:r>
      <w:r>
        <w:t>/</w:t>
      </w:r>
      <w:r>
        <w:rPr>
          <w:i/>
        </w:rPr>
        <w:t>Sodalis</w:t>
      </w:r>
      <w:r>
        <w:t>-like e sinalizando separadamente hits de baixa prioridade (</w:t>
      </w:r>
      <w:r>
        <w:rPr>
          <w:i/>
        </w:rPr>
        <w:t>Xylella</w:t>
      </w:r>
      <w:r>
        <w:t xml:space="preserve">, fitoplasma). </w:t>
      </w:r>
      <w:r>
        <w:rPr>
          <w:b/>
        </w:rPr>
        <w:t>Camada 2</w:t>
      </w:r>
      <w:r>
        <w:t xml:space="preserve"> — confirmação independente via classificação estrutural (baseada em conteúdo gênico, não em similaridade de sequência a um banco de referência — portanto não circular em relação à Camada 1) dos contigs montados com </w:t>
      </w:r>
      <w:r>
        <w:rPr>
          <w:b/>
        </w:rPr>
        <w:t>Whokaryote v1.1.2</w:t>
      </w:r>
      <w:r>
        <w:t xml:space="preserve"> + </w:t>
      </w:r>
      <w:r>
        <w:rPr>
          <w:b/>
        </w:rPr>
        <w:t>Tiara v1.0.3</w:t>
      </w:r>
      <w:r>
        <w:t xml:space="preserve"> (Pronk &amp; Medema, 2022; Karlicki et al., 2022), cruzada com a Camada 1 via </w:t>
      </w:r>
      <w:r>
        <w:rPr>
          <w:rFonts w:ascii="Courier New" w:hAnsi="Courier New"/>
          <w:sz w:val="20"/>
        </w:rPr>
        <w:t>07_metagenomic_screen/04_cross_validate_endosymbionts.py</w:t>
      </w:r>
      <w:r>
        <w:t>.</w:t>
      </w:r>
    </w:p>
    <w:p>
      <w:pPr>
        <w:jc w:val="both"/>
      </w:pPr>
      <w:r>
        <w:rPr>
          <w:b/>
        </w:rPr>
        <w:t>Camada 3</w:t>
      </w:r>
      <w:r>
        <w:t xml:space="preserve"> — motivada pela pergunta biológica direta "algum patógeno (vírus, fungo ou bactéria) causa ou co-causa o amarelão?", usando desta vez o FASTQ bruto (</w:t>
      </w:r>
      <w:r>
        <w:rPr>
          <w:rFonts w:ascii="Courier New" w:hAnsi="Courier New"/>
          <w:sz w:val="20"/>
        </w:rPr>
        <w:t>gland-saliv_{1,2}.fq.gz</w:t>
      </w:r>
      <w:r>
        <w:t>, 86.697.028 pares de reads) diretamente, disponível no diretório de dados brutos do servidor (</w:t>
      </w:r>
      <w:r>
        <w:rPr>
          <w:rFonts w:ascii="Courier New" w:hAnsi="Courier New"/>
          <w:sz w:val="20"/>
        </w:rPr>
        <w:t>/home/eulalio/Gland-saliv-cigarrinha</w:t>
      </w:r>
      <w:r>
        <w:t>) e não apenas os contigs/proteínas já montados:</w:t>
      </w:r>
    </w:p>
    <w:p>
      <w:pPr>
        <w:pStyle w:val="ListBullet"/>
        <w:spacing w:after="60"/>
      </w:pPr>
      <w:r>
        <w:rPr>
          <w:b/>
        </w:rPr>
        <w:t>Censo completo do microbioma bacteriano e fúngico</w:t>
      </w:r>
      <w:r>
        <w:t xml:space="preserve">: todos os 540 hits com melhor correspondência em Bacteria e todos os 256 hits em Fungi (coluna </w:t>
      </w:r>
      <w:r>
        <w:rPr>
          <w:rFonts w:ascii="Courier New" w:hAnsi="Courier New"/>
          <w:sz w:val="20"/>
        </w:rPr>
        <w:t>source_organism</w:t>
      </w:r>
      <w:r>
        <w:t xml:space="preserve"> de </w:t>
      </w:r>
      <w:r>
        <w:rPr>
          <w:rFonts w:ascii="Courier New" w:hAnsi="Courier New"/>
          <w:sz w:val="20"/>
        </w:rPr>
        <w:t>results/annotation_complete.tsv</w:t>
      </w:r>
      <w:r>
        <w:t>) foram agrupados por gênero/espécie — não apenas os candidatos já pré-selecionados em sessões anteriores — para obter um retrato completo do que está presente, não só dos candidatos já suspeitos.</w:t>
      </w:r>
    </w:p>
    <w:p>
      <w:pPr>
        <w:pStyle w:val="ListBullet"/>
        <w:spacing w:after="60"/>
      </w:pPr>
      <w:r>
        <w:rPr>
          <w:b/>
        </w:rPr>
        <w:t>Descoberta viral dirigida por domínio RdRp</w:t>
      </w:r>
      <w:r>
        <w:t>: 31 famílias HMM de RNA-polimerase dependente de RNA (RdRp) foram extraídas do banco Pfam-A já instalado localmente (</w:t>
      </w:r>
      <w:r>
        <w:rPr>
          <w:rFonts w:ascii="Courier New" w:hAnsi="Courier New"/>
          <w:sz w:val="20"/>
        </w:rPr>
        <w:t>hmmfetch</w:t>
      </w:r>
      <w:r>
        <w:t>, HMMER v3.4) e usadas para escanear as 12.445 proteínas TransDecoder (</w:t>
      </w:r>
      <w:r>
        <w:rPr>
          <w:rFonts w:ascii="Courier New" w:hAnsi="Courier New"/>
          <w:sz w:val="20"/>
        </w:rPr>
        <w:t>hmmscan</w:t>
      </w:r>
      <w:r>
        <w:t xml:space="preserve">), complementado por </w:t>
      </w:r>
      <w:r>
        <w:rPr>
          <w:b/>
        </w:rPr>
        <w:t>DIAMOND v2.1.9</w:t>
      </w:r>
      <w:r>
        <w:t xml:space="preserve"> </w:t>
      </w:r>
      <w:r>
        <w:rPr>
          <w:rFonts w:ascii="Courier New" w:hAnsi="Courier New"/>
          <w:sz w:val="20"/>
        </w:rPr>
        <w:t>blastx</w:t>
      </w:r>
      <w:r>
        <w:t xml:space="preserve"> dos contigs montados contra o banco viral RefSeq da NCBI (722.107 proteínas). Os 30 hits virais já existentes na anotação DIAMOND/NR original (Seção 3.3, tabela) foram reclassificados por família taxonômica real (consulta à taxonomia NCBI) para distinguir vírus genuínos de elementos genômicos do tipo retrotransposon (Metaviridae, Polintoviridae) erroneamente rotulados como "vírus" pela nomenclatura do banco de referência.</w:t>
      </w:r>
    </w:p>
    <w:p>
      <w:pPr>
        <w:pStyle w:val="ListBullet"/>
        <w:spacing w:after="60"/>
      </w:pPr>
      <w:r>
        <w:rPr>
          <w:b/>
        </w:rPr>
        <w:t>Confirmação/refutação direcionada de Xylella/fitoplasma por mapeamento genoma-inteiro</w:t>
      </w:r>
      <w:r>
        <w:t xml:space="preserve">: os reads brutos (86.697.028 pares) foram mapeados com </w:t>
      </w:r>
      <w:r>
        <w:rPr>
          <w:b/>
        </w:rPr>
        <w:t>Bowtie2 v2.5.5</w:t>
      </w:r>
      <w:r>
        <w:t xml:space="preserve"> contra os genomas de referência completos de </w:t>
      </w:r>
      <w:r>
        <w:rPr>
          <w:i/>
        </w:rPr>
        <w:t>Xylella fastidiosa</w:t>
      </w:r>
      <w:r>
        <w:t xml:space="preserve"> subsp. </w:t>
      </w:r>
      <w:r>
        <w:rPr>
          <w:i/>
        </w:rPr>
        <w:t>multiplex</w:t>
      </w:r>
      <w:r>
        <w:t xml:space="preserve"> (GCF_042238405.1) e do fitoplasma Aster Yellows (NC_007716.1 + 4 plasmídeos), com cálculo de amplitude (</w:t>
      </w:r>
      <w:r>
        <w:rPr>
          <w:i/>
        </w:rPr>
        <w:t>breadth</w:t>
      </w:r>
      <w:r>
        <w:t>) e profundidade de cobertura genoma-inteira e localização das posições cobertas via anotação GFF3 real — um critério de confirmação muito mais rigoroso que a identidade de um único hit de proteína.</w:t>
      </w:r>
    </w:p>
    <w:p>
      <w:pPr>
        <w:pStyle w:val="ListBullet"/>
        <w:spacing w:after="60"/>
      </w:pPr>
      <w:r>
        <w:rPr>
          <w:b/>
        </w:rPr>
        <w:t>Busca por genes de toxina/virulência microbiana</w:t>
      </w:r>
      <w:r>
        <w:t xml:space="preserve">: varredura por palavra-chave (toxina, hemolisina, RTX, fosfolipase, fator de virulência, etc.) nas colunas </w:t>
      </w:r>
      <w:r>
        <w:rPr>
          <w:rFonts w:ascii="Courier New" w:hAnsi="Courier New"/>
          <w:sz w:val="20"/>
        </w:rPr>
        <w:t>diamond_title</w:t>
      </w:r>
      <w:r>
        <w:t xml:space="preserve">, </w:t>
      </w:r>
      <w:r>
        <w:rPr>
          <w:rFonts w:ascii="Courier New" w:hAnsi="Courier New"/>
          <w:sz w:val="20"/>
        </w:rPr>
        <w:t>eggnog_desc</w:t>
      </w:r>
      <w:r>
        <w:t xml:space="preserve"> e </w:t>
      </w:r>
      <w:r>
        <w:rPr>
          <w:rFonts w:ascii="Courier New" w:hAnsi="Courier New"/>
          <w:sz w:val="20"/>
        </w:rPr>
        <w:t>pfam_domains</w:t>
      </w:r>
      <w:r>
        <w:t xml:space="preserve"> de todos os hits de Bacteria e Fungi, independente do organismo de origem — abordagem complementar à busca organismo-primeiro das Camadas 1–2.</w:t>
      </w:r>
    </w:p>
    <w:p>
      <w:pPr>
        <w:jc w:val="both"/>
      </w:pPr>
      <w:r>
        <w:t xml:space="preserve">Bancos de dados baixados para esta camada (viral RefSeq NCBI, genomas de referência Xylella/fitoplasma) foram usados e removidos do servidor após a análise, mantendo apenas as tabelas de resultado. </w:t>
      </w:r>
      <w:r>
        <w:rPr>
          <w:b/>
        </w:rPr>
        <w:t>Status: concluído</w:t>
      </w:r>
      <w:r>
        <w:t xml:space="preserve"> (as três camadas).</w:t>
      </w:r>
    </w:p>
    <w:p>
      <w:pPr>
        <w:jc w:val="both"/>
      </w:pPr>
      <w:r>
        <w:t xml:space="preserve">Como validação adicional do candidato a endossimbionte </w:t>
      </w:r>
      <w:r>
        <w:rPr>
          <w:i/>
        </w:rPr>
        <w:t>Sulcia</w:t>
      </w:r>
      <w:r>
        <w:t xml:space="preserve"> (Camada 1), o gene GroEL foi alinhado contra sequências de referência de </w:t>
      </w:r>
      <w:r>
        <w:rPr>
          <w:i/>
        </w:rPr>
        <w:t>Candidatus</w:t>
      </w:r>
      <w:r>
        <w:t xml:space="preserve"> Karelsulcia muelleri e um outgroup de Bacteroidetes de vida livre (</w:t>
      </w:r>
      <w:r>
        <w:rPr>
          <w:i/>
        </w:rPr>
        <w:t>Sodalis glossinidius</w:t>
      </w:r>
      <w:r>
        <w:t xml:space="preserve">, </w:t>
      </w:r>
      <w:r>
        <w:rPr>
          <w:i/>
        </w:rPr>
        <w:t>Bacteroides</w:t>
      </w:r>
      <w:r>
        <w:t xml:space="preserve"> sp.), e submetido a inferência filogenética de máxima verossimilhança com </w:t>
      </w:r>
      <w:r>
        <w:rPr>
          <w:b/>
        </w:rPr>
        <w:t>IQ-TREE v3.1.1</w:t>
      </w:r>
      <w:r>
        <w:t xml:space="preserve"> (ModelFinder para seleção automática de modelo + bootstrap ultrarrápido, 1000 réplicas; Hoang et al., 2018), via </w:t>
      </w:r>
      <w:r>
        <w:rPr>
          <w:rFonts w:ascii="Courier New" w:hAnsi="Courier New"/>
          <w:sz w:val="20"/>
        </w:rPr>
        <w:t>08_metagenomic_deep/</w:t>
      </w:r>
      <w:r>
        <w:t>.</w:t>
      </w:r>
    </w:p>
    <w:p>
      <w:pPr>
        <w:pStyle w:val="Heading3"/>
      </w:pPr>
      <w:r>
        <w:t>2.8 Anotação CAZy dedicada</w:t>
      </w:r>
    </w:p>
    <w:p>
      <w:pPr>
        <w:jc w:val="both"/>
      </w:pPr>
      <w:r>
        <w:t xml:space="preserve">A anotação CAZy do eggNOG-mapper (Seção 2.3) cobre apenas 1,4% das proteínas e não identificou nenhum hit às famílias GH28/GH5 — resultado de baixa sensibilidade conhecida, não necessariamente ausência real dessas atividades. Uma anotação dbCAN dedicada foi executada com </w:t>
      </w:r>
      <w:r>
        <w:rPr>
          <w:b/>
        </w:rPr>
        <w:t>`run_dbcan` v5.2.9</w:t>
      </w:r>
      <w:r>
        <w:t xml:space="preserve"> (DIAMOND v2.2.4 + dbCAN-HMM/pyhmmer v0.12.1 + dbCAN-sub contra o banco de dados dbCAN real; Zheng et al., 2023), via </w:t>
      </w:r>
      <w:r>
        <w:rPr>
          <w:rFonts w:ascii="Courier New" w:hAnsi="Courier New"/>
          <w:sz w:val="20"/>
        </w:rPr>
        <w:t>03_annotation/08_cazy_annotation.sh</w:t>
      </w:r>
      <w:r>
        <w:t xml:space="preserve"> + </w:t>
      </w:r>
      <w:r>
        <w:rPr>
          <w:rFonts w:ascii="Courier New" w:hAnsi="Courier New"/>
          <w:sz w:val="20"/>
        </w:rPr>
        <w:t>09_merge_cazy.py</w:t>
      </w:r>
      <w:r>
        <w:t xml:space="preserve">. </w:t>
      </w:r>
      <w:r>
        <w:rPr>
          <w:b/>
        </w:rPr>
        <w:t>Status: concluído.</w:t>
      </w:r>
    </w:p>
    <w:p>
      <w:pPr>
        <w:pStyle w:val="Heading3"/>
      </w:pPr>
      <w:r>
        <w:t>2.9 Ferramentas, versões e ambientes</w:t>
      </w:r>
    </w:p>
    <w:p>
      <w:pPr>
        <w:jc w:val="both"/>
      </w:pPr>
      <w:r>
        <w:t xml:space="preserve">Tabela consolidada de todo o software usado neste trabalho, com a versão efetivamente instalada e executada (verificada por </w:t>
      </w:r>
      <w:r>
        <w:rPr>
          <w:rFonts w:ascii="Courier New" w:hAnsi="Courier New"/>
          <w:sz w:val="20"/>
        </w:rPr>
        <w:t>conda list</w:t>
      </w:r>
      <w:r>
        <w:t xml:space="preserve"> no ambiente correspondente ou pelo cabeçalho do arquivo de saída da própria ferramenta — ver auditoria de integridade, Seção 6, item 17). Definições completas dos ambientes conda em </w:t>
      </w:r>
      <w:r>
        <w:rPr>
          <w:rFonts w:ascii="Courier New" w:hAnsi="Courier New"/>
          <w:sz w:val="20"/>
        </w:rPr>
        <w:t>environment/*.yml</w:t>
      </w:r>
      <w: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Ferramenta</w:t>
            </w:r>
          </w:p>
        </w:tc>
        <w:tc>
          <w:tcPr>
            <w:tcW w:type="dxa" w:w="2280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Versão</w:t>
            </w:r>
          </w:p>
        </w:tc>
        <w:tc>
          <w:tcPr>
            <w:tcW w:type="dxa" w:w="2280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Etapa</w:t>
            </w:r>
          </w:p>
        </w:tc>
        <w:tc>
          <w:tcPr>
            <w:tcW w:type="dxa" w:w="2280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Referência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FastQC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0.12.1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QC de reads (bruto/pós-trim)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Andrews, 2010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fastp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0.23.4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Trimming de adaptador/qualidade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Chen et al., 2018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MultiQC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1.21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Agregação de relatórios QC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Ewels et al., 2016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Trinity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2.15.2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Montagem de novo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Grabherr et al., 2011; Haas et al., 2013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CD-HIT-EST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4.8.1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Remoção de redundância (95% identidade)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Fu et al., 2012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TransDecoder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5.7.1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Predição de ORF/proteína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Haas et al., 2013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seqkit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2.13.0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Estatísticas de sequência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Shen et al., 2016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BUSCO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6.0.0 (`insecta_odb10`)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Completude da montagem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Manni et al., 2021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DIAMOND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2.1.9 (anotação/viral) / 2.2.4 (dbCAN)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BLASTp/BLASTx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Buchfink et al., 2021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TaxonKit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0.15.1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Classificação taxonômica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Shen &amp; Ren, 2021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eggNOG-mapper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2.1.12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Anotação GO/KEGG/COG/CAZy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Cantalapiedra et al., 2021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HMMER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3.4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Domínios Pfam, `hmmscan` RdRp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Eddy, 2011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Salmon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1.10.3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Quantificação de expressão (TPM)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Patro et al., 2017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TMbed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1.0.2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Predição de secretoma clássico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Bernhofer &amp; Rost, 2022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run_dbcan (dbCAN3)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5.2.9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Anotação CAZy dedicada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Zheng et al., 2023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Whokaryote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1.1.2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Classificação estrutural euc./proc.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Pronk &amp; Medema, 2022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Tiara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1.0.3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Classificação estrutural euc./proc.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Karlicki et al., 2022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Bowtie2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2.5.5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Mapeamento genoma-inteiro (Xylella/fitoplasma)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Langmead &amp; Salzberg, 2012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IQ-TREE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3.1.1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Filogenia de máxima verossimilhança (GroEL)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Wong et al., 2025</w:t>
            </w:r>
          </w:p>
        </w:tc>
      </w:tr>
    </w:tbl>
    <w:p>
      <w:pPr/>
    </w:p>
    <w:p>
      <w:pPr/>
    </w:p>
    <w:p>
      <w:pPr>
        <w:pStyle w:val="Heading2"/>
      </w:pPr>
      <w:r>
        <w:t>3. Resultados</w:t>
      </w:r>
    </w:p>
    <w:p>
      <w:pPr>
        <w:pStyle w:val="Heading3"/>
      </w:pPr>
      <w:r>
        <w:t>3.1 Montagem e avaliação de qualidade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Métrica</w:t>
            </w:r>
          </w:p>
        </w:tc>
        <w:tc>
          <w:tcPr>
            <w:tcW w:type="dxa" w:w="4561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Valor</w:t>
            </w:r>
          </w:p>
        </w:tc>
      </w:tr>
      <w:tr>
        <w:tc>
          <w:tcPr>
            <w:tcW w:type="dxa" w:w="4561"/>
          </w:tcPr>
          <w:p>
            <w:r>
              <w:rPr>
                <w:rFonts w:ascii="Times New Roman" w:hAnsi="Times New Roman"/>
                <w:sz w:val="20"/>
              </w:rPr>
              <w:t>Genes Trinity</w:t>
            </w:r>
          </w:p>
        </w:tc>
        <w:tc>
          <w:tcPr>
            <w:tcW w:type="dxa" w:w="4561"/>
          </w:tcPr>
          <w:p>
            <w:r>
              <w:rPr>
                <w:rFonts w:ascii="Times New Roman" w:hAnsi="Times New Roman"/>
                <w:sz w:val="20"/>
              </w:rPr>
              <w:t>90.344</w:t>
            </w:r>
          </w:p>
        </w:tc>
      </w:tr>
      <w:tr>
        <w:tc>
          <w:tcPr>
            <w:tcW w:type="dxa" w:w="4561"/>
          </w:tcPr>
          <w:p>
            <w:r>
              <w:rPr>
                <w:rFonts w:ascii="Times New Roman" w:hAnsi="Times New Roman"/>
                <w:sz w:val="20"/>
              </w:rPr>
              <w:t>Transcritos Trinity</w:t>
            </w:r>
          </w:p>
        </w:tc>
        <w:tc>
          <w:tcPr>
            <w:tcW w:type="dxa" w:w="4561"/>
          </w:tcPr>
          <w:p>
            <w:r>
              <w:rPr>
                <w:rFonts w:ascii="Times New Roman" w:hAnsi="Times New Roman"/>
                <w:sz w:val="20"/>
              </w:rPr>
              <w:t>103.560</w:t>
            </w:r>
          </w:p>
        </w:tc>
      </w:tr>
      <w:tr>
        <w:tc>
          <w:tcPr>
            <w:tcW w:type="dxa" w:w="4561"/>
          </w:tcPr>
          <w:p>
            <w:r>
              <w:rPr>
                <w:rFonts w:ascii="Times New Roman" w:hAnsi="Times New Roman"/>
                <w:sz w:val="20"/>
              </w:rPr>
              <w:t>Conteúdo GC</w:t>
            </w:r>
          </w:p>
        </w:tc>
        <w:tc>
          <w:tcPr>
            <w:tcW w:type="dxa" w:w="4561"/>
          </w:tcPr>
          <w:p>
            <w:r>
              <w:rPr>
                <w:rFonts w:ascii="Times New Roman" w:hAnsi="Times New Roman"/>
                <w:sz w:val="20"/>
              </w:rPr>
              <w:t>34,21%</w:t>
            </w:r>
          </w:p>
        </w:tc>
      </w:tr>
      <w:tr>
        <w:tc>
          <w:tcPr>
            <w:tcW w:type="dxa" w:w="4561"/>
          </w:tcPr>
          <w:p>
            <w:r>
              <w:rPr>
                <w:rFonts w:ascii="Times New Roman" w:hAnsi="Times New Roman"/>
                <w:sz w:val="20"/>
              </w:rPr>
              <w:t>N50 (todos os transcritos)</w:t>
            </w:r>
          </w:p>
        </w:tc>
        <w:tc>
          <w:tcPr>
            <w:tcW w:type="dxa" w:w="4561"/>
          </w:tcPr>
          <w:p>
            <w:r>
              <w:rPr>
                <w:rFonts w:ascii="Times New Roman" w:hAnsi="Times New Roman"/>
                <w:sz w:val="20"/>
              </w:rPr>
              <w:t>738</w:t>
            </w:r>
          </w:p>
        </w:tc>
      </w:tr>
      <w:tr>
        <w:tc>
          <w:tcPr>
            <w:tcW w:type="dxa" w:w="4561"/>
          </w:tcPr>
          <w:p>
            <w:r>
              <w:rPr>
                <w:rFonts w:ascii="Times New Roman" w:hAnsi="Times New Roman"/>
                <w:sz w:val="20"/>
              </w:rPr>
              <w:t>Bases montadas totais</w:t>
            </w:r>
          </w:p>
        </w:tc>
        <w:tc>
          <w:tcPr>
            <w:tcW w:type="dxa" w:w="4561"/>
          </w:tcPr>
          <w:p>
            <w:r>
              <w:rPr>
                <w:rFonts w:ascii="Times New Roman" w:hAnsi="Times New Roman"/>
                <w:sz w:val="20"/>
              </w:rPr>
              <w:t>68.986.692</w:t>
            </w:r>
          </w:p>
        </w:tc>
      </w:tr>
      <w:tr>
        <w:tc>
          <w:tcPr>
            <w:tcW w:type="dxa" w:w="4561"/>
          </w:tcPr>
          <w:p>
            <w:r>
              <w:rPr>
                <w:rFonts w:ascii="Times New Roman" w:hAnsi="Times New Roman"/>
                <w:sz w:val="20"/>
              </w:rPr>
              <w:t>Proteínas TransDecoder (`--single_best_only`)</w:t>
            </w:r>
          </w:p>
        </w:tc>
        <w:tc>
          <w:tcPr>
            <w:tcW w:type="dxa" w:w="4561"/>
          </w:tcPr>
          <w:p>
            <w:r>
              <w:rPr>
                <w:rFonts w:ascii="Times New Roman" w:hAnsi="Times New Roman"/>
                <w:sz w:val="20"/>
              </w:rPr>
              <w:t>12.445</w:t>
            </w:r>
          </w:p>
        </w:tc>
      </w:tr>
      <w:tr>
        <w:tc>
          <w:tcPr>
            <w:tcW w:type="dxa" w:w="4561"/>
          </w:tcPr>
          <w:p>
            <w:r>
              <w:rPr>
                <w:rFonts w:ascii="Times New Roman" w:hAnsi="Times New Roman"/>
                <w:sz w:val="20"/>
              </w:rPr>
              <w:t>BUSCO (insecta_odb10, n=1.367)</w:t>
            </w:r>
          </w:p>
        </w:tc>
        <w:tc>
          <w:tcPr>
            <w:tcW w:type="dxa" w:w="4561"/>
          </w:tcPr>
          <w:p>
            <w:r>
              <w:rPr>
                <w:rFonts w:ascii="Times New Roman" w:hAnsi="Times New Roman"/>
                <w:sz w:val="20"/>
              </w:rPr>
              <w:t>C:96,2% [S:39,9%, D:56,3%], F:1,9%, M:1,9%</w:t>
            </w:r>
          </w:p>
        </w:tc>
      </w:tr>
    </w:tbl>
    <w:p>
      <w:pPr/>
    </w:p>
    <w:p>
      <w:pPr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720" cy="42804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embly_qc_summar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80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/>
        <w:jc w:val="both"/>
      </w:pPr>
      <w:r>
        <w:rPr>
          <w:i/>
          <w:sz w:val="18"/>
        </w:rPr>
        <w:t>Figura 1. Painel didatico de controle de qualidade da montagem e predicao de proteinas. (A) Numero de sequencias em cada etapa: transcritos nao-redundantes apos Trinity + CD-HIT-EST a 95% de identidade (103.560, 90.344 genes, GC 34,21%; 12.857 transcritos colapsados por redundancia) e proteinas preditas por TransDecoder (--single_best_only; 12.445). (B) Curva Nx dos contigs montados (N10-N50): N50 = 738 pb, ou seja, metade das bases montadas esta em contigs de pelo menos 738 pb. (C) Completude BUSCO (insecta_odb10, n=1.367): C:96,2% [S:39,9%, D:56,3%], F:1,9%, M:1,9%. (D) Distribuicao dos tipos de ORF preditos pelo TransDecoder: completo (7.262; 58,4%), 5'-parcial (2.026; 16,3%), interno (1.986; 16,0%) e 3'-parcial (1.171; 9,4%).</w:t>
      </w:r>
    </w:p>
    <w:p>
      <w:pPr>
        <w:pStyle w:val="Heading3"/>
      </w:pPr>
      <w:r>
        <w:t>3.2 Anotação funcional</w:t>
      </w:r>
    </w:p>
    <w:p>
      <w:pPr>
        <w:jc w:val="both"/>
      </w:pPr>
      <w:r>
        <w:t>Da tabela integrada (</w:t>
      </w:r>
      <w:r>
        <w:rPr>
          <w:rFonts w:ascii="Courier New" w:hAnsi="Courier New"/>
          <w:sz w:val="20"/>
        </w:rPr>
        <w:t>results/annotation_complete.tsv</w:t>
      </w:r>
      <w:r>
        <w:t xml:space="preserve">, 12.445 proteínas), 62,1% possuem domínio Pfam, 44,0% possuem termo GO e 42,6% possuem ortólogo KEGG (eggNOG-mapper). A coluna CAZy do eggNOG cobria apenas 1,4% das proteínas (175) e não encontrou nenhum hit às famílias GH28/GH5. A anotação dbCAN dedicada (Seção 2.8) elevou a cobertura para </w:t>
      </w:r>
      <w:r>
        <w:rPr>
          <w:b/>
        </w:rPr>
        <w:t>468 proteínas (3,8%) com pelo menos uma família CAZy</w:t>
      </w:r>
      <w:r>
        <w:t xml:space="preserve"> e identificou </w:t>
      </w:r>
      <w:r>
        <w:rPr>
          <w:b/>
        </w:rPr>
        <w:t>15 proteínas com chamada GH28 ou GH5\</w:t>
      </w:r>
      <w:r>
        <w:t>* (celulases/pectinases classicamente associadas a efetores fitotóxicos de degradação de parede celular) — resultado que confirma a baixa sensibilidade da anotação CAZy do eggNOG e fornece novos candidatos reais para a Seção 3.6.</w:t>
      </w:r>
    </w:p>
    <w:p>
      <w:pPr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720" cy="276714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notation_summar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67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/>
        <w:jc w:val="both"/>
      </w:pPr>
      <w:r>
        <w:rPr>
          <w:i/>
          <w:sz w:val="18"/>
        </w:rPr>
        <w:t>Figura 2. Cobertura da anotacao funcional e origem taxonomica das 12.445 proteinas preditas (dados corrigidos pos-fix do bug de merge de anotacao, Secao 3.2). (A) Proporcao de proteinas anotadas por fonte: dominio Pfam (62,1%), ortologo KEGG (42,6%), termo GO (44,0%) e hit DIAMOND contra o NCBI NR (75,1%). (B) Distribuicao taxonomica dos melhores hits DIAMOND: Eukaryota (8.711; 70,0%), nao classificado (3.164; 25,4%), Bacteria (540; 4,3%), Fungi (256; 2,1%) e Viruses (30; 0,2%).</w:t>
      </w:r>
    </w:p>
    <w:p>
      <w:pPr>
        <w:jc w:val="both"/>
      </w:pPr>
      <w:r>
        <w:t>A distribuição dos 20 termos GO mais frequentes (profundidade ≥ 3) reforça o perfil esperado de um tecido secretor metabolicamente ativo: entre os processos biológicos mais representados estão regulação de processo celular (25,6%) e processo metabólico primário (24,1%); entre as funções moleculares, ligação a composto heterocíclico (11,0%) e ligação a enzima (9,2%); entre os componentes celulares, organela intracelular (33,0%) e organela limitada por membrana (29,9%).</w:t>
      </w:r>
    </w:p>
    <w:p>
      <w:pPr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720" cy="264153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o_distribu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41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/>
        <w:jc w:val="both"/>
      </w:pPr>
      <w:r>
        <w:rPr>
          <w:i/>
          <w:sz w:val="18"/>
        </w:rPr>
        <w:t>Figura 3. Distribuicao dos 20 termos GO mais frequentes por categoria entre as 12.445 proteinas preditas (profundidade GO &gt;= 3). Paineis: Processo Biologico, Funcao Molecular e Componente Celular, com o numero de proteinas e a porcentagem associada a cada termo.</w:t>
      </w:r>
    </w:p>
    <w:p>
      <w:pPr>
        <w:jc w:val="both"/>
      </w:pPr>
      <w:r>
        <w:t>Entre os 12.445 proteínas com ortólogo KEGG atribuído, a via mais representada é "Metabolic pathways" (845 proteínas, 6,8%), seguida por "Biosynthesis of secondary metabolites" (388; 3,1%) e "Ribosome" (261; 2,1%). A predominância de vias metabólicas centrais e de categorias amplamente conservadas (Human Diseases, Other) nas posições intermediárias do ranking é esperada para eggNOG-mapper, cuja anotação usa como referência ortólogos humanos/modelo, e não indica especialização funcional exclusiva da glândula salivar.</w:t>
      </w:r>
    </w:p>
    <w:p>
      <w:pPr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720" cy="365821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egg_pathways_ba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58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/>
        <w:jc w:val="both"/>
      </w:pPr>
      <w:r>
        <w:rPr>
          <w:i/>
          <w:sz w:val="18"/>
        </w:rPr>
        <w:t>Figura 4. Top 20 vias KEGG mais representadas entre as proteinas anotadas, coloridas por categoria funcional KEGG (Cellular Processes, Environmental/Genetic Information Processing, Human Diseases, Metabolism, Organismal Systems, Other). Via mais frequente: Metabolic pathways (845 proteinas, 6,8%), seguida por Biosynthesis of secondary metabolites (388; 3,1%) e Ribosome (261; 2,1%).</w:t>
      </w:r>
    </w:p>
    <w:p>
      <w:pPr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720" cy="328708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egg_pathways_bubbl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870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/>
        <w:jc w:val="both"/>
      </w:pPr>
      <w:r>
        <w:rPr>
          <w:i/>
          <w:sz w:val="18"/>
        </w:rPr>
        <w:t>Figura 5. Distribuicao das 30 vias KEGG mais representadas, agrupadas por categoria funcional (eixo x) e numero de proteinas associadas (eixo y; tamanho do circulo proporcional a contagem). Complementa a Figura 4 ao evidenciar a dispersao de vias dentro de cada categoria KEGG.</w:t>
      </w:r>
    </w:p>
    <w:p>
      <w:pPr>
        <w:pStyle w:val="Heading3"/>
      </w:pPr>
      <w:r>
        <w:t>3.3 Distribuição taxonômica dos melhores hits e censo completo do microbioma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Origem taxonômica</w:t>
            </w:r>
          </w:p>
        </w:tc>
        <w:tc>
          <w:tcPr>
            <w:tcW w:type="dxa" w:w="3041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N proteínas</w:t>
            </w:r>
          </w:p>
        </w:tc>
        <w:tc>
          <w:tcPr>
            <w:tcW w:type="dxa" w:w="3041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%</w:t>
            </w:r>
          </w:p>
        </w:tc>
      </w:tr>
      <w:tr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Eukaryota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8.711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70,0%</w:t>
            </w:r>
          </w:p>
        </w:tc>
      </w:tr>
      <w:tr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Bacteria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540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4,3%</w:t>
            </w:r>
          </w:p>
        </w:tc>
      </w:tr>
      <w:tr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Fungi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256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2,1%</w:t>
            </w:r>
          </w:p>
        </w:tc>
      </w:tr>
      <w:tr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Viruses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30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0,2%</w:t>
            </w:r>
          </w:p>
        </w:tc>
      </w:tr>
      <w:tr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Não classificado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3.164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25,4%</w:t>
            </w:r>
          </w:p>
        </w:tc>
      </w:tr>
    </w:tbl>
    <w:p>
      <w:pPr/>
    </w:p>
    <w:p>
      <w:pPr>
        <w:jc w:val="both"/>
      </w:pPr>
      <w:r>
        <w:rPr>
          <w:i/>
        </w:rPr>
        <w:t>Nota: as categorias Eukaryota/Fungi não são mutuamente exclusivas (uma proteína fúngica é, por definição, também eucariótica); a soma das categorias pode exceder 100%.</w:t>
      </w:r>
    </w:p>
    <w:p>
      <w:pPr>
        <w:jc w:val="both"/>
      </w:pPr>
      <w:r>
        <w:rPr>
          <w:b/>
        </w:rPr>
        <w:t>Censo completo de Bacteria (540 hits, todos agrupados por gênero — não apenas os pré-selecionados):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Categoria</w:t>
            </w:r>
          </w:p>
        </w:tc>
        <w:tc>
          <w:tcPr>
            <w:tcW w:type="dxa" w:w="3041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N</w:t>
            </w:r>
          </w:p>
        </w:tc>
        <w:tc>
          <w:tcPr>
            <w:tcW w:type="dxa" w:w="3041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Interpretação</w:t>
            </w:r>
          </w:p>
        </w:tc>
      </w:tr>
      <w:tr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Gammaproteobacteria sp. (não classificado)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118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Baixa resolução taxonômica, não permite inferência de espécie</w:t>
            </w:r>
          </w:p>
        </w:tc>
      </w:tr>
      <w:tr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Herbaspirillum spp.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88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Gênero clássico de endófito diazotrófico de gramíneas tropicais, incluindo Brachiaria/Urochloa, o hospedeiro exato da cigarrinha — provável material vegetal capturado via seiva de xilema ingerida, não é patógeno conhecido</w:t>
            </w:r>
          </w:p>
        </w:tc>
      </w:tr>
      <w:tr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Chryseobacterium/Flavobacteriaceae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71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Generalista ambiental/associado a inseto</w:t>
            </w:r>
          </w:p>
        </w:tc>
      </w:tr>
      <w:tr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Enterobacterales/Enterobacter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59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Generalista de microbiota de inseto e endófitos</w:t>
            </w:r>
          </w:p>
        </w:tc>
      </w:tr>
      <w:tr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Candidatus Karelsulcia muelleri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57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Endossimbionte obrigatório (Seção 3.4)</w:t>
            </w:r>
          </w:p>
        </w:tc>
      </w:tr>
      <w:tr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Outros gêneros singleton (ambiental diverso)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47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Dezenas de gêneros de solo/planta, 1–3 hits cada, sem padrão claro</w:t>
            </w:r>
          </w:p>
        </w:tc>
      </w:tr>
      <w:tr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Klebsiella pneumoniae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31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Oportunista comum, super-representado em bancos de referência (possível viés)</w:t>
            </w:r>
          </w:p>
        </w:tc>
      </w:tr>
      <w:tr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Acinetobacter spp.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20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Generalista/oportunista ambiental</w:t>
            </w:r>
          </w:p>
        </w:tc>
      </w:tr>
      <w:tr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Cyanobacteria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18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Provável origem vegetal/ambiental (fotossintética)</w:t>
            </w:r>
          </w:p>
        </w:tc>
      </w:tr>
      <w:tr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Patógenos humanos/aviários (Salmonella, Shigella, Staphylococcus, Streptococcus pneumoniae etc.)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14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Amplamente sequenciados no NR; hits singleton a genes conservados — provável viés de banco de dados, biologicamente implausível neste sistema</w:t>
            </w:r>
          </w:p>
        </w:tc>
      </w:tr>
      <w:tr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Wolbachia endosymbiont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Endossimbionte reprodutivo comum em artrópodes</w:t>
            </w:r>
          </w:p>
        </w:tc>
      </w:tr>
      <w:tr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Simbiontes marinhos (Solemya, Thiodiazotropha)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Hospedeiro impossível (moluscos marinhos) — confirma artefato de banco de dados</w:t>
            </w:r>
          </w:p>
        </w:tc>
      </w:tr>
      <w:tr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Sodalis-like symbiont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Co-simbionte (Seção 3.4)</w:t>
            </w:r>
          </w:p>
        </w:tc>
      </w:tr>
      <w:tr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Xylella fastidiosa subsp. multiplex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Testado e refutado por mapeamento genoma-inteiro (ver abaixo)</w:t>
            </w:r>
          </w:p>
        </w:tc>
      </w:tr>
      <w:tr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Fitoplasma Aster Yellows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Testado e refutado por mapeamento genoma-inteiro (ver abaixo)</w:t>
            </w:r>
          </w:p>
        </w:tc>
      </w:tr>
      <w:tr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Pseudomonas syringae pv. actinidiae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Patógeno real, mas de kiwi — hospedeiro errado, n=1, não testado (sinal fraco demais)</w:t>
            </w:r>
          </w:p>
        </w:tc>
      </w:tr>
      <w:tr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Candidatus Erwinia dacicola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Simbionte conhecido da mosca-da-azeitona — sistema hospedeiro diferente, n=1, provável hit espúrio</w:t>
            </w:r>
          </w:p>
        </w:tc>
      </w:tr>
    </w:tbl>
    <w:p>
      <w:pPr/>
    </w:p>
    <w:p>
      <w:pPr>
        <w:jc w:val="both"/>
      </w:pPr>
      <w:r>
        <w:rPr>
          <w:b/>
        </w:rPr>
        <w:t>Censo completo de Fungi (256 hits, todos agrupados por gênero):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Categoria</w:t>
            </w:r>
          </w:p>
        </w:tc>
        <w:tc>
          <w:tcPr>
            <w:tcW w:type="dxa" w:w="3041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N</w:t>
            </w:r>
          </w:p>
        </w:tc>
        <w:tc>
          <w:tcPr>
            <w:tcW w:type="dxa" w:w="3041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Interpretação</w:t>
            </w:r>
          </w:p>
        </w:tc>
      </w:tr>
      <w:tr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Entomopatogênicos (Entomophthora muscae 96, Neoconidiobolus 26, Massospora cicadina 18, Metarhizium spp. 56)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196 (76,6%)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Patógenos do próprio inseto — biologicamente plausíveis, irrelevantes para o amarelão (relevantes para controle biológico da cigarrinha)</w:t>
            </w:r>
          </w:p>
        </w:tc>
      </w:tr>
      <w:tr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Erysiphe pulchra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15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Fitopatógeno (oídio), mas ataca superfície foliar — mecanisticamente improvável para o sintoma de xilema do amarelão</w:t>
            </w:r>
          </w:p>
        </w:tc>
      </w:tr>
      <w:tr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Fusarium spp. (murcha vascular)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Único gênero fitopatogênico com plausibilidade mecânica (coloniza xilema), mas sinal fraco, não confirmado por fonte independente</w:t>
            </w:r>
          </w:p>
        </w:tc>
      </w:tr>
      <w:tr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Diversos gêneros singleton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37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Ambiental/saprófita comum, sem padrão</w:t>
            </w:r>
          </w:p>
        </w:tc>
      </w:tr>
    </w:tbl>
    <w:p>
      <w:pPr/>
    </w:p>
    <w:p>
      <w:pPr>
        <w:jc w:val="both"/>
      </w:pPr>
      <w:r>
        <w:rPr>
          <w:b/>
        </w:rPr>
        <w:t>Censo viral (30 hits originais + descoberta dirigida por RdRp):</w:t>
      </w:r>
      <w:r>
        <w:t xml:space="preserve"> dos 30 hits virais da anotação original, a reclassificação taxonômica (NCBI) revelou que </w:t>
      </w:r>
      <w:r>
        <w:rPr>
          <w:b/>
        </w:rPr>
        <w:t>12 (40%) não são vírus infecciosos</w:t>
      </w:r>
      <w:r>
        <w:t xml:space="preserve">, e sim elementos genômicos móveis do próprio genoma do inseto rotulados como "vírus" pela nomenclatura do banco: </w:t>
      </w:r>
      <w:r>
        <w:rPr>
          <w:i/>
        </w:rPr>
        <w:t>Halyomorpha halys</w:t>
      </w:r>
      <w:r>
        <w:t xml:space="preserve"> erranti-like virus 1 (10 hits; família Metaviridae — retrotransposon LTR tipo </w:t>
      </w:r>
      <w:r>
        <w:rPr>
          <w:i/>
        </w:rPr>
        <w:t>errantivirus</w:t>
      </w:r>
      <w:r>
        <w:t xml:space="preserve">) e </w:t>
      </w:r>
      <w:r>
        <w:rPr>
          <w:i/>
        </w:rPr>
        <w:t>Megastigmus</w:t>
      </w:r>
      <w:r>
        <w:t xml:space="preserve"> wasp adintovirus (2 hits; Eupolintoviridae — elemento tipo Polinton/virófago). Dos </w:t>
      </w:r>
      <w:r>
        <w:rPr>
          <w:b/>
        </w:rPr>
        <w:t>18 hits restantes que são vírus genuínos</w:t>
      </w:r>
      <w:r>
        <w:t xml:space="preserve">: 4 são mycovírus (infectam os fungos já detectados acima — </w:t>
      </w:r>
      <w:r>
        <w:rPr>
          <w:i/>
        </w:rPr>
        <w:t>Verticillium</w:t>
      </w:r>
      <w:r>
        <w:t xml:space="preserve">, </w:t>
      </w:r>
      <w:r>
        <w:rPr>
          <w:i/>
        </w:rPr>
        <w:t>Erysiphe</w:t>
      </w:r>
      <w:r>
        <w:t xml:space="preserve">, </w:t>
      </w:r>
      <w:r>
        <w:rPr>
          <w:i/>
        </w:rPr>
        <w:t>Magnaporthe</w:t>
      </w:r>
      <w:r>
        <w:t xml:space="preserve">, </w:t>
      </w:r>
      <w:r>
        <w:rPr>
          <w:i/>
        </w:rPr>
        <w:t>Leptosphaeria</w:t>
      </w:r>
      <w:r>
        <w:t xml:space="preserve"> — consistência interna do censo), e 14 são vírus de RNA associados a artrópodes sem precedente de fitopatogenicidade (Narnaviridae, Nodaviridae, Phasmaviridae, Jingmenvirus-like, Dicistroviridae, um vírus Orthomyxo-relacionado já descrito em Hemiptera). A busca dirigida por domínio RdRp (</w:t>
      </w:r>
      <w:r>
        <w:rPr>
          <w:rFonts w:ascii="Courier New" w:hAnsi="Courier New"/>
          <w:sz w:val="20"/>
        </w:rPr>
        <w:t>hmmscan</w:t>
      </w:r>
      <w:r>
        <w:t xml:space="preserve">, 31 famílias) confirmou por 2 fontes independentes (domínio + identidade BLASTx) 4 desses vírus genuínos: três com alta confiança — um Jingmenvirus-like (41,6% identidade a </w:t>
      </w:r>
      <w:r>
        <w:rPr>
          <w:i/>
        </w:rPr>
        <w:t>Wuhan flea virus</w:t>
      </w:r>
      <w:r>
        <w:t xml:space="preserve"> NS5-like), um Nodaviridae-like (87,6% identidade a </w:t>
      </w:r>
      <w:r>
        <w:rPr>
          <w:i/>
        </w:rPr>
        <w:t>Boolarra virus</w:t>
      </w:r>
      <w:r>
        <w:t xml:space="preserve">) e um Dicistroviridae-like (69,8% identidade a </w:t>
      </w:r>
      <w:r>
        <w:rPr>
          <w:i/>
        </w:rPr>
        <w:t>Drosophila C virus</w:t>
      </w:r>
      <w:r>
        <w:t>/</w:t>
      </w:r>
      <w:r>
        <w:rPr>
          <w:i/>
        </w:rPr>
        <w:t>Nilaparvata lugens C virus</w:t>
      </w:r>
      <w:r>
        <w:t xml:space="preserve">) — e um quarto, Cypovirus-like (Reoviridae), com confiança média-alta (domínio RdRp muito forte, mas identidade de sequência baixa/divergente, 26,3%). </w:t>
      </w:r>
      <w:r>
        <w:rPr>
          <w:b/>
        </w:rPr>
        <w:t>Busca dirigida pela família RdRp de Phytoreovirus (o grupo clássico de vírus de planta vetorado por Auchenorrhyncha) não teve nenhum hit em nenhum contig</w:t>
      </w:r>
      <w:r>
        <w:t xml:space="preserve"> — ausência notável dado o desenho do estudo.</w:t>
      </w:r>
    </w:p>
    <w:p>
      <w:pPr>
        <w:jc w:val="both"/>
      </w:pPr>
      <w:r>
        <w:rPr>
          <w:b/>
        </w:rPr>
        <w:t>Busca por genes de toxina/virulência microbiana:</w:t>
      </w:r>
      <w:r>
        <w:t xml:space="preserve"> varredura por palavra-chave em toda a anotação de Bacteria+Fungi encontrou apenas sistemas toxina-antitoxina bacterianos intracelulares universais (RelE/RelB, VapBC, MazF — módulos de regulação de persistência/estresse presentes em praticamente toda bactéria de vida livre, sem relação com fitopatogenicidade) e uma fosfolipase de </w:t>
      </w:r>
      <w:r>
        <w:rPr>
          <w:i/>
        </w:rPr>
        <w:t>Metarhizium anisopliae</w:t>
      </w:r>
      <w:r>
        <w:t xml:space="preserve"> (consistente com seu papel já conhecido como fungo entomopatogênico, não fitopatogênico). Nenhum gene de fitotoxina clássica (coronatina, tabtoxina, siringomicina, proteínas indutoras de necrose tipo NEP1) foi encontrado.</w:t>
      </w:r>
    </w:p>
    <w:p>
      <w:pPr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720" cy="601910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crobiome_censu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0191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/>
        <w:jc w:val="both"/>
      </w:pPr>
      <w:r>
        <w:rPr>
          <w:i/>
          <w:sz w:val="18"/>
        </w:rPr>
        <w:t>Figura 8. Censo completo do microbioma bacteriano e fungico (Camada 3), todos os hits agrupados por genero -- nao apenas os candidatos ja pre-selecionados em sessoes anteriores. (A) 540 hits de Bacteria: destaque para Herbaspirillum spp. (88 hits, laranja -- endofito classico de Brachiaria/Urochloa, provavel origem vegetal via xilema ingerido), Candidatus Karelsulcia muelleri (57 hits, verde -- endossimbionte ja confirmado) e Xylella+fitoplasma (2 hits, vermelho -- testados e REFUTADOS por mapeamento genoma-inteiro, ver Figura 9B). (B) 256 hits de Fungi: 77% (196) sao entomopatogenicos (azul), Fusarium spp. (8 hits, laranja) e o unico genero fitopatogenico mecanisticamente plausivel mas com sinal fraco.</w:t>
      </w:r>
    </w:p>
    <w:p>
      <w:pPr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720" cy="283893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thogen_screening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389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/>
        <w:jc w:val="both"/>
      </w:pPr>
      <w:r>
        <w:rPr>
          <w:i/>
          <w:sz w:val="18"/>
        </w:rPr>
        <w:t>Figura 9. Triagem de patogeno microbiano causador do amarelao (Camada 3) -- nenhum confirmado. (A) Reclassificacao taxonomica (NCBI, consulta ao vivo) dos 30 hits virais da anotacao DIAMOND/NR original: 12 sao elementos retrotransposon-like do proprio genoma do inseto (Metaviridae/Eupolintoviridae), 4 sao micovirus (infectam os fungos ja detectados na Figura 8B) e 14 sao virus genuinos de artropode sem precedente fitopatogenico -- busca dirigida pela familia RdRp de Phytoreovirus (vetorado por Auchenorrhyncha) nao teve nenhum hit. (B) Amplitude de cobertura genoma-inteira do mapeamento dos ~173 milhoes de reads brutos contra os genomas de referencia completos de Xylella fastidiosa subsp. multiplex e do fitoplasma Aster Yellows: &lt;0,3% em ambos os casos, com 98-100% das poucas posicoes cobertas caindo em operons de rRNA conservado (nao presenca real do patogeno) -- ambos REFUTADOS.</w:t>
      </w:r>
    </w:p>
    <w:p>
      <w:pPr>
        <w:pStyle w:val="Heading3"/>
      </w:pPr>
      <w:r>
        <w:t>3.4 Candidatos a endossimbionte</w:t>
      </w:r>
    </w:p>
    <w:p>
      <w:pPr>
        <w:jc w:val="both"/>
      </w:pPr>
      <w:r>
        <w:t xml:space="preserve">A extração dirigida de hits com correspondência a simbiontes conhecidos de Auchenorrhyncha identificou </w:t>
      </w:r>
      <w:r>
        <w:rPr>
          <w:b/>
        </w:rPr>
        <w:t>57 proteínas com ~99% de identidade a *Candidatus* Karelsulcia muelleri</w:t>
      </w:r>
      <w:r>
        <w:t xml:space="preserve">, incluindo genes housekeeping clássicos de simbiontes nutricionais (6-fosfofrutoquinase, GAPDH, chaperonina GroEL, enzima málica, fator de iniciação da tradução IF-2) — um padrão de expressão consistente com um simbionte metabolicamente ativo e não com contaminação aleatória. Foi identificada também </w:t>
      </w:r>
      <w:r>
        <w:rPr>
          <w:b/>
        </w:rPr>
        <w:t>1 proteína com hit em simbionte *Sodalis*-like de *Philaenus spumarius</w:t>
      </w:r>
      <w:r>
        <w:rPr>
          <w:i/>
        </w:rPr>
        <w:t xml:space="preserve"> (cigarrinha-das-pastagens europeia, mesma superfamília Cercopoidea). Esses achados são fortemente consistentes com o padrão de endossimbiose dupla obrigatória (</w:t>
      </w:r>
      <w:r>
        <w:t>Sulcia</w:t>
      </w:r>
      <w:r>
        <w:rPr>
          <w:i/>
        </w:rPr>
        <w:t xml:space="preserve"> + </w:t>
      </w:r>
      <w:r>
        <w:t>Zinderia</w:t>
      </w:r>
      <w:r>
        <w:rPr>
          <w:i/>
        </w:rPr>
        <w:t>/</w:t>
      </w:r>
      <w:r>
        <w:t>Sodalis*-like) já descrito para cigarrinhas-espumantes, incluindo três espécies sul-americanas próximas confirmadas por Foieri et al. (2022).</w:t>
      </w:r>
    </w:p>
    <w:p>
      <w:pPr>
        <w:jc w:val="both"/>
      </w:pPr>
      <w:r>
        <w:t xml:space="preserve">Dois hits de baixa confiança foram sinalizados separadamente: 1 proteína com 45,1% de identidade a </w:t>
      </w:r>
      <w:r>
        <w:rPr>
          <w:i/>
        </w:rPr>
        <w:t>Xylella fastidiosa</w:t>
      </w:r>
      <w:r>
        <w:t xml:space="preserve"> (domínio genérico Bro-N, baixa especificidade) e 1 proteína com 70,0% de identidade a uma DNA polimerase parcial de fitoplasma "aster yellows". Diferentemente da versão anterior deste documento, esses dois leads </w:t>
      </w:r>
      <w:r>
        <w:rPr>
          <w:b/>
        </w:rPr>
        <w:t>foram testados diretamente e refutados</w:t>
      </w:r>
      <w:r>
        <w:t xml:space="preserve">: o mapeamento dos ~173 milhões de reads brutos contra os genomas de referência completos de </w:t>
      </w:r>
      <w:r>
        <w:rPr>
          <w:i/>
        </w:rPr>
        <w:t>X. fastidiosa</w:t>
      </w:r>
      <w:r>
        <w:t xml:space="preserve"> subsp. </w:t>
      </w:r>
      <w:r>
        <w:rPr>
          <w:i/>
        </w:rPr>
        <w:t>multiplex</w:t>
      </w:r>
      <w:r>
        <w:t xml:space="preserve"> e do fitoplasma Aster Yellows (Seção 2.7, Camada 3) produziu amplitude de cobertura genoma-inteira de apenas 0,28% e 0,17%, respectivamente — e </w:t>
      </w:r>
      <w:r>
        <w:rPr>
          <w:b/>
        </w:rPr>
        <w:t>100% (fitoplasma) / 98,0% (Xylella) das poucas posições cobertas caem dentro de operons de rRNA 16S/23S</w:t>
      </w:r>
      <w:r>
        <w:t xml:space="preserve"> (confirmado via anotação GFF3 real posição-a-posição), a assinatura clássica de cross-mapping inespecífico de uma região universalmente conservada entre bactérias distantes, não presença real do patógeno. Os 1,97% restantes em Xylella caem num gene de protease S8 igualmente conservado e não-diagnóstico. Não há, portanto, nenhuma evidência de presença de </w:t>
      </w:r>
      <w:r>
        <w:rPr>
          <w:i/>
        </w:rPr>
        <w:t>Xylella</w:t>
      </w:r>
      <w:r>
        <w:t xml:space="preserve"> ou fitoplasma neste material.</w:t>
      </w:r>
    </w:p>
    <w:p>
      <w:pPr>
        <w:jc w:val="both"/>
      </w:pPr>
      <w:r>
        <w:rPr>
          <w:b/>
        </w:rPr>
        <w:t>Confirmação independente (Camada 2):</w:t>
      </w:r>
      <w:r>
        <w:t xml:space="preserve"> a classificação estrutural eucarioto/procarioto de Whokaryote+Tiara, que não depende de similaridade de sequência a um banco de referência, foi cruzada com os 60 candidatos da Camada 1 (57 </w:t>
      </w:r>
      <w:r>
        <w:rPr>
          <w:i/>
        </w:rPr>
        <w:t>Sulcia</w:t>
      </w:r>
      <w:r>
        <w:t>/</w:t>
      </w:r>
      <w:r>
        <w:rPr>
          <w:i/>
        </w:rPr>
        <w:t>Sodalis</w:t>
      </w:r>
      <w:r>
        <w:t>-like + 2 patógenos de baixa prioridade). Whokaryote só classifica contigs ≥5.000 pb — a maioria dos candidatos é composta por genes bacterianos únicos em transcritos Trinity curtos — de modo que apenas 3 candidatos puderam ser avaliados; os 3 foram classificados como procarioto (</w:t>
      </w:r>
      <w:r>
        <w:rPr>
          <w:b/>
        </w:rPr>
        <w:t>concordantes</w:t>
      </w:r>
      <w:r>
        <w:t>, 0 discordantes), e os 57 restantes ficaram como "não analisado" por limitação de cobertura da Camada 2, não como evidência contra a chamada da Camada 1 (</w:t>
      </w:r>
      <w:r>
        <w:rPr>
          <w:rFonts w:ascii="Courier New" w:hAnsi="Courier New"/>
          <w:sz w:val="20"/>
        </w:rPr>
        <w:t>results/endosymbiont_candidates/endosymbionts_cross_validated.tsv</w:t>
      </w:r>
      <w:r>
        <w:t>).</w:t>
      </w:r>
    </w:p>
    <w:p>
      <w:pPr>
        <w:jc w:val="both"/>
      </w:pPr>
      <w:r>
        <w:rPr>
          <w:b/>
        </w:rPr>
        <w:t>Evidência adicional (Camada 3):</w:t>
      </w:r>
      <w:r>
        <w:t xml:space="preserve"> o perfil de GC dos 37 candidatos </w:t>
      </w:r>
      <w:r>
        <w:rPr>
          <w:i/>
        </w:rPr>
        <w:t>Sulcia</w:t>
      </w:r>
      <w:r>
        <w:t>/</w:t>
      </w:r>
      <w:r>
        <w:rPr>
          <w:i/>
        </w:rPr>
        <w:t>Sodalis</w:t>
      </w:r>
      <w:r>
        <w:t xml:space="preserve"> com dados de expressão (mediana 24,9%) é significativamente menor que o do restante do transcriptoma eucariótico anotado (mediana 36,2%; Mann-Whitney p=8,1×10⁻²³), consistente com o genoma extremamente reduzido e rico em AT já descrito para </w:t>
      </w:r>
      <w:r>
        <w:rPr>
          <w:i/>
        </w:rPr>
        <w:t>Sulcia</w:t>
      </w:r>
      <w:r>
        <w:t xml:space="preserve"> na literatura. A identidade de 99,4% a proteínas nomeadas de </w:t>
      </w:r>
      <w:r>
        <w:rPr>
          <w:i/>
        </w:rPr>
        <w:t>Candidatus</w:t>
      </w:r>
      <w:r>
        <w:t xml:space="preserve"> Karelsulcia muelleri (GroEL, GAPDH) permanece a evidência mais direta de identidade de espécie.</w:t>
      </w:r>
    </w:p>
    <w:p>
      <w:pPr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720" cy="407270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lobplot_gc_tpm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72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/>
        <w:jc w:val="both"/>
      </w:pPr>
      <w:r>
        <w:rPr>
          <w:i/>
          <w:sz w:val="18"/>
        </w:rPr>
        <w:t>Figura 10. GC% x TPM por contig (estilo BlobTools), destacando os 37 candidatos Sulcia/Sodalis com dados de expressao. A mediana de GC dos candidatos (24,9%) e significativamente menor que a do restante do transcriptoma eucariotico anotado (36,2%; Mann-Whitney p=8,1x10^-23), consistente com o genoma extremamente reduzido e rico em AT ja descrito para Sulcia na literatura (Bennett &amp; Moran 2013). O ponto verde isolado em ~45% GC e o unico hit Sodalis-like, consistente com o GC mais alto esperado para esse co-simbionte.</w:t>
      </w:r>
    </w:p>
    <w:p>
      <w:pPr>
        <w:jc w:val="both"/>
      </w:pPr>
      <w:r>
        <w:rPr>
          <w:b/>
        </w:rPr>
        <w:t>Uma tentativa de validação filogenética (GroEL, máxima verossimilhança + bootstrap ultrarrápido, `08_metagenomic_deep/`) não foi conclusiva</w:t>
      </w:r>
      <w:r>
        <w:t xml:space="preserve">: mesmo após adicionar um outgroup de Bacteroidetes de vida livre, o candidato de </w:t>
      </w:r>
      <w:r>
        <w:rPr>
          <w:i/>
        </w:rPr>
        <w:t>M. spectabilis</w:t>
      </w:r>
      <w:r>
        <w:t xml:space="preserve"> não se agrupou dentro do clado </w:t>
      </w:r>
      <w:r>
        <w:rPr>
          <w:i/>
        </w:rPr>
        <w:t>Karelsulcia</w:t>
      </w:r>
      <w:r>
        <w:t xml:space="preserve"> com suporte estatístico adequado (bootstrap 49–72%, abaixo do limiar de 95% adotado como critério) — resultado reportado sem tentativas adicionais de reamostragem taxonômica para não distorcer o achado.</w:t>
      </w:r>
    </w:p>
    <w:p>
      <w:pPr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720" cy="285803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el_phylogen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58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/>
        <w:jc w:val="both"/>
      </w:pPr>
      <w:r>
        <w:rPr>
          <w:i/>
          <w:sz w:val="18"/>
        </w:rPr>
        <w:t>Figura 11. Filogenia de maxima verossimilhanca do gene GroEL (candidato de M. spectabilis + referencias de Candidatus Karelsulcia muelleri + outgroup Sodalis glossinidius/Bacteroides sp., IQ-TREE, bootstrap ultrarrapido 1000 replicas). RESULTADO INCONCLUSIVO: o candidato de M. spectabilis nao se agrupa dentro do clado Karelsulcia com suporte estatistico adequado (bootstrap 49-72%, abaixo do criterio de 95% adotado como sucesso) -- reportado como obtido, sem reamostragem taxonomica adicional para nao distorcer o achado.</w:t>
      </w:r>
    </w:p>
    <w:p>
      <w:pPr>
        <w:pStyle w:val="Heading3"/>
      </w:pPr>
      <w:r>
        <w:t>3.5 Predição de secretoma clássico</w:t>
      </w:r>
    </w:p>
    <w:p>
      <w:pPr>
        <w:jc w:val="both"/>
      </w:pPr>
      <w:r>
        <w:t xml:space="preserve">A predição TMbed (Seção 2.5) classificou </w:t>
      </w:r>
      <w:r>
        <w:rPr>
          <w:b/>
        </w:rPr>
        <w:t>1.238 proteínas (9,9%) com peptídeo sinal</w:t>
      </w:r>
      <w:r>
        <w:t xml:space="preserve"> e </w:t>
      </w:r>
      <w:r>
        <w:rPr>
          <w:b/>
        </w:rPr>
        <w:t>1.171 proteínas (9,4%) como secretoma clássico</w:t>
      </w:r>
      <w:r>
        <w:t xml:space="preserve"> (peptídeo sinal presente E ≤1 segmento transmembrana; 67 proteínas excluídas por terem &gt;1 segmento TM). Do secretoma clássico, 79,0% têm hit DIAMOND, 67,1% têm domínio Pfam, 51,0% têm termo GO e 37,7% têm ortólogo KEGG. As categorias COG mais representadas no secretoma clássico são função desconhecida (277), transdução de sinal (147), modificação pós-traducional/chaperonas (145) e transporte/metabolismo de carboidratos (89) (</w:t>
      </w:r>
      <w:r>
        <w:rPr>
          <w:rFonts w:ascii="Courier New" w:hAnsi="Courier New"/>
          <w:sz w:val="20"/>
        </w:rPr>
        <w:t>results/secretome/secretome_report.txt</w:t>
      </w:r>
      <w:r>
        <w:t>).</w:t>
      </w:r>
    </w:p>
    <w:p>
      <w:pPr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720" cy="221135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retome_summary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11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/>
        <w:jc w:val="both"/>
      </w:pPr>
      <w:r>
        <w:rPr>
          <w:i/>
          <w:sz w:val="18"/>
        </w:rPr>
        <w:t>Figura 6. Predicao do secretoma classico com TMbed (substitui SignalP/TMHMM, indisponiveis sem licenca DTU). (A) Funil de predicao: das 12.445 proteinas, 1.238 (9,9%) tem peptideo sinal, das quais 1.171 (9,4%) compoem o secretoma classico (&lt;=1 segmento transmembrana) e 67 foram excluidas por terem mais de 1 segmento TM. (B) Distribuicao do numero de segmentos transmembrana preditos entre as proteinas com peptideo sinal, separando secretoma classico e excluidas, com linha de corte em TM=1. (C) Categorias COG mais frequentes entre as 1.171 proteinas do secretoma classico: [S] funcao desconhecida (277), [T] transducao de sinal (147), [O] modificacao pos-traducional/chaperonas (145) e [G] transporte/metabolismo de carboidratos (89).</w:t>
      </w:r>
    </w:p>
    <w:p>
      <w:pPr>
        <w:pStyle w:val="Heading3"/>
      </w:pPr>
      <w:r>
        <w:t>3.6 Candidatos a efetor/toxina salivar (secretoma × termos curados × expressão)</w:t>
      </w:r>
    </w:p>
    <w:p>
      <w:pPr>
        <w:jc w:val="both"/>
      </w:pPr>
      <w:r>
        <w:t xml:space="preserve">A interseção do secretoma clássico com a lista curada de termos/domínios de efetor/toxina (Seção 2.6) produziu </w:t>
      </w:r>
      <w:r>
        <w:rPr>
          <w:b/>
        </w:rPr>
        <w:t>35 candidatos</w:t>
      </w:r>
      <w:r>
        <w:t xml:space="preserve"> (</w:t>
      </w:r>
      <w:r>
        <w:rPr>
          <w:rFonts w:ascii="Courier New" w:hAnsi="Courier New"/>
          <w:sz w:val="20"/>
        </w:rPr>
        <w:t>results/effector_candidates/effector_candidates_ranked.tsv</w:t>
      </w:r>
      <w:r>
        <w:t xml:space="preserve">). Por categoria: domínios EF-hand/Ca-binding (16), mucinas (9), peptídeo/proteína salivar secretado (4), fosfolipase A2/B (2), protease tipo veneno (1), carboxipeptidase tipo veneno (1), dipeptidil peptidase 4 tipo veneno (1) e lacase (1). Os candidatos de maior expressão incluem uma proteína salivar secretada (melhor hit DIAMOND: </w:t>
      </w:r>
      <w:r>
        <w:rPr>
          <w:i/>
        </w:rPr>
        <w:t>Triatoma infestans</w:t>
      </w:r>
      <w:r>
        <w:t xml:space="preserve">, TPM=52,3), uma protease tipo veneno (melhor hit: </w:t>
      </w:r>
      <w:r>
        <w:rPr>
          <w:i/>
        </w:rPr>
        <w:t>Macrosteles quadrilineatus</w:t>
      </w:r>
      <w:r>
        <w:t>, cigarrinha da mesma ordem Hemiptera, TPM=6,9) e uma carboxipeptidase de serina tipo veneno. Nenhum dos 15 hits GH28/GH5 do dbCAN dedicado (Seção 3.2) permaneceu na lista final por não estarem simultaneamente no secretoma clássico — achado que qualifica, sem invalidar, a hipótese de celulases/pectinases secretadas como efetores.</w:t>
      </w:r>
    </w:p>
    <w:p>
      <w:pPr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720" cy="623513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ffector_candidate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235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/>
        <w:jc w:val="both"/>
      </w:pPr>
      <w:r>
        <w:rPr>
          <w:i/>
          <w:sz w:val="18"/>
        </w:rPr>
        <w:t>Figura 7. Candidatos priorizados a efetor/toxina salivar (n=35), ranqueados por numero de termos curados correspondentes e por TPM (cor/tamanho do ponto). Criterio: proteina simultaneamente no secretoma classico (Figura 6) E com correspondencia a pelo menos um termo/dominio associado a fitotoxicidade em outros Hemiptera (dominios EF-hand/Ca-binding: 16; mucina: 9; peptideo/proteina salivar secretado: 4; fosfolipase A2/B: 2; protease, carboxipeptidase e dipeptidil peptidase 4 tipo veneno: 1 cada; lacase: 1). Os candidatos mais expressos incluem uma proteina salivar secretada (melhor hit DIAMOND: Triatoma infestans) e uma protease tipo veneno (melhor hit: Macrosteles quadrilineatus).</w:t>
      </w:r>
    </w:p>
    <w:p>
      <w:pPr/>
    </w:p>
    <w:p>
      <w:pPr>
        <w:pStyle w:val="Heading2"/>
      </w:pPr>
      <w:r>
        <w:t>4. Discussão</w:t>
      </w:r>
    </w:p>
    <w:p>
      <w:pPr>
        <w:jc w:val="both"/>
      </w:pPr>
      <w:r>
        <w:t xml:space="preserve">Os resultados de montagem e anotação situam este transcriptoma como um recurso robusto e comparável a outros esforços de sequenciamento de novo em Hemiptera não-modelo (BUSCO &gt;95%, ampla cobertura de anotação funcional). O achado mais imediatamente conclusivo é a confirmação, em nível de transcrito, da endossimbiose dupla obrigatória esperada para Cercopoidea. Os 57 hits de </w:t>
      </w:r>
      <w:r>
        <w:rPr>
          <w:i/>
        </w:rPr>
        <w:t>Sulcia</w:t>
      </w:r>
      <w:r>
        <w:t xml:space="preserve"> com identidade ~99% em genes de biossíntese/metabolismo central deixam pouca dúvida quanto à presença ativa desse simbionte no material analisado, mesmo tendo a glândula salivar (e não o corpo gorduroso/bacteriócitos, sítio clássico de residência de </w:t>
      </w:r>
      <w:r>
        <w:rPr>
          <w:i/>
        </w:rPr>
        <w:t>Sulcia</w:t>
      </w:r>
      <w:r>
        <w:t xml:space="preserve">) como tecido de origem. Esse padrão de "vazamento" transcricional de simbiontes altamente expressos em tecidos adjacentes já foi documentado em outros Hemiptera (ex. </w:t>
      </w:r>
      <w:r>
        <w:rPr>
          <w:i/>
        </w:rPr>
        <w:t>Buchnera</w:t>
      </w:r>
      <w:r>
        <w:t xml:space="preserve"> em transcriptomas de afídeo, Bansal et al., 2014). Isso reforça a viabilidade de extrair informação de endossimbiontes a partir de transcriptomas de tecido específico, sem necessidade de sequenciamento metagenômico dedicado.</w:t>
      </w:r>
    </w:p>
    <w:p>
      <w:pPr>
        <w:jc w:val="both"/>
      </w:pPr>
      <w:r>
        <w:t xml:space="preserve">Diferentemente de uma versão anterior deste texto, a hipótese de vetoração de </w:t>
      </w:r>
      <w:r>
        <w:rPr>
          <w:i/>
        </w:rPr>
        <w:t>Xylella fastidiosa</w:t>
      </w:r>
      <w:r>
        <w:t xml:space="preserve"> ou fitoplasma </w:t>
      </w:r>
      <w:r>
        <w:rPr>
          <w:b/>
        </w:rPr>
        <w:t>não permanece em aberto</w:t>
      </w:r>
      <w:r>
        <w:t>: o mapeamento genoma-inteiro dos reads brutos contra ambos os genomas de referência (Seção 2.7/3.4, Camada 3) mostrou amplitude de cobertura &lt;0,3% em ambos os casos, com praticamente 100% do sinal residual explicado por cross-mapping de rRNA conservado — um resultado negativo direto, não apenas "ausência de suporte forte". O mesmo padrão de teste dirigido, aplicado à busca viral (varredura por domínio RdRp em todos os contigs, não apenas os pré-selecionados) e à busca por genes de toxina/virulência microbiana em todo o censo de Bacteria+Fungi, não encontrou nenhum candidato que combine (i) identificação como vírus/bactéria/fungo fitopatogênico e (ii) confirmação por múltiplas fontes de evidência independentes. Os quatro vírus confirmados com alta confiança (domínio RdRp + identidade BLASTx) são todos linhagens já descritas como específicas de artrópode, sem precedente de fitopatogenicidade; a busca dirigida pela família RdRp de Phytoreovirus — o grupo clássico de vírus de planta vetorado por Auchenorrhyncha — não teve nenhum hit.</w:t>
      </w:r>
    </w:p>
    <w:p>
      <w:pPr>
        <w:jc w:val="both"/>
      </w:pPr>
      <w:r>
        <w:rPr>
          <w:b/>
        </w:rPr>
        <w:t>Inferência concisa sobre a causa do amarelão, restrita ao que os dados sustentam diretamente:</w:t>
      </w:r>
      <w:r>
        <w:t xml:space="preserve"> por eliminação sistemática de cada hipótese microbiana testável com os dados disponíveis (vírus, </w:t>
      </w:r>
      <w:r>
        <w:rPr>
          <w:i/>
        </w:rPr>
        <w:t>Xylella</w:t>
      </w:r>
      <w:r>
        <w:t xml:space="preserve">, fitoplasma, fungo fitopatogênico, gene de toxina bacteriana/fúngica), a hipótese que permanece mais bem sustentada é a de efeito direto de um composto salivar do próprio inseto — exatamente a frente já em investigação neste mesmo trabalho (Seção 3.6, 35 candidatos a efetor/toxina secretados). Esta inferência é apresentada com a devida cautela: (i) o desenho de amostra única (1 biblioteca, sem réplicas nem comparação planta sintomática × assintomática) permite apenas testar presença/ausência de cada micro-organismo candidato, nunca causalidade; (ii) um patógeno real, porém raro ou pouco expresso no momento da coleta, pode ter escapado de todos os métodos aplicados; e (iii) a hipótese de efetor salivar em si ainda não foi validada experimentalmente (ver Seção 5). O achado de maior volume nesta camada — 88 hits de </w:t>
      </w:r>
      <w:r>
        <w:rPr>
          <w:i/>
        </w:rPr>
        <w:t>Herbaspirillum</w:t>
      </w:r>
      <w:r>
        <w:t xml:space="preserve"> (Seção 3.3), gênero endofítico diazotrófico bem descrito em </w:t>
      </w:r>
      <w:r>
        <w:rPr>
          <w:i/>
        </w:rPr>
        <w:t>Brachiaria</w:t>
      </w:r>
      <w:r>
        <w:t>/</w:t>
      </w:r>
      <w:r>
        <w:rPr>
          <w:i/>
        </w:rPr>
        <w:t>Urochloa</w:t>
      </w:r>
      <w:r>
        <w:t xml:space="preserve"> — não é um candidato a causador (não há precedente de fitopatogenicidade para o gênero), mas documenta que a biblioteca capturou material bacteriano de origem vegetal via seiva de xilema ingerida, o que reforça (sem confirmar) que outros sinais bacterianos de baixa abundância, se presentes, teriam chance real de detecção neste tipo de amostra.</w:t>
      </w:r>
    </w:p>
    <w:p>
      <w:pPr>
        <w:jc w:val="both"/>
      </w:pPr>
      <w:r>
        <w:t>A confirmação independente por Whokaryote+Tiara (Seção 3.4) reforça a robustez da chamada de endossimbionte nos 3 candidatos com cobertura suficiente para avaliação, mas a limitação de tamanho mínimo de contig (≥5.000 pb) impede o mesmo teste para a maioria dos hits.</w:t>
      </w:r>
    </w:p>
    <w:p>
      <w:pPr>
        <w:jc w:val="both"/>
      </w:pPr>
      <w:r>
        <w:t xml:space="preserve">Quanto à hipótese de toxina/efetor salivar, a execução completa do secretoma (TMbed) e da priorização (Seções 2.5–2.6) reduziu o conjunto de candidatos plausíveis de dezenas de famílias anotadas para </w:t>
      </w:r>
      <w:r>
        <w:rPr>
          <w:b/>
        </w:rPr>
        <w:t>35 proteínas</w:t>
      </w:r>
      <w:r>
        <w:t xml:space="preserve"> que são simultaneamente secretadas e portadoras de um termo/domínio associado a fitotoxicidade em outros Hemiptera — incluindo uma proteína salivar secretada de alta expressão, uma protease tipo veneno com melhor hit em outra cigarrinha (</w:t>
      </w:r>
      <w:r>
        <w:rPr>
          <w:i/>
        </w:rPr>
        <w:t>Macrosteles quadrilineatus</w:t>
      </w:r>
      <w:r>
        <w:t>), e uma carboxipeptidase de serina tipo veneno. A anotação dbCAN dedicada (Seção 2.8) encontrou pela primeira vez hits GH28/GH5 (15 proteínas) que a anotação eggNOG original não detectava, mas nenhum desses hits está no secretoma clássico — o que não descarta a hipótese de degradação de parede celular como mecanismo de fitotoxemia, mas indica que, se real, ela não opera pela via clássica de secreção Sec/SPI capturada pelo TMbed (ex. secreção não-clássica, ou celulases/pectinases intracelulares/estruturais). A convergência entre esta lista priorizada e a proteômica já publicada/em andamento pelo grupo UFV (Monteiro, 2019; Rinaldi, 2021, 2026) permanece o teste de robustez mais importante a ser feito, agora com uma lista concreta e finita de candidatos em vez de uma anotação funcional bruta.</w:t>
      </w:r>
    </w:p>
    <w:p>
      <w:pPr/>
    </w:p>
    <w:p>
      <w:pPr>
        <w:pStyle w:val="Heading2"/>
      </w:pPr>
      <w:r>
        <w:t>5. Limitações</w:t>
      </w:r>
    </w:p>
    <w:p>
      <w:pPr>
        <w:pStyle w:val="ListNumber"/>
        <w:spacing w:after="60"/>
      </w:pPr>
      <w:r>
        <w:rPr>
          <w:b/>
        </w:rPr>
        <w:t>Desenho de amostra única</w:t>
      </w:r>
      <w:r>
        <w:t>: 1 biblioteca de RNA-seq, sem réplicas nem comparação entre plantas sintomáticas e assintomáticas. Toda a Camada 3 (busca por patógeno) permite apenas testar presença/ausência de cada candidato, nunca causalidade ou associação estatística com a severidade do amarelão — confirmação real exigiria PCR/qPCR dirigido em múltiplos indivíduos/plantas, fora do escopo computacional deste trabalho.</w:t>
      </w:r>
    </w:p>
    <w:p>
      <w:pPr>
        <w:pStyle w:val="ListNumber"/>
        <w:spacing w:after="60"/>
      </w:pPr>
      <w:r>
        <w:t>Cobertura de anotação por eggNOG/KEGG (~43-44%) permanece parcial; mesmo com a anotação dbCAN dedicada (3,8% de cobertura CAZy, 15 hits GH28/GH5), a ausência de hits em proteínas específicas não distingue com certeza entre ausência real da atividade enzimática e limitação de sensibilidade das ferramentas.</w:t>
      </w:r>
    </w:p>
    <w:p>
      <w:pPr>
        <w:pStyle w:val="ListNumber"/>
        <w:spacing w:after="60"/>
      </w:pPr>
      <w:r>
        <w:t>Uma única biblioteca/condição de glândula salivar limita inferências sobre variação de expressão de candidatos a efetor entre hospedeiros/estádios; não há, no momento, comparação entre forrageiras resistentes/suscetíveis como em Monteiro (2019).</w:t>
      </w:r>
    </w:p>
    <w:p>
      <w:pPr>
        <w:pStyle w:val="ListNumber"/>
        <w:spacing w:after="60"/>
      </w:pPr>
      <w:r>
        <w:rPr>
          <w:i/>
        </w:rPr>
        <w:t>Xylella</w:t>
      </w:r>
      <w:r>
        <w:t>/fitoplasma foram testados diretamente por mapeamento genoma-inteiro dos reads brutos e refutados (Seção 3.4); um patógeno real, porém muito divergente do banco de referência usado ou pouco expresso no momento da coleta, ainda poderia escapar dessa triagem.</w:t>
      </w:r>
    </w:p>
    <w:p>
      <w:pPr>
        <w:pStyle w:val="ListNumber"/>
        <w:spacing w:after="60"/>
      </w:pPr>
      <w:r>
        <w:t>A confirmação estrutural independente de endossimbiontes (Whokaryote+Tiara, Camada 2) só pôde ser aplicada a 3 dos 60 candidatos por causa do corte mínimo de 5.000 pb da ferramenta — a maioria dos genes bacterianos únicos ocorre em transcritos Trinity mais curtos que isso. A validação filogenética adicional (GroEL, Camada 3) não atingiu o critério de suporte estatístico definido (Seção 3.4).</w:t>
      </w:r>
    </w:p>
    <w:p>
      <w:pPr>
        <w:pStyle w:val="ListNumber"/>
        <w:spacing w:after="60"/>
      </w:pPr>
      <w:r>
        <w:t>A lista de 35 candidatos a efetor/toxina depende inteiramente da regra de secreção clássica (peptídeo sinal Sec/SPI + ≤1 segmento TM, via TMbed); vias de secreção não-clássicas (ex. exossomos, secreção não-canônica) não são capturadas por esse critério e podem excluir candidatos reais, incluindo os 15 hits GH28/GH5 do dbCAN dedicado.</w:t>
      </w:r>
    </w:p>
    <w:p>
      <w:pPr>
        <w:pStyle w:val="ListNumber"/>
        <w:spacing w:after="60"/>
      </w:pPr>
      <w:r>
        <w:t>A busca por genes de toxina/virulência microbiana (Camada 3) foi baseada em palavras-chave nas anotações funcionais existentes (DIAMOND/eggNOG/Pfam), não em um banco dedicado de toxinas caracterizadas experimentalmente; genes de toxina divergentes ou mal anotados podem ter sido perdidos.</w:t>
      </w:r>
    </w:p>
    <w:p>
      <w:pPr>
        <w:pStyle w:val="ListNumber"/>
        <w:spacing w:after="60"/>
      </w:pPr>
      <w:r>
        <w:t>Uma quarta camada de triagem taxonômica por contig (CAT/BAT, sem o corte de tamanho mínimo do Whokaryote) foi desenhada mas não executada — o banco de dados necessário (91,6 GB GTDB / 197,5 GB NCBI nr, tamanho real confirmado) foi considerado desproporcional ao ganho esperado frente ao espaço em disco compartilhado do servidor; fica registrado como opção de trabalho futuro.</w:t>
      </w:r>
    </w:p>
    <w:p>
      <w:pPr/>
    </w:p>
    <w:p>
      <w:pPr>
        <w:pStyle w:val="Heading2"/>
      </w:pPr>
      <w:r>
        <w:t>6. Status das Análises / Próximas Etapas</w:t>
      </w:r>
    </w:p>
    <w:p>
      <w:pPr>
        <w:jc w:val="both"/>
      </w:pPr>
      <w:r>
        <w:t>Tabela viva, atualizada a cada módulo concluído: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Módulo</w:t>
            </w:r>
          </w:p>
        </w:tc>
        <w:tc>
          <w:tcPr>
            <w:tcW w:type="dxa" w:w="2280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Status</w:t>
            </w:r>
          </w:p>
        </w:tc>
        <w:tc>
          <w:tcPr>
            <w:tcW w:type="dxa" w:w="2280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Data</w:t>
            </w:r>
          </w:p>
        </w:tc>
        <w:tc>
          <w:tcPr>
            <w:tcW w:type="dxa" w:w="2280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Observação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1. Montagem + avaliação (Trinity/CD-HIT/TransDecoder/BUSCO)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Concluído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(histórico)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Seção 3.1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2. Anotação funcional (DIAMOND/eggNOG/Pfam) + correção de bug de merge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Concluído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2026-07-02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Bug de merge corrigido e validado (`03_annotation/07_fix_annotation_merge.py`); Seção 3.2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3. Quantificação de expressão (Salmon)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Concluído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(histórico)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Usado nos módulos 5-7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4. Triagem de endossimbiontes — Camada 1 (DIAMOND/lineage)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Concluído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2026-07-02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57 Sulcia + 1 Sodalis-like; Seção 3.4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5. Triagem de endossimbiontes — Camada 2 (Whokaryote/Tiara)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Concluído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2026-07-23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3 concordantes / 0 discordantes / 57 não avaliados (corte de 5.000 pb); Seção 3.4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6. Predição de secretoma (TMbed, substitui SignalP6/TMHMM)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Concluído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2026-07-23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1.171 proteínas (9,4%) no secretoma clássico; Seção 3.5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7. Priorização de efetores/toxinas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Concluído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2026-07-23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35 candidatos; Seção 3.6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8. dbCAN dedicado (CAZy GH28/GH5)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Concluído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2026-07-23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468 proteínas com chamada CAZy, 15 GH28/GH5; Seção 3.2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9. Censo completo de microbioma (Bacteria 540 + Fungi 256 hits, todos por gênero)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Concluído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2026-07-25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Não apenas os candidatos pré-selecionados; Seção 3.3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10. Descoberta viral dirigida por domínio RdRp (31 famílias Pfam + DIAMOND vs RefSeq viral)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Concluído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2026-07-25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4 vírus confirmados por 2 fontes, todos específicos de artrópode; nenhum hit a Phytoreovirus; Seção 3.3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11. Confirmação/refutação Xylella/fitoplasma por mapeamento genoma-inteiro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Concluído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2026-07-25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Ambos REFUTADOS (breadth &lt;0,3%, 98-100% cross-mapping de rRNA); Seção 3.4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12. Busca por genes de toxina/virulência microbiana (palavra-chave, Bacteria+Fungi)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Concluído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2026-07-25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Nenhum gene de fitotoxina clássica encontrado; Seção 3.3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13. Validação filogenética adicional de endossimbionte (GroEL, ML+bootstrap)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Concluído, resultado inconclusivo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2026-07-25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Bootstrap 49-72%, abaixo do critério de 95%; Seção 3.4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14. CAT/BAT sem corte de tamanho mínimo (Camada 4)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⏸ Adiado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Banco de dados real confirmado em 91,6-197,5 GB, desproporcional; decisão do usuário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15. Confirmação direcionada Xylella/fitoplasma (PCR)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Substituído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2026-07-25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Mapeamento genoma-inteiro (item 11) cumpriu o mesmo papel sem necessidade de bancada, com resultado negativo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16. Validação experimental dos 35 candidatos a efetor (proteômica/RNAi/ensaio de fitotoxicidade)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Sugerido, próxima etapa natural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Decisão do grupo/laboratório; comparar com Monteiro (2019)/Rinaldi (2021, 2026); reforçado como hipótese mais provável por eliminação (Seção 4)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17. Auditoria de integridade completa (veracidade numérica vs dados brutos, checksum servidor↔local, revisão de bugs)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Concluído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2026-08-30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Nenhum número fabricado; corrigido bug de contagem GH28/GH5 (16→15, substring "GH5" capturava GH56) e bug de merge que deixava 574 valores não-limpos em `cazy` (`03_annotation/09_merge_cazy.py`)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18. Revisão de código dedicada linha-a-linha (finalização da auditoria do item 17)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Concluído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2026-08-31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Confirma que a correção histórica do bug de merge eggNOG se sustenta; achado 1 bug latente de baixa severidade em `06_effector_prioritization/effector_candidates.py` (regex GH28/GH5 não casava subfamílias com sufixo, ex. `GH5_12`) — corrigido, zero impacto nos 35 candidatos publicados (checksum idêntico após reexecução)</w:t>
            </w:r>
          </w:p>
        </w:tc>
      </w:tr>
    </w:tbl>
    <w:p>
      <w:pPr/>
    </w:p>
    <w:p>
      <w:pPr/>
    </w:p>
    <w:p>
      <w:pPr>
        <w:pStyle w:val="Heading2"/>
      </w:pPr>
      <w:r>
        <w:t>Referências</w:t>
      </w:r>
    </w:p>
    <w:p>
      <w:pPr>
        <w:jc w:val="both"/>
      </w:pPr>
      <w:r>
        <w:t>Andrews, S. (2010). FastQC: a quality control tool for high throughput sequence data. Babraham Bioinformatics, Babraham Institute, Cambridge, UK. https://www.bioinformatics.babraham.ac.uk/projects/fastqc/</w:t>
      </w:r>
    </w:p>
    <w:p>
      <w:pPr>
        <w:jc w:val="both"/>
      </w:pPr>
      <w:r>
        <w:t xml:space="preserve">Backus, E.A., Serrano, M.S., Ranger, C.M. (2005). Mechanisms of hopperburn: an overview of insect taxonomy, behavior, and physiology. </w:t>
      </w:r>
      <w:r>
        <w:rPr>
          <w:i/>
        </w:rPr>
        <w:t>Annual Review of Entomology</w:t>
      </w:r>
      <w:r>
        <w:t>, 50, 125–151. https://doi.org/10.1146/annurev.ento.49.061802.123310</w:t>
      </w:r>
    </w:p>
    <w:p>
      <w:pPr>
        <w:jc w:val="both"/>
      </w:pPr>
      <w:r>
        <w:t xml:space="preserve">Bansal, R. et al. (2014). Deep sequencing of the transcriptomes of soybean aphid and associated endosymbionts. </w:t>
      </w:r>
      <w:r>
        <w:rPr>
          <w:i/>
        </w:rPr>
        <w:t>PLOS ONE</w:t>
      </w:r>
      <w:r>
        <w:t>, 9(9), e106438. https://doi.org/10.1371/journal.pone.0106438</w:t>
      </w:r>
    </w:p>
    <w:p>
      <w:pPr>
        <w:jc w:val="both"/>
      </w:pPr>
      <w:r>
        <w:t xml:space="preserve">Bennett, G.M., Moran, N.A. (2013). Small, smaller, smallest: the origins and evolution of ancient dual symbioses in a phloem-feeding insect. </w:t>
      </w:r>
      <w:r>
        <w:rPr>
          <w:i/>
        </w:rPr>
        <w:t>Genome Biology and Evolution</w:t>
      </w:r>
      <w:r>
        <w:t>, 5(9), 1675–1688. https://doi.org/10.1093/gbe/evt118</w:t>
      </w:r>
    </w:p>
    <w:p>
      <w:pPr>
        <w:jc w:val="both"/>
      </w:pPr>
      <w:r>
        <w:t xml:space="preserve">Bernhofer, M., Rost, B. (2022). TMbed: transmembrane proteins predicted through language model embeddings. </w:t>
      </w:r>
      <w:r>
        <w:rPr>
          <w:i/>
        </w:rPr>
        <w:t>BMC Bioinformatics</w:t>
      </w:r>
      <w:r>
        <w:t>, 23, 326. https://doi.org/10.1186/s12859-022-04873-x</w:t>
      </w:r>
    </w:p>
    <w:p>
      <w:pPr>
        <w:jc w:val="both"/>
      </w:pPr>
      <w:r>
        <w:t xml:space="preserve">Buchfink, B., Xie, C., Huson, D.H. (2021). Sensitive protein alignments at tree-of-life scale using DIAMOND. </w:t>
      </w:r>
      <w:r>
        <w:rPr>
          <w:i/>
        </w:rPr>
        <w:t>Nature Methods</w:t>
      </w:r>
      <w:r>
        <w:t>, 18, 366–368. https://doi.org/10.1038/s41592-021-01101-x</w:t>
      </w:r>
    </w:p>
    <w:p>
      <w:pPr>
        <w:jc w:val="both"/>
      </w:pPr>
      <w:r>
        <w:t xml:space="preserve">Cantalapiedra, C.P. et al. (2021). eggNOG-mapper v2: functional annotation, orthology assignments, and domain prediction at the metagenomic scale. </w:t>
      </w:r>
      <w:r>
        <w:rPr>
          <w:i/>
        </w:rPr>
        <w:t>Molecular Biology and Evolution</w:t>
      </w:r>
      <w:r>
        <w:t>, 38(12), 5825–5829. https://doi.org/10.1093/molbev/msab293</w:t>
      </w:r>
    </w:p>
    <w:p>
      <w:pPr>
        <w:jc w:val="both"/>
      </w:pPr>
      <w:r>
        <w:t xml:space="preserve">Chen, S., Zhou, Y., Chen, Y., Gu, J. (2018). fastp: an ultra-fast all-in-one FASTQ preprocessor. </w:t>
      </w:r>
      <w:r>
        <w:rPr>
          <w:i/>
        </w:rPr>
        <w:t>Bioinformatics</w:t>
      </w:r>
      <w:r>
        <w:t>, 34(17), i884–i890. https://doi.org/10.1093/bioinformatics/bty560</w:t>
      </w:r>
    </w:p>
    <w:p>
      <w:pPr>
        <w:jc w:val="both"/>
      </w:pPr>
      <w:r>
        <w:t xml:space="preserve">Cornara, D. et al. (2017). Spittlebugs as vectors of </w:t>
      </w:r>
      <w:r>
        <w:rPr>
          <w:i/>
        </w:rPr>
        <w:t>Xylella fastidiosa</w:t>
      </w:r>
      <w:r>
        <w:t xml:space="preserve"> in olive orchards in Italy. </w:t>
      </w:r>
      <w:r>
        <w:rPr>
          <w:i/>
        </w:rPr>
        <w:t>Journal of Pest Science</w:t>
      </w:r>
      <w:r>
        <w:t>, 90, 521–530. https://doi.org/10.1007/s10340-016-0793-0</w:t>
      </w:r>
    </w:p>
    <w:p>
      <w:pPr>
        <w:jc w:val="both"/>
      </w:pPr>
      <w:r>
        <w:t xml:space="preserve">Cornara, D. et al. (2018). EPG combined with micro-CT and video recording reveals new insights on the feeding behavior of </w:t>
      </w:r>
      <w:r>
        <w:rPr>
          <w:i/>
        </w:rPr>
        <w:t>Philaenus spumarius</w:t>
      </w:r>
      <w:r>
        <w:t xml:space="preserve">. </w:t>
      </w:r>
      <w:r>
        <w:rPr>
          <w:i/>
        </w:rPr>
        <w:t>Journal of Pest Science</w:t>
      </w:r>
      <w:r>
        <w:t>, 91, 941–951.</w:t>
      </w:r>
    </w:p>
    <w:p>
      <w:pPr>
        <w:jc w:val="both"/>
      </w:pPr>
      <w:r>
        <w:t xml:space="preserve">Eddy, S.R. (2011). Accelerated profile HMM searches. </w:t>
      </w:r>
      <w:r>
        <w:rPr>
          <w:i/>
        </w:rPr>
        <w:t>PLOS Computational Biology</w:t>
      </w:r>
      <w:r>
        <w:t>, 7(10), e1002195. https://doi.org/10.1371/journal.pcbi.1002195</w:t>
      </w:r>
    </w:p>
    <w:p>
      <w:pPr>
        <w:jc w:val="both"/>
      </w:pPr>
      <w:r>
        <w:t xml:space="preserve">Ewels, P., Magnusson, M., Lundin, S., Käller, M. (2016). MultiQC: summarize analysis results for multiple tools and samples in a single report. </w:t>
      </w:r>
      <w:r>
        <w:rPr>
          <w:i/>
        </w:rPr>
        <w:t>Bioinformatics</w:t>
      </w:r>
      <w:r>
        <w:t>, 32(19), 3047–3048. https://doi.org/10.1093/bioinformatics/btw354</w:t>
      </w:r>
    </w:p>
    <w:p>
      <w:pPr>
        <w:jc w:val="both"/>
      </w:pPr>
      <w:r>
        <w:t xml:space="preserve">Foieri, F., Decker-Franco, C., Marino de Remes Lenicov, A.M., Arneodo, J.D. (2022). First identification of bacterial endosymbionts in three South-American spittlebug pests: </w:t>
      </w:r>
      <w:r>
        <w:rPr>
          <w:i/>
        </w:rPr>
        <w:t>Notozulia entreriana</w:t>
      </w:r>
      <w:r>
        <w:t xml:space="preserve">, </w:t>
      </w:r>
      <w:r>
        <w:rPr>
          <w:i/>
        </w:rPr>
        <w:t>Deois mourei</w:t>
      </w:r>
      <w:r>
        <w:t xml:space="preserve"> and </w:t>
      </w:r>
      <w:r>
        <w:rPr>
          <w:i/>
        </w:rPr>
        <w:t>Deois knoblauchii</w:t>
      </w:r>
      <w:r>
        <w:t xml:space="preserve">. </w:t>
      </w:r>
      <w:r>
        <w:rPr>
          <w:i/>
        </w:rPr>
        <w:t>Bulletin of Insectology</w:t>
      </w:r>
      <w:r>
        <w:t>.</w:t>
      </w:r>
    </w:p>
    <w:p>
      <w:pPr>
        <w:jc w:val="both"/>
      </w:pPr>
      <w:r>
        <w:t xml:space="preserve">Fu, L., Niu, B., Zhu, Z., Wu, S., Li, W. (2012). CD-HIT: accelerated for clustering the next-generation sequencing data. </w:t>
      </w:r>
      <w:r>
        <w:rPr>
          <w:i/>
        </w:rPr>
        <w:t>Bioinformatics</w:t>
      </w:r>
      <w:r>
        <w:t>, 28(23), 3150–3152. https://doi.org/10.1093/bioinformatics/bts565</w:t>
      </w:r>
    </w:p>
    <w:p>
      <w:pPr>
        <w:jc w:val="both"/>
      </w:pPr>
      <w:r>
        <w:t xml:space="preserve">Grabherr, M.G. et al. (2011). Full-length transcriptome assembly from RNA-Seq data without a reference genome. </w:t>
      </w:r>
      <w:r>
        <w:rPr>
          <w:i/>
        </w:rPr>
        <w:t>Nature Biotechnology</w:t>
      </w:r>
      <w:r>
        <w:t>, 29(7), 644–652. https://doi.org/10.1038/nbt.1883</w:t>
      </w:r>
    </w:p>
    <w:p>
      <w:pPr>
        <w:jc w:val="both"/>
      </w:pPr>
      <w:r>
        <w:t xml:space="preserve">Haas, B.J. et al. (2013). De novo transcript sequence reconstruction from RNA-seq using the Trinity platform for reference generation and analysis. </w:t>
      </w:r>
      <w:r>
        <w:rPr>
          <w:i/>
        </w:rPr>
        <w:t>Nature Protocols</w:t>
      </w:r>
      <w:r>
        <w:t>, 8(8), 1494–1512. https://doi.org/10.1038/nprot.2013.084</w:t>
      </w:r>
    </w:p>
    <w:p>
      <w:pPr>
        <w:jc w:val="both"/>
      </w:pPr>
      <w:r>
        <w:t xml:space="preserve">Hernandez, C.A. et al. (2022). Spittlebugs (Hemiptera: Cercopidae): integrated pest management on gramineous crops in the Neotropical ecozone. </w:t>
      </w:r>
      <w:r>
        <w:rPr>
          <w:i/>
        </w:rPr>
        <w:t>Frontiers in Sustainable Food Systems</w:t>
      </w:r>
      <w:r>
        <w:t>, 6, 891417. https://doi.org/10.3389/fsufs.2022.891417</w:t>
      </w:r>
    </w:p>
    <w:p>
      <w:pPr>
        <w:jc w:val="both"/>
      </w:pPr>
      <w:r>
        <w:t xml:space="preserve">Hoang, D.T., Chernomor, O., von Haeseler, A., Minh, B.Q., Vinh, L.S. (2018). UFBoot2: improving the ultrafast bootstrap approximation. </w:t>
      </w:r>
      <w:r>
        <w:rPr>
          <w:i/>
        </w:rPr>
        <w:t>Molecular Biology and Evolution</w:t>
      </w:r>
      <w:r>
        <w:t>, 35(2), 518–522. https://doi.org/10.1093/molbev/msx281</w:t>
      </w:r>
    </w:p>
    <w:p>
      <w:pPr>
        <w:jc w:val="both"/>
      </w:pPr>
      <w:r>
        <w:t xml:space="preserve">Karlicki, M., Antonowicz, S., Karnkowska, A. (2022). Tiara: deep learning-based classification system for eukaryotic sequences. </w:t>
      </w:r>
      <w:r>
        <w:rPr>
          <w:i/>
        </w:rPr>
        <w:t>Bioinformatics</w:t>
      </w:r>
      <w:r>
        <w:t>, 38(2), 344–350. https://doi.org/10.1093/bioinformatics/btab672</w:t>
      </w:r>
    </w:p>
    <w:p>
      <w:pPr>
        <w:jc w:val="both"/>
      </w:pPr>
      <w:r>
        <w:t xml:space="preserve">Koga, R., Moran, N.A. (2014). Swapping symbionts in spittlebugs: evolutionary replacement of a reduced genome symbiont. </w:t>
      </w:r>
      <w:r>
        <w:rPr>
          <w:i/>
        </w:rPr>
        <w:t>The ISME Journal</w:t>
      </w:r>
      <w:r>
        <w:t>, 8, 1237–1249. https://doi.org/10.1038/ismej.2013.235</w:t>
      </w:r>
    </w:p>
    <w:p>
      <w:pPr>
        <w:jc w:val="both"/>
      </w:pPr>
      <w:r>
        <w:t xml:space="preserve">Langmead, B., Salzberg, S.L. (2012). Fast gapped-read alignment with Bowtie 2. </w:t>
      </w:r>
      <w:r>
        <w:rPr>
          <w:i/>
        </w:rPr>
        <w:t>Nature Methods</w:t>
      </w:r>
      <w:r>
        <w:t>, 9(4), 357–359. https://doi.org/10.1038/nmeth.1923</w:t>
      </w:r>
    </w:p>
    <w:p>
      <w:pPr>
        <w:jc w:val="both"/>
      </w:pPr>
      <w:r>
        <w:t xml:space="preserve">Manni, M. et al. (2021). BUSCO update: novel and streamlined workflows along with broader and deeper phylogenetic coverage for scoring of eukaryotic, prokaryotic, and viral genomes. </w:t>
      </w:r>
      <w:r>
        <w:rPr>
          <w:i/>
        </w:rPr>
        <w:t>Molecular Biology and Evolution</w:t>
      </w:r>
      <w:r>
        <w:t>, 38(10), 4647–4654. https://doi.org/10.1093/molbev/msab199</w:t>
      </w:r>
    </w:p>
    <w:p>
      <w:pPr>
        <w:jc w:val="both"/>
      </w:pPr>
      <w:r>
        <w:t xml:space="preserve">McCutcheon, J.P., Moran, N.A. (2007). Parallel genomic evolution and metabolic interdependence in an ancient symbiosis. </w:t>
      </w:r>
      <w:r>
        <w:rPr>
          <w:i/>
        </w:rPr>
        <w:t>PNAS</w:t>
      </w:r>
      <w:r>
        <w:t>, 104(49), 19392–19397. https://doi.org/10.1073/pnas.0708855104</w:t>
      </w:r>
    </w:p>
    <w:p>
      <w:pPr>
        <w:jc w:val="both"/>
      </w:pPr>
      <w:r>
        <w:t xml:space="preserve">Mistry, J. et al. (2021). Pfam: the protein families database in 2021. </w:t>
      </w:r>
      <w:r>
        <w:rPr>
          <w:i/>
        </w:rPr>
        <w:t>Nucleic Acids Research</w:t>
      </w:r>
      <w:r>
        <w:t>, 49(D1), D412–D419. https://doi.org/10.1093/nar/gkaa913</w:t>
      </w:r>
    </w:p>
    <w:p>
      <w:pPr>
        <w:jc w:val="both"/>
      </w:pPr>
      <w:r>
        <w:t>Monteiro, L.P. (2019). Caracterização molecular da interação das cigarrinhas-das-pastagens (</w:t>
      </w:r>
      <w:r>
        <w:rPr>
          <w:i/>
        </w:rPr>
        <w:t>Mahanarva spectabilis</w:t>
      </w:r>
      <w:r>
        <w:t>) com diferentes forrageiras. Dissertação de Mestrado, Universidade Federal de Viçosa.</w:t>
      </w:r>
    </w:p>
    <w:p>
      <w:pPr>
        <w:jc w:val="both"/>
      </w:pPr>
      <w:r>
        <w:t xml:space="preserve">Patro, R., Duggal, G., Love, M.I., Irizarry, R.A., Kingsford, C. (2017). Salmon provides fast and bias-aware quantification of transcript expression. </w:t>
      </w:r>
      <w:r>
        <w:rPr>
          <w:i/>
        </w:rPr>
        <w:t>Nature Methods</w:t>
      </w:r>
      <w:r>
        <w:t>, 14(4), 417–419. https://doi.org/10.1038/nmeth.4197</w:t>
      </w:r>
    </w:p>
    <w:p>
      <w:pPr>
        <w:jc w:val="both"/>
      </w:pPr>
      <w:r>
        <w:t>Rinaldi, A.J. (2021). Análise de componentes moleculares da espuma e da toxina presente na glândula salivar de cigarrinha das pastagens. Dissertação de Mestrado, Universidade Federal de Viçosa.</w:t>
      </w:r>
    </w:p>
    <w:p>
      <w:pPr>
        <w:jc w:val="both"/>
      </w:pPr>
      <w:r>
        <w:t xml:space="preserve">Pronk, L.J.U., Medema, M.H. (2022). Whokaryote: distinguishing eukaryotic and prokaryotic contigs in metagenomes based on gene structure. </w:t>
      </w:r>
      <w:r>
        <w:rPr>
          <w:i/>
        </w:rPr>
        <w:t>Microbial Genomics</w:t>
      </w:r>
      <w:r>
        <w:t>, 8(5), 000823. https://doi.org/10.1099/mgen.0.000823</w:t>
      </w:r>
    </w:p>
    <w:p>
      <w:pPr>
        <w:jc w:val="both"/>
      </w:pPr>
      <w:r>
        <w:t xml:space="preserve">Rinaldi, A.J. et al. (2026). Molecular and structural characterization of foam proteins from </w:t>
      </w:r>
      <w:r>
        <w:rPr>
          <w:i/>
        </w:rPr>
        <w:t>Mahanarva spectabilis</w:t>
      </w:r>
      <w:r>
        <w:t xml:space="preserve"> (Distant, 1909) (Hemiptera: Cercopidae) nymphs reveals adaptive features and potential targets for pest control. </w:t>
      </w:r>
      <w:r>
        <w:rPr>
          <w:i/>
        </w:rPr>
        <w:t>Archives of Insect Biochemistry and Physiology</w:t>
      </w:r>
      <w:r>
        <w:t>.</w:t>
      </w:r>
    </w:p>
    <w:p>
      <w:pPr>
        <w:jc w:val="both"/>
      </w:pPr>
      <w:r>
        <w:t xml:space="preserve">Shen, W., Le, S., Li, Y., Hu, F. (2016). SeqKit: a cross-platform and ultrafast toolkit for FASTA/Q file manipulation. </w:t>
      </w:r>
      <w:r>
        <w:rPr>
          <w:i/>
        </w:rPr>
        <w:t>PLOS ONE</w:t>
      </w:r>
      <w:r>
        <w:t>, 11(10), e0163962. https://doi.org/10.1371/journal.pone.0163962</w:t>
      </w:r>
    </w:p>
    <w:p>
      <w:pPr>
        <w:jc w:val="both"/>
      </w:pPr>
      <w:r>
        <w:t xml:space="preserve">Shen, W., Ren, H. (2021). TaxonKit: a practical and efficient NCBI taxonomy toolkit. </w:t>
      </w:r>
      <w:r>
        <w:rPr>
          <w:i/>
        </w:rPr>
        <w:t>Journal of Genetics and Genomics</w:t>
      </w:r>
      <w:r>
        <w:t>, 48(9), 844–850. https://doi.org/10.1016/j.jgg.2021.03.006</w:t>
      </w:r>
    </w:p>
    <w:p>
      <w:pPr>
        <w:jc w:val="both"/>
      </w:pPr>
      <w:r>
        <w:t xml:space="preserve">Shi, M. et al. (2016). Redefining the invertebrate RNA virosphere. </w:t>
      </w:r>
      <w:r>
        <w:rPr>
          <w:i/>
        </w:rPr>
        <w:t>Nature</w:t>
      </w:r>
      <w:r>
        <w:t>, 540, 539–543. https://doi.org/10.1038/nature20167</w:t>
      </w:r>
    </w:p>
    <w:p>
      <w:pPr>
        <w:jc w:val="both"/>
      </w:pPr>
      <w:r>
        <w:t>Sotelo, G., Cardona, C. (2001). [Sintomatologia e biologia de cigarrinhas-das-pastagens]. Apud Hernandez et al. (2022).</w:t>
      </w:r>
    </w:p>
    <w:p>
      <w:pPr>
        <w:jc w:val="both"/>
      </w:pPr>
      <w:r>
        <w:t>Thompson, V., González, R. (2005). [Danos de cigarrinhas em gramíneas forrageiras]. Apud Hernandez et al. (2022).</w:t>
      </w:r>
    </w:p>
    <w:p>
      <w:pPr>
        <w:jc w:val="both"/>
      </w:pPr>
      <w:r>
        <w:t>Valério, J.R. et al. (2001). [Caracterização de sintomas de dano de cigarrinhas-das-pastagens]. Apud Hernandez et al. (2022).</w:t>
      </w:r>
    </w:p>
    <w:p>
      <w:pPr>
        <w:jc w:val="both"/>
      </w:pPr>
      <w:r>
        <w:t xml:space="preserve">Wong, T.K.F., Ly-Trong, N., Ren, H., Banos, H., Roger, A.J., Susko, E., Bielow, C., De Maio, N., Goldman, N., Hahn, M.W., Huttley, G., Lanfear, R., Minh, B.Q. (2025). IQ-TREE 3: phylogenomic inference software using complex evolutionary models. </w:t>
      </w:r>
      <w:r>
        <w:rPr>
          <w:i/>
        </w:rPr>
        <w:t>bioRxiv</w:t>
      </w:r>
      <w:r>
        <w:t>. https://doi.org/10.1101/2025.01.15.633177</w:t>
      </w:r>
    </w:p>
    <w:p>
      <w:pPr>
        <w:jc w:val="both"/>
      </w:pPr>
      <w:r>
        <w:t xml:space="preserve">Zheng, J., Ge, Q., Yan, Y., Zhang, X., Huang, L., Yin, Y. (2023). dbCAN3: automated carbohydrate-active enzyme and substrate annotation. </w:t>
      </w:r>
      <w:r>
        <w:rPr>
          <w:i/>
        </w:rPr>
        <w:t>Nucleic Acids Research</w:t>
      </w:r>
      <w:r>
        <w:t>, 51(W1), W115–W121. https://doi.org/10.1093/nar/gkad328</w:t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60" w:lineRule="exact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