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6,884 palavras no original em inglês (corpo sem tabelas, títulos e legendas; cada citação contada como uma palavra); tradução: 7,544</w:t>
            </w:r>
          </w:p>
        </w:tc>
        <w:tc>
          <w:tcPr/>
          <w:p>
            <w:pPr>
              <w:pStyle w:val="Compact"/>
              <w:spacing w:line="240" w:lineRule="auto"/>
            </w:pPr>
            <w:r>
              <w:rPr>
                <w:sz w:val="18"/>
              </w:rPr>
              <w:t xml:space="preserve">OK (margem de 5,116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de pH 8,2, PRODIGY na pose e PRODIGY e MM-GBSA na trajetória de pH 8,2.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de modo que uma diferença entre pH não se separa da variação entre execuções até que as execuções repetidas sejam analisadas</w:t>
      </w:r>
      <w:r>
        <w:t xml:space="preserve"> </w:t>
      </w:r>
      <w:r>
        <w:rPr>
          <w:rStyle w:val="Pendente"/>
        </w:rPr>
        <w:t xml:space="preserve">PENDENTE: execuções do piso de ruído (</w:t>
      </w:r>
      <w:r>
        <w:rPr>
          <w:rStyle w:val="VerbatimChar"/>
        </w:rPr>
        <w:t xml:space="preserve">md82b_*</w:t>
      </w:r>
      <w:r>
        <w:rPr>
          <w:rStyle w:val="Pendente"/>
        </w:rPr>
        <w:t xml:space="preserve">,</w:t>
      </w:r>
      <w:r>
        <w:rPr>
          <w:rStyle w:val="Pendente"/>
        </w:rPr>
        <w:t xml:space="preserve"> </w:t>
      </w:r>
      <w:r>
        <w:rPr>
          <w:rStyle w:val="VerbatimChar"/>
        </w:rPr>
        <w:t xml:space="preserve">md10b_*</w:t>
      </w:r>
      <w:r>
        <w:rPr>
          <w:rStyle w:val="Pendente"/>
        </w:rPr>
        <w:t xml:space="preserve">; 16 execuções) ainda terminando em 8 de outubro de 2026; acrescentar as diferenças entre execuções do mesmo pH do</w:t>
      </w:r>
      <w:r>
        <w:rPr>
          <w:rStyle w:val="Pendente"/>
        </w:rPr>
        <w:t xml:space="preserve"> </w:t>
      </w:r>
      <w:r>
        <w:rPr>
          <w:rStyle w:val="VerbatimChar"/>
        </w:rPr>
        <w:t xml:space="preserve">compare_ph.py</w:t>
      </w:r>
      <w:r>
        <w:t xml:space="preserve">; as mudanças de ocupância foram nos dois sentidos, o que também é o que a variação entre execuções produziria sozinha,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(Seção 3.7). O GQNDS (</w:t>
      </w:r>
      <w:r>
        <w:rPr>
          <w:i/>
          <w:iCs/>
        </w:rPr>
        <w:t xml:space="preserve">O. nubilalis</w:t>
      </w:r>
      <w:r>
        <w:t xml:space="preserve">, linear) chegou a ocupância de 1,00 com âncora Gln em pH 10,0, mas ocupou S1 só na primeira metade em pH 8,2.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as execuções repetidas que dariam o piso de variação entre execuções para a comparação de pH não haviam sido analisadas quando este texto foi escrito.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repetir as 48 simulações em pH 8,2 mudou a ocupância de nove candidatos em mais de 0,5, nos dois sentidos e sem desvio líquido.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2026-10-08T18:07:01Z</dcterms:created>
  <dcterms:modified xsi:type="dcterms:W3CDTF">2026-10-08T18:07:01Z</dcterms:modified>
</cp:coreProperties>
</file>

<file path=docProps/custom.xml><?xml version="1.0" encoding="utf-8"?>
<Properties xmlns="http://schemas.openxmlformats.org/officeDocument/2006/custom-properties" xmlns:vt="http://schemas.openxmlformats.org/officeDocument/2006/docPropsVTypes"/>
</file>