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8,376 palavras no original em inglês (corpo sem tabelas, títulos e legendas; cada citação contada como uma palavra); tradução: 9,114</w:t>
            </w:r>
          </w:p>
        </w:tc>
        <w:tc>
          <w:tcPr/>
          <w:p>
            <w:pPr>
              <w:pStyle w:val="Compact"/>
              <w:spacing w:line="240" w:lineRule="auto"/>
            </w:pPr>
            <w:r>
              <w:rPr>
                <w:sz w:val="18"/>
              </w:rPr>
              <w:t xml:space="preserve">OK (margem de 3,624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7"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 Nove das dez entradas do UniProt têm o nome automático</w:t>
      </w:r>
      <w:r>
        <w:t xml:space="preserve"> </w:t>
      </w:r>
      <w:r>
        <w:t xml:space="preserve">“Chymotrypsin”</w:t>
      </w:r>
      <w:r>
        <w:t xml:space="preserve">; a classe foi, por isso, decidida pelo resíduo nessa posição (Asp na tripsina, Ser na quimotripsina), e as posições da tríade catalítica e do bolsão S1 foram conferidas em cada modelo por alinhamento global com a tripsina bovina e pelas distâncias de ligação de hidrogênio nas coordenadas do AlphaFold (Tabela S2).</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Os dois valores foram escolhidos juntos porque o pH do intestino médio não é o mesmo em todas as lagartas de lepidópteros; um inibidor eficaz ao longo dessa faixa é mais viável contra o complexo de pragas do que um que funcione em um único pH, e o par também corresponde às condições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w:t>
      </w:r>
      <w:r>
        <w:rPr>
          <w:rStyle w:val="VerbatimChar"/>
        </w:rPr>
        <w:t xml:space="preserve">scripts/scissile_geometry.py</w:t>
      </w:r>
      <w:r>
        <w:t xml:space="preserve">). Os limiares foram escolhidos para esta análise; aqui eles são calibrados não contra um substrato conhecido, mas contra um controle interno — as sequências embaralhadas da Seção 3.5, que põem um resíduo básico na S1 sem a prolina seguinte, no protocolo idêntico.</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Em todos os modelos os resíduos equivalentes à His57, ao Asp102 e à Ser195 são His, Asp e Ser, e as distâncias His–Ser e His–Asp (2,92–3,13 Å e 2,70–2,75 Å) são as de uma tríade montada; os resíduos do bolsão Asp189, Cys191, Gly193, Asp194, Gly216 e Gly226 são conservados, ao passo que Ser190, Val213, Trp215 e Gly219 variam entre as espécies (Tabela S2). A tríade não separa a tripsina da quimotripsina, que a compartilham; o Asp189 separa.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Os dois pH foram simulados porque o intestino médio das lagartas de lepidópteros não tem um pH único: o lúmen é fortemente alcalino (Dow, 1992), com extratos de intestino de</w:t>
      </w:r>
      <w:r>
        <w:t xml:space="preserve"> </w:t>
      </w:r>
      <w:r>
        <w:rPr>
          <w:i/>
          <w:iCs/>
        </w:rPr>
        <w:t xml:space="preserve">H. virescens</w:t>
      </w:r>
      <w:r>
        <w:t xml:space="preserve"> </w:t>
      </w:r>
      <w:r>
        <w:t xml:space="preserve">em pH 9,56–10,0 (Karumbaiah et al., 2007), mas o valor difere entre espécies, e o pH 8,2 é também o dos ensaios enzimáticos contra os quais um Ki seria medido (Schultz et al., 2026). Um candidato que mantivesse sua posição em S1 nos dois pH seria eficaz ao longo da faixa encontrada nas espécies-alvo e, portanto, mais viável como agente de controle do que um que se ligasse em apenas um deles; este é o critério aplicado nesta seção, e a comparação pergunta se o resultado em um pH se reproduz no outro, não qual pH é melhor.</w:t>
      </w:r>
    </w:p>
    <w:p>
      <w:pPr>
        <w:pStyle w:val="BodyText"/>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o macrociclo e, no peptídeo linear,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S1–S11 e as Tabelas S1–S2 (legendas e tabelas abaixo) são fornecidas como material suplementar.</w:t>
      </w:r>
    </w:p>
    <w:bookmarkEnd w:id="73"/>
    <w:bookmarkStart w:id="104"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2" name="Picture"/>
            <a:graphic>
              <a:graphicData uri="http://schemas.openxmlformats.org/drawingml/2006/picture">
                <pic:pic>
                  <pic:nvPicPr>
                    <pic:cNvPr descr="figures/final/FigureS10_energy_trajectories.png" id="103" name="Picture"/>
                    <pic:cNvPicPr>
                      <a:picLocks noChangeArrowheads="1" noChangeAspect="1"/>
                    </pic:cNvPicPr>
                  </pic:nvPicPr>
                  <pic:blipFill>
                    <a:blip r:embed="rId101"/>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4"/>
    <w:bookmarkStart w:id="105" w:name="tabelas-suplementares"/>
    <w:p>
      <w:pPr>
        <w:pStyle w:val="Heading2"/>
      </w:pPr>
      <w:r>
        <w:t xml:space="preserve">Tabelas suplementares</w:t>
      </w:r>
    </w:p>
    <w:p>
      <w:pPr>
        <w:pStyle w:val="FirstParagraph"/>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p>
      <w:pPr>
        <w:pStyle w:val="BodyText"/>
      </w:pPr>
      <w:r>
        <w:rPr>
          <w:b/>
          <w:bCs/>
        </w:rPr>
        <w:t xml:space="preserve">Tabela S2.</w:t>
      </w:r>
      <w:r>
        <w:t xml:space="preserve"> </w:t>
      </w:r>
      <w:r>
        <w:t xml:space="preserve">Tríade catalítica e bolsão S1 dos dez receptores (modelos do AlphaFold). As posições estão na numeração do modelo; a coluna da tripsina bovina (P00760) dá a numeração de referência. Negrito: resíduo diferente do da tripsina bovina. O bolsão S1 é o conjunto dos 14 resíduos da tripsina em contato com o P1 em 2PTC e 1SFI (Tabela S1); a His57 e a Ser195 pertencem a ele e aparecem uma só vez, na tríade. O Asp189 é o resíduo de especificidade (Ser no quimotripsinogênio A, P00766). Distâncias: NE2 da His à OG da Ser e ND1 da His ao oxigênio do carboxilato do Asp102 mais próximo, no modelo. Dados:</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Grupo</w:t>
            </w:r>
          </w:p>
        </w:tc>
        <w:tc>
          <w:tcPr/>
          <w:p>
            <w:pPr>
              <w:pStyle w:val="Compact"/>
              <w:spacing w:line="240" w:lineRule="auto"/>
            </w:pPr>
            <w:r>
              <w:rPr>
                <w:b/>
                <w:sz w:val="18"/>
              </w:rPr>
              <w:t xml:space="preserve">Posição</w:t>
            </w:r>
          </w:p>
        </w:tc>
        <w:tc>
          <w:tcPr/>
          <w:p>
            <w:pPr>
              <w:pStyle w:val="Compact"/>
              <w:spacing w:line="240" w:lineRule="auto"/>
            </w:pPr>
            <w:r>
              <w:rPr>
                <w:b/>
                <w:sz w:val="18"/>
              </w:rPr>
              <w:t xml:space="preserve">Tripsina bovina</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Tríade catalítica</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Bolsão S1</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bookmarkEnd w:id="105"/>
    <w:bookmarkStart w:id="10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6"/>
    <w:bookmarkEnd w:id="10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101" Type="http://schemas.openxmlformats.org/officeDocument/2006/relationships/image" Target="media/rId101.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2026-10-09T19:35:14Z</dcterms:created>
  <dcterms:modified xsi:type="dcterms:W3CDTF">2026-10-09T19:35:14Z</dcterms:modified>
</cp:coreProperties>
</file>

<file path=docProps/custom.xml><?xml version="1.0" encoding="utf-8"?>
<Properties xmlns="http://schemas.openxmlformats.org/officeDocument/2006/custom-properties" xmlns:vt="http://schemas.openxmlformats.org/officeDocument/2006/docPropsVTypes"/>
</file>