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do co-dobramento nas duas frentes e das simulações de 10 ns (Seções 3.8–3.10)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10,612 palavras no original em inglês (corpo sem tabelas, títulos e legendas; cada citação contada como uma palavra); tradução: 11,256</w:t>
            </w:r>
          </w:p>
        </w:tc>
        <w:tc>
          <w:tcPr/>
          <w:p>
            <w:pPr>
              <w:pStyle w:val="Compact"/>
              <w:spacing w:line="240" w:lineRule="auto"/>
            </w:pPr>
            <w:r>
              <w:rPr>
                <w:sz w:val="18"/>
              </w:rPr>
              <w:t xml:space="preserve">OK (há margem para as Seções 3.8–3.10)</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390 palavras no original em inglês sem o trecho pendente (≈ 399 com ele preenchido); tradução: 430</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12 figuras + 2 suplementares em PNG, TIFF (LZW) e PDF vetorial a 300 dpi, largura 180 mm, RGB; as figuras dos resultados pendentes (Seções 3.8–3.10) ainda serão geradas</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72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deve ser reconhecida nos agradecimentos (diretrizes da Frontiers)</w:t>
            </w:r>
          </w:p>
        </w:tc>
        <w:tc>
          <w:tcPr/>
          <w:p>
            <w:pPr>
              <w:pStyle w:val="Compact"/>
              <w:spacing w:line="240" w:lineRule="auto"/>
            </w:pPr>
            <w:r>
              <w:rPr>
                <w:sz w:val="18"/>
              </w:rPr>
              <w:t xml:space="preserve">rascunho factual na seção Agradecimentos, a ser confirmado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f0d5bc329ee1a7cc01bb7b595983dadabf7878f"/>
    <w:p>
      <w:pPr>
        <w:pStyle w:val="Heading2"/>
      </w:pPr>
      <w:r>
        <w:t xml:space="preserve">Estado dos cálculos (01/10/2026, fim da tarde)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 S1–S3’</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pares; RMSD do ligante 9/10; MM-GBSA 4/10 (ρ = −0,93 com o tamanho da interface)</w:t>
            </w:r>
          </w:p>
        </w:tc>
      </w:tr>
      <w:tr>
        <w:tc>
          <w:tcPr/>
          <w:p>
            <w:pPr>
              <w:pStyle w:val="Compact"/>
              <w:spacing w:line="240" w:lineRule="auto"/>
            </w:pPr>
            <w:r>
              <w:rPr>
                <w:sz w:val="18"/>
              </w:rPr>
              <w:t xml:space="preserve">Geração (RFdiffusion + ProteinMPNN)</w:t>
            </w:r>
          </w:p>
        </w:tc>
        <w:tc>
          <w:tcPr/>
          <w:p>
            <w:pPr>
              <w:pStyle w:val="Compact"/>
              <w:spacing w:line="240" w:lineRule="auto"/>
            </w:pPr>
            <w:r>
              <w:rPr>
                <w:sz w:val="18"/>
              </w:rPr>
              <w:t xml:space="preserve">concluída</w:t>
            </w:r>
          </w:p>
        </w:tc>
        <w:tc>
          <w:tcPr/>
          <w:p>
            <w:pPr>
              <w:pStyle w:val="Compact"/>
              <w:spacing w:line="240" w:lineRule="auto"/>
            </w:pPr>
            <w:r>
              <w:rPr>
                <w:sz w:val="18"/>
              </w:rPr>
              <w:t xml:space="preserve">880 esqueletos, 22.066 sequências únicas</w:t>
            </w:r>
          </w:p>
        </w:tc>
      </w:tr>
      <w:tr>
        <w:tc>
          <w:tcPr/>
          <w:p>
            <w:pPr>
              <w:pStyle w:val="Compact"/>
              <w:spacing w:line="240" w:lineRule="auto"/>
            </w:pPr>
            <w:r>
              <w:rPr>
                <w:sz w:val="18"/>
              </w:rPr>
              <w:t xml:space="preserve">Triagem por escore de motivos</w:t>
            </w:r>
          </w:p>
        </w:tc>
        <w:tc>
          <w:tcPr/>
          <w:p>
            <w:pPr>
              <w:pStyle w:val="Compact"/>
              <w:spacing w:line="240" w:lineRule="auto"/>
            </w:pPr>
            <w:r>
              <w:rPr>
                <w:sz w:val="18"/>
              </w:rPr>
              <w:t xml:space="preserve">concluída</w:t>
            </w:r>
          </w:p>
        </w:tc>
        <w:tc>
          <w:tcPr/>
          <w:p>
            <w:pPr>
              <w:pStyle w:val="Compact"/>
              <w:spacing w:line="240" w:lineRule="auto"/>
            </w:pPr>
            <w:r>
              <w:rPr>
                <w:sz w:val="18"/>
              </w:rPr>
              <w:t xml:space="preserve">1.829 semelhantes a resistentes</w:t>
            </w:r>
          </w:p>
        </w:tc>
      </w:tr>
      <w:tr>
        <w:tc>
          <w:tcPr/>
          <w:p>
            <w:pPr>
              <w:pStyle w:val="Compact"/>
              <w:spacing w:line="240" w:lineRule="auto"/>
            </w:pPr>
            <w:r>
              <w:rPr>
                <w:sz w:val="18"/>
              </w:rPr>
              <w:t xml:space="preserve">E0 · critério duro de não clivabilidade</w:t>
            </w:r>
          </w:p>
        </w:tc>
        <w:tc>
          <w:tcPr/>
          <w:p>
            <w:pPr>
              <w:pStyle w:val="Compact"/>
              <w:spacing w:line="240" w:lineRule="auto"/>
            </w:pPr>
            <w:r>
              <w:rPr>
                <w:sz w:val="18"/>
              </w:rPr>
              <w:t xml:space="preserve">concluído</w:t>
            </w:r>
          </w:p>
        </w:tc>
        <w:tc>
          <w:tcPr/>
          <w:p>
            <w:pPr>
              <w:pStyle w:val="Compact"/>
              <w:spacing w:line="240" w:lineRule="auto"/>
            </w:pPr>
            <w:r>
              <w:rPr>
                <w:sz w:val="18"/>
              </w:rPr>
              <w:t xml:space="preserve">527 lineares (frente L) e 543 cíclicas (frente M)</w:t>
            </w:r>
          </w:p>
        </w:tc>
      </w:tr>
      <w:tr>
        <w:tc>
          <w:tcPr/>
          <w:p>
            <w:pPr>
              <w:pStyle w:val="Compact"/>
              <w:spacing w:line="240" w:lineRule="auto"/>
            </w:pPr>
            <w:r>
              <w:rPr>
                <w:sz w:val="18"/>
              </w:rPr>
              <w:t xml:space="preserve">E1 · Boltz-2 nas duas frentes</w:t>
            </w:r>
          </w:p>
        </w:tc>
        <w:tc>
          <w:tcPr/>
          <w:p>
            <w:pPr>
              <w:pStyle w:val="Compact"/>
              <w:spacing w:line="240" w:lineRule="auto"/>
            </w:pPr>
            <w:r>
              <w:rPr>
                <w:sz w:val="18"/>
              </w:rPr>
              <w:t xml:space="preserve">concluído (1.070/1.070)</w:t>
            </w:r>
          </w:p>
        </w:tc>
        <w:tc>
          <w:tcPr/>
          <w:p>
            <w:pPr>
              <w:pStyle w:val="Compact"/>
              <w:spacing w:line="240" w:lineRule="auto"/>
            </w:pPr>
            <w:r>
              <w:rPr>
                <w:sz w:val="18"/>
              </w:rPr>
              <w:t xml:space="preserve">reprodutibilidade entre rodadas ρ = 0,57; linear × cíclico ρ = 0,50 (Seção 3.8, Figura 8)</w:t>
            </w:r>
          </w:p>
        </w:tc>
      </w:tr>
      <w:tr>
        <w:tc>
          <w:tcPr/>
          <w:p>
            <w:pPr>
              <w:pStyle w:val="Compact"/>
              <w:spacing w:line="240" w:lineRule="auto"/>
            </w:pPr>
            <w:r>
              <w:rPr>
                <w:sz w:val="18"/>
              </w:rPr>
              <w:t xml:space="preserve">E2 · reescore dos 10 melhores por espécie (5 amostras × 3 sementes)</w:t>
            </w:r>
          </w:p>
        </w:tc>
        <w:tc>
          <w:tcPr/>
          <w:p>
            <w:pPr>
              <w:pStyle w:val="Compact"/>
              <w:spacing w:line="240" w:lineRule="auto"/>
            </w:pPr>
            <w:r>
              <w:rPr>
                <w:sz w:val="18"/>
              </w:rPr>
              <w:t xml:space="preserve">concluído (L e M)</w:t>
            </w:r>
          </w:p>
        </w:tc>
        <w:tc>
          <w:tcPr/>
          <w:p>
            <w:pPr>
              <w:pStyle w:val="Compact"/>
              <w:spacing w:line="240" w:lineRule="auto"/>
            </w:pPr>
            <w:r>
              <w:rPr>
                <w:sz w:val="18"/>
              </w:rPr>
              <w:t xml:space="preserve">confiança média 0,900 (L) e 0,888 (M); ρ com o E1 de 0,80 e 0,74; ordem dentro do top 10 não resolvida (Seção 3.8, Figura 9)</w:t>
            </w:r>
          </w:p>
        </w:tc>
      </w:tr>
      <w:tr>
        <w:tc>
          <w:tcPr/>
          <w:p>
            <w:pPr>
              <w:pStyle w:val="Compact"/>
              <w:spacing w:line="240" w:lineRule="auto"/>
            </w:pPr>
            <w:r>
              <w:rPr>
                <w:sz w:val="18"/>
              </w:rPr>
              <w:t xml:space="preserve">Escolha da estrutura inicial (melhor amostra que passa no QC de pose)</w:t>
            </w:r>
          </w:p>
        </w:tc>
        <w:tc>
          <w:tcPr/>
          <w:p>
            <w:pPr>
              <w:pStyle w:val="Compact"/>
              <w:spacing w:line="240" w:lineRule="auto"/>
            </w:pPr>
            <w:r>
              <w:rPr>
                <w:sz w:val="18"/>
              </w:rPr>
              <w:t xml:space="preserve">concluída</w:t>
            </w:r>
          </w:p>
        </w:tc>
        <w:tc>
          <w:tcPr/>
          <w:p>
            <w:pPr>
              <w:pStyle w:val="Compact"/>
              <w:spacing w:line="240" w:lineRule="auto"/>
            </w:pPr>
            <w:r>
              <w:rPr>
                <w:sz w:val="18"/>
              </w:rPr>
              <w:t xml:space="preserve">48 de 48 passam; tríade íntegra em todas (Figura 10)</w:t>
            </w:r>
          </w:p>
        </w:tc>
      </w:tr>
      <w:tr>
        <w:tc>
          <w:tcPr/>
          <w:p>
            <w:pPr>
              <w:pStyle w:val="Compact"/>
              <w:spacing w:line="240" w:lineRule="auto"/>
            </w:pPr>
            <w:r>
              <w:rPr>
                <w:sz w:val="18"/>
              </w:rPr>
              <w:t xml:space="preserve">E3 · controles embaralhados pareados</w:t>
            </w:r>
          </w:p>
        </w:tc>
        <w:tc>
          <w:tcPr/>
          <w:p>
            <w:pPr>
              <w:pStyle w:val="Compact"/>
              <w:spacing w:line="240" w:lineRule="auto"/>
            </w:pPr>
            <w:r>
              <w:rPr>
                <w:sz w:val="18"/>
              </w:rPr>
              <w:t xml:space="preserve">pendente (roda depois das MDs)</w:t>
            </w:r>
          </w:p>
        </w:tc>
        <w:tc>
          <w:tcPr/>
          <w:p>
            <w:pPr>
              <w:pStyle w:val="Compact"/>
              <w:spacing w:line="240" w:lineRule="auto"/>
            </w:pPr>
            <w:r>
              <w:rPr>
                <w:sz w:val="18"/>
              </w:rPr>
              <w:t xml:space="preserve">234 controles por frente preparados</w:t>
            </w:r>
          </w:p>
        </w:tc>
      </w:tr>
      <w:tr>
        <w:tc>
          <w:tcPr/>
          <w:p>
            <w:pPr>
              <w:pStyle w:val="Compact"/>
              <w:spacing w:line="240" w:lineRule="auto"/>
            </w:pPr>
            <w:r>
              <w:rPr>
                <w:sz w:val="18"/>
              </w:rPr>
              <w:t xml:space="preserve">E4 · QC de pose e matriz cruzada 8 × 8</w:t>
            </w:r>
          </w:p>
        </w:tc>
        <w:tc>
          <w:tcPr/>
          <w:p>
            <w:pPr>
              <w:pStyle w:val="Compact"/>
              <w:spacing w:line="240" w:lineRule="auto"/>
            </w:pPr>
            <w:r>
              <w:rPr>
                <w:sz w:val="18"/>
              </w:rPr>
              <w:t xml:space="preserve">QC concluído; matriz pendente</w:t>
            </w:r>
          </w:p>
        </w:tc>
        <w:tc>
          <w:tcPr/>
          <w:p>
            <w:pPr>
              <w:pStyle w:val="Compact"/>
              <w:spacing w:line="240" w:lineRule="auto"/>
            </w:pPr>
            <w:r>
              <w:rPr>
                <w:sz w:val="18"/>
              </w:rPr>
              <w:t xml:space="preserve">80/80 candidatos com ao menos uma amostra aprovada em cada frente</w:t>
            </w:r>
          </w:p>
        </w:tc>
      </w:tr>
      <w:tr>
        <w:tc>
          <w:tcPr/>
          <w:p>
            <w:pPr>
              <w:pStyle w:val="Compact"/>
              <w:spacing w:line="240" w:lineRule="auto"/>
            </w:pPr>
            <w:r>
              <w:rPr>
                <w:sz w:val="18"/>
              </w:rPr>
              <w:t xml:space="preserve">E6–E7 · MD de 10 ns, CHARMM36 (3 melhores por espécie e frente, 48 simulações)</w:t>
            </w:r>
          </w:p>
        </w:tc>
        <w:tc>
          <w:tcPr/>
          <w:p>
            <w:pPr>
              <w:pStyle w:val="Compact"/>
              <w:spacing w:line="240" w:lineRule="auto"/>
            </w:pPr>
            <w:r>
              <w:rPr>
                <w:b/>
                <w:bCs/>
                <w:sz w:val="18"/>
              </w:rPr>
              <w:t xml:space="preserve">em curso: 12/48 concluídas</w:t>
            </w:r>
          </w:p>
        </w:tc>
        <w:tc>
          <w:tcPr/>
          <w:p>
            <w:pPr>
              <w:pStyle w:val="Compact"/>
              <w:spacing w:line="240" w:lineRule="auto"/>
            </w:pPr>
            <w:r>
              <w:rPr>
                <w:sz w:val="18"/>
              </w:rPr>
              <w:t xml:space="preserve">triagem pré-registrada: 1 de 9 lineares passa (NGGRPDAP); 0 de 3 cíclicas (GGKPGEP falha só no ω do anel: 144,5° contra 150°); resultado provisório (Seção 3.9, Figura 11)</w:t>
            </w:r>
          </w:p>
        </w:tc>
      </w:tr>
      <w:tr>
        <w:tc>
          <w:tcPr/>
          <w:p>
            <w:pPr>
              <w:pStyle w:val="Compact"/>
              <w:spacing w:line="240" w:lineRule="auto"/>
            </w:pPr>
            <w:r>
              <w:rPr>
                <w:sz w:val="18"/>
              </w:rPr>
              <w:t xml:space="preserve">E8–E9 · comparação linear × macrociclo e lista para a MD longa</w:t>
            </w:r>
          </w:p>
        </w:tc>
        <w:tc>
          <w:tcPr/>
          <w:p>
            <w:pPr>
              <w:pStyle w:val="Compact"/>
              <w:spacing w:line="240" w:lineRule="auto"/>
            </w:pPr>
            <w:r>
              <w:rPr>
                <w:sz w:val="18"/>
              </w:rPr>
              <w:t xml:space="preserve">pendente</w:t>
            </w:r>
          </w:p>
        </w:tc>
        <w:tc>
          <w:tcPr/>
          <w:p>
            <w:pPr>
              <w:pStyle w:val="Compact"/>
              <w:spacing w:line="240" w:lineRule="auto"/>
            </w:pPr>
            <w:r>
              <w:rPr>
                <w:sz w:val="18"/>
              </w:rPr>
              <w:t xml:space="preserve">scripts prontos</w:t>
            </w:r>
          </w:p>
        </w:tc>
      </w:tr>
      <w:tr>
        <w:tc>
          <w:tcPr/>
          <w:p>
            <w:pPr>
              <w:pStyle w:val="Compact"/>
              <w:spacing w:line="240" w:lineRule="auto"/>
            </w:pPr>
            <w:r>
              <w:rPr>
                <w:sz w:val="18"/>
              </w:rPr>
              <w:t xml:space="preserve">Campanha de pH (duas faixas)</w:t>
            </w:r>
          </w:p>
        </w:tc>
        <w:tc>
          <w:tcPr/>
          <w:p>
            <w:pPr>
              <w:pStyle w:val="Compact"/>
              <w:spacing w:line="240" w:lineRule="auto"/>
            </w:pPr>
            <w:r>
              <w:rPr>
                <w:b/>
                <w:bCs/>
                <w:sz w:val="18"/>
              </w:rPr>
              <w:t xml:space="preserve">fora deste artigo</w:t>
            </w:r>
            <w:r>
              <w:rPr>
                <w:sz w:val="18"/>
              </w:rPr>
              <w:t xml:space="preserve"> </w:t>
            </w:r>
            <w:r>
              <w:rPr>
                <w:sz w:val="18"/>
              </w:rPr>
              <w:t xml:space="preserve">(decisão de 01/10: o custo, 72 simulações e 4–5 dias, não cabe no prazo)</w:t>
            </w:r>
          </w:p>
        </w:tc>
        <w:tc>
          <w:tcPr/>
          <w:p>
            <w:pPr>
              <w:pStyle w:val="Compact"/>
              <w:spacing w:line="240" w:lineRule="auto"/>
            </w:pPr>
            <w:r>
              <w:rPr>
                <w:sz w:val="18"/>
              </w:rPr>
              <w:t xml:space="preserve">scripts prontos e versionados; fica para trabalho seguinte</w:t>
            </w:r>
          </w:p>
        </w:tc>
      </w:tr>
      <w:tr>
        <w:tc>
          <w:tcPr/>
          <w:p>
            <w:pPr>
              <w:pStyle w:val="Compact"/>
              <w:spacing w:line="240" w:lineRule="auto"/>
            </w:pPr>
            <w:r>
              <w:rPr>
                <w:sz w:val="18"/>
              </w:rPr>
              <w:t xml:space="preserve">E5 · contratriagem frente a proteases não-alvo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Estimativa (medida em 16 simulações):</w:t>
      </w:r>
      <w:r>
        <w:t xml:space="preserve"> </w:t>
      </w:r>
      <w:r>
        <w:t xml:space="preserve">cada MD leva 75–105 min com a GPU compartilhada. Faltam 32 MDs do E6 (40–56 h), o E3 (~1.413 predições, 15–20 h), a matriz 8 × 8 com E8/E9 (~1 h) e 5 MDs de controle (6–9 h):</w:t>
      </w:r>
      <w:r>
        <w:t xml:space="preserve"> </w:t>
      </w:r>
      <w:r>
        <w:rPr>
          <w:b/>
          <w:bCs/>
        </w:rPr>
        <w:t xml:space="preserve">2,7 a 3,5 dias de processamento</w:t>
      </w:r>
      <w:r>
        <w:t xml:space="preserve"> </w:t>
      </w:r>
      <w:r>
        <w:t xml:space="preserve">até dar para fechar o artigo.</w:t>
      </w:r>
    </w:p>
    <w:p>
      <w:pPr>
        <w:pStyle w:val="BodyText"/>
      </w:pPr>
      <w:r>
        <w:rPr>
          <w:b/>
          <w:bCs/>
        </w:rPr>
        <w:t xml:space="preserve">Incidentes de execução já corrigidos (para transparência):</w:t>
      </w:r>
      <w:r>
        <w:t xml:space="preserve"> </w:t>
      </w:r>
      <w:r>
        <w:t xml:space="preserve">(i) o pré-processamento do Boltz travou duas vezes sem erro (no E1 e no E2) e uma predição foi pulada por um erro intermitente; o pipeline agora usa 1 thread de pré-processamento, limite de 50 min por lote e repetição automática das predições faltantes; (ii) o teste de quiralidade do controle de pose estava invertido; foi corrigido antes de qualquer uso nos resultados, e a taxa de 18% citada acima já é a corrigida. (iii) a análise de MD não reconhecia o resíduo GLUP do CHARMM36 (o seletor</w:t>
      </w:r>
      <w:r>
        <w:t xml:space="preserve"> </w:t>
      </w:r>
      <w:r>
        <w:rPr>
          <w:rStyle w:val="VerbatimChar"/>
        </w:rPr>
        <w:t xml:space="preserve">protein</w:t>
      </w:r>
      <w:r>
        <w:t xml:space="preserve"> </w:t>
      </w:r>
      <w:r>
        <w:t xml:space="preserve">do MDAnalysis o ignora) e falhou numa simulação; corrigido e todas as simulações concluídas foram reanalisadas; (iv) o RMSD global de controle usava o</w:t>
      </w:r>
      <w:r>
        <w:t xml:space="preserve"> </w:t>
      </w:r>
      <w:r>
        <w:rPr>
          <w:rStyle w:val="VerbatimChar"/>
        </w:rPr>
        <w:t xml:space="preserve">md.tpr</w:t>
      </w:r>
      <w:r>
        <w:t xml:space="preserve"> </w:t>
      </w:r>
      <w:r>
        <w:t xml:space="preserve">(receptor partido pela caixa) como referência; corrigido antes de qualquer uso nos resultados.</w:t>
      </w:r>
    </w:p>
    <w:bookmarkEnd w:id="11"/>
    <w:bookmarkStart w:id="12" w:name="pendências-antes-da-submissão"/>
    <w:p>
      <w:pPr>
        <w:pStyle w:val="Heading2"/>
      </w:pPr>
      <w:r>
        <w:t xml:space="preserve">Pendências antes da submissão</w:t>
      </w:r>
    </w:p>
    <w:p>
      <w:pPr>
        <w:pStyle w:val="Compact"/>
        <w:numPr>
          <w:ilvl w:val="0"/>
          <w:numId w:val="1002"/>
        </w:numPr>
      </w:pPr>
      <w:r>
        <w:t xml:space="preserve">Seções 3.8–3.10 (E1–E4 e dinâmica molecular de 10 ns nas duas frentes), frase correspondente no Resumo e na Seção 4.1: dependem de cálculos em andamento ou ainda não disparados no servidor.</w:t>
      </w:r>
    </w:p>
    <w:p>
      <w:pPr>
        <w:pStyle w:val="Compact"/>
        <w:numPr>
          <w:ilvl w:val="0"/>
          <w:numId w:val="1002"/>
        </w:numPr>
      </w:pPr>
      <w:r>
        <w:t xml:space="preserve">Figuras 9–11 geradas com dados provisórios (11 de 48 MDs); reexecutar</w:t>
      </w:r>
      <w:r>
        <w:t xml:space="preserve"> </w:t>
      </w:r>
      <w:r>
        <w:rPr>
          <w:rStyle w:val="VerbatimChar"/>
        </w:rPr>
        <w:t xml:space="preserve">make_figures_e2_md.py</w:t>
      </w:r>
      <w:r>
        <w:t xml:space="preserve"> </w:t>
      </w:r>
      <w:r>
        <w:t xml:space="preserve">quando as 48 terminarem e acrescentar a figura da comparação linear × macrociclo e a Figura S2 com CHARMM36.</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2"/>
    <w:bookmarkEnd w:id="13"/>
    <w:bookmarkStart w:id="95"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curtos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(co-dobramento com Boltz-2, dinâmica molecular, MM-GBSA) foi calibrada com seis inibidores naturais e iscas embaralhadas. Desenhamos 22.066 sequências sobre esqueletos macrocíclicos cabeça-cauda (RFdiffusion, ProteinMPNN), mantivemos as sem resíduo P1 de proteases do intestino médio do tipo tripsina, quimotripsina ou elastase, co-dobramos com o Boltz-2 e simulamos os três melhores por espécie por 10 ns em pH 10,0, como peptídeos lineares e como macrociclos.</w:t>
      </w:r>
      <w:r>
        <w:t xml:space="preserve"> </w:t>
      </w:r>
      <w:r>
        <w:rPr>
          <w:b/>
          <w:bCs/>
        </w:rPr>
        <w:t xml:space="preserve">Resultados:</w:t>
      </w:r>
      <w:r>
        <w:t xml:space="preserve"> </w:t>
      </w:r>
      <w:r>
        <w:t xml:space="preserve">Os subsítios foram transferidos nos 20 pares receptor–molde. O Boltz-2 pontuou o inibidor natural acima de sua isca embaralhada em 10 de 10 pares; o MM-GBSA o fez em 4 de 10 e acompanhou o tamanho da interface (ρ = −0,93). O critério reteve 527 sequências lineares e 543 cíclicas (2,4–2,5%), 49% glicina. Repetir o Boltz-2 em entradas idênticas deu correlação de postos de 0,57 entre rodadas (n = 442), próxima dos 0,50 entre as formas linear e cíclica da mesma sequência. Os 48 candidatos selecionados passaram no controle de qualidade de pose. Nas 48 simulações (uma réplica cada), a distância mediana entre a âncora e o Asp189 subiu de 5,7 para 6,8 Å (linear) e de 5,1 para 6,1 Å (macrocíclica); a âncora terminou a menos de 4 Å em 4 simulações, todas com partida a até 4,0 Å. Dos 24 macrociclos, 11 cumpriram o critério do anel; os outros 13 mantiveram a ligação de fechamento, mas tiveram |ω| &lt; 150° em ao menos um quadro. Na frente linear, a diferença pareada frente aos controles embaralhados foi positiva em 63 de 78 candidatos (mediana 0,013) e em 60 de 79 candidatos macrocíclicos (mediana 0,014), da ordem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e o MM-GBSA de uma única trajetória não deve ordenar esses complexos. Exigir não clivabilidade seleciona peptídeos curtos e ricos em glicina, sem os resíduos favorecidos em P1 pela tripsina, o que explicita o compromisso entre resistência e engajamento de S1. Todos os resultados são computacionais; a seletividade e a atividade inibitória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725987"/>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6" name="Picture"/>
            <a:graphic>
              <a:graphicData uri="http://schemas.openxmlformats.org/drawingml/2006/picture">
                <pic:pic>
                  <pic:nvPicPr>
                    <pic:cNvPr descr="figures/pt/fig1_pipeline_v3.png" id="17" name="Picture"/>
                    <pic:cNvPicPr>
                      <a:picLocks noChangeArrowheads="1" noChangeAspect="1"/>
                    </pic:cNvPicPr>
                  </pic:nvPicPr>
                  <pic:blipFill>
                    <a:blip r:embed="rId15"/>
                    <a:stretch>
                      <a:fillRect/>
                    </a:stretch>
                  </pic:blipFill>
                  <pic:spPr bwMode="auto">
                    <a:xfrm>
                      <a:off x="0" y="0"/>
                      <a:ext cx="5334000" cy="2725987"/>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8"/>
    <w:bookmarkStart w:id="32" w:name="material-e-métodos"/>
    <w:p>
      <w:pPr>
        <w:pStyle w:val="Heading2"/>
      </w:pPr>
      <w:r>
        <w:t xml:space="preserve">2 Material e métodos</w:t>
      </w:r>
    </w:p>
    <w:bookmarkStart w:id="19"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9"/>
    <w:bookmarkStart w:id="20"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20"/>
    <w:bookmarkStart w:id="21"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1"/>
    <w:bookmarkStart w:id="22"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2"/>
    <w:bookmarkStart w:id="23"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3"/>
    <w:bookmarkStart w:id="27"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5" name="Picture"/>
            <a:graphic>
              <a:graphicData uri="http://schemas.openxmlformats.org/drawingml/2006/picture">
                <pic:pic>
                  <pic:nvPicPr>
                    <pic:cNvPr descr="figures/pt/fig2_regra_dura.png" id="26" name="Picture"/>
                    <pic:cNvPicPr>
                      <a:picLocks noChangeArrowheads="1" noChangeAspect="1"/>
                    </pic:cNvPicPr>
                  </pic:nvPicPr>
                  <pic:blipFill>
                    <a:blip r:embed="rId24"/>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7"/>
    <w:bookmarkStart w:id="28"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8"/>
    <w:bookmarkStart w:id="29"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o GROMACS 2025.4 (Abraham et al., 2015) e o campo de força aditivo CHARMM36 para proteínas (Huang e MacKerell, 2013) (porte para o GROMACS de fevereiro de 2026 gerado com o charmm2gmx (Wacha e Lemkul, 2023), o mesmo campo de força usado nas demais simulações de complexos tripsina–peptídeo do nosso grupo) com água TIP3P (Jorgensen et al., 1983), em caixa dodecaédrica com 1,2 nm de margem e KCl a 0,10 M (o potássio é o cátion dominante da hemolinfa de insetos).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o padrão do CHARMM36; em pH 10 o grupo α-amino (pKa ≈ 8) seria majoritariamente neutro, de modo que isso é uma limitação que afeta apenas a frente linear. Assim, todas as simulações deste trabalho compartilham um só estado de protonação, o que as mantém comparáveis; o efeito da carga do N-terminal e de um pH menos alcalino fica para trabalho separado (Seção 4.5). O macrociclo não tem extremidades: o GROMACS 2024 e posteriores (pdb2gmx) forma a ligação cabeça–cauda quando a distância C(n)–N(1) da predição do Boltz-2 é de ligação, e gera os termos de ângulo, diedro, par 1–4, impróprio e CMAP do anel com os mesmos parâmetros do CHARMM36 das ligações peptídicas internas. O script de montagem confere que a ligação C(n)–N(1) e o termo CMAP de cada resíduo estão presentes e para caso contrário, de modo que um anel nunca roda como cadeia linear aberta. Nos 24 sistemas cíclicos, a maior distância C–N de fechamento de cada trajetória foi 1,415–1,462 Å, de modo que nenhum anel se abriu; o ω de fechamento é relatado na Seção 3.9 e na Figura S2. 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Coulomb de 1,2 nm, forças de van der Waals desligadas suavemente entre 1,0 e 1,2 nm (force-switch, sem correção de dispersão, como a parametrização do CHARMM36 exige), ligações a hidrogênio restritas (LINCS) e passo de 2 fs. Cada sistema foi simulado uma vez, com semente aleatória para as velocidades iniciais; dez nanossegundos com uma réplica são uma triagem descritiva e não se faz inferência estatística.</w:t>
      </w:r>
    </w:p>
    <w:bookmarkEnd w:id="29"/>
    <w:bookmarkStart w:id="30"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A distância âncora–Asp189 também é relatada para uma janela inicial (os primeiros 4% da trajetória, 0,4 ns de 10 ns) e uma janela final (os últimos 20%, 2 ns de 10 ns); a mesma janela final é usada no RMSD do peptídeo ao fim da trajetória.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 Em 2 de outubro de 2026, depois de analisadas as 16 primeiras simulações e antes das demais, o critério de ocupância foi rebaixado de portão a descrição secundária, pelo motivo dado na Seção 3.9: a ocupância da âncora, a identidade da âncora e a distância inicial ao Asp189 continuam relatadas para todos os candidatos, mas deixam de entrar na atribuição das camadas. Trata-se de mudança do procedimento declarado, feita depois de ver dados, e é relatada como tal. Depois de ver as primeiras trajetórias cíclicas, relatamos também, como descrição secundária pós-dados que não substitui o critério, a fração de quadros com |ω| ≥ 150°. Os 48 candidatos foram, por fim, ordenados em camadas A–C (P enquanto a simulação está pendente) a partir dos critérios restantes (qualidade de pose, diferença pareada contra controles embaralhados e, nos macrociclos, o critério do anel), sem limiares novos (Seção 3.11).</w:t>
      </w:r>
    </w:p>
    <w:bookmarkEnd w:id="30"/>
    <w:bookmarkStart w:id="31"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1"/>
    <w:bookmarkEnd w:id="32"/>
    <w:bookmarkStart w:id="74" w:name="resultados"/>
    <w:p>
      <w:pPr>
        <w:pStyle w:val="Heading2"/>
      </w:pPr>
      <w:r>
        <w:t xml:space="preserve">3 Resultados</w:t>
      </w:r>
    </w:p>
    <w:bookmarkStart w:id="33"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3"/>
    <w:bookmarkStart w:id="34"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4"/>
    <w:bookmarkStart w:id="38"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6" name="Picture"/>
            <a:graphic>
              <a:graphicData uri="http://schemas.openxmlformats.org/drawingml/2006/picture">
                <pic:pic>
                  <pic:nvPicPr>
                    <pic:cNvPr descr="figures/Figure3_calibration.png" id="37" name="Picture"/>
                    <pic:cNvPicPr>
                      <a:picLocks noChangeArrowheads="1" noChangeAspect="1"/>
                    </pic:cNvPicPr>
                  </pic:nvPicPr>
                  <pic:blipFill>
                    <a:blip r:embed="rId3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8"/>
    <w:bookmarkStart w:id="39"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9"/>
    <w:bookmarkStart w:id="43"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1" name="Picture"/>
            <a:graphic>
              <a:graphicData uri="http://schemas.openxmlformats.org/drawingml/2006/picture">
                <pic:pic>
                  <pic:nvPicPr>
                    <pic:cNvPr descr="figures/Figure4_motif_screen.png" id="42" name="Picture"/>
                    <pic:cNvPicPr>
                      <a:picLocks noChangeArrowheads="1" noChangeAspect="1"/>
                    </pic:cNvPicPr>
                  </pic:nvPicPr>
                  <pic:blipFill>
                    <a:blip r:embed="rId40"/>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3"/>
    <w:bookmarkStart w:id="50"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2992"/>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5" name="Picture"/>
            <a:graphic>
              <a:graphicData uri="http://schemas.openxmlformats.org/drawingml/2006/picture">
                <pic:pic>
                  <pic:nvPicPr>
                    <pic:cNvPr descr="figures/pt/fig5_funil.png" id="46" name="Picture"/>
                    <pic:cNvPicPr>
                      <a:picLocks noChangeArrowheads="1" noChangeAspect="1"/>
                    </pic:cNvPicPr>
                  </pic:nvPicPr>
                  <pic:blipFill>
                    <a:blip r:embed="rId4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7568"/>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8" name="Picture"/>
            <a:graphic>
              <a:graphicData uri="http://schemas.openxmlformats.org/drawingml/2006/picture">
                <pic:pic>
                  <pic:nvPicPr>
                    <pic:cNvPr descr="figures/pt/fig6_composicao.png" id="49" name="Picture"/>
                    <pic:cNvPicPr>
                      <a:picLocks noChangeArrowheads="1" noChangeAspect="1"/>
                    </pic:cNvPicPr>
                  </pic:nvPicPr>
                  <pic:blipFill>
                    <a:blip r:embed="rId47"/>
                    <a:stretch>
                      <a:fillRect/>
                    </a:stretch>
                  </pic:blipFill>
                  <pic:spPr bwMode="auto">
                    <a:xfrm>
                      <a:off x="0" y="0"/>
                      <a:ext cx="5334000" cy="187756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50"/>
    <w:bookmarkStart w:id="54"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102"/>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2" name="Picture"/>
            <a:graphic>
              <a:graphicData uri="http://schemas.openxmlformats.org/drawingml/2006/picture">
                <pic:pic>
                  <pic:nvPicPr>
                    <pic:cNvPr descr="figures/pt/fig7_boltz2_1a_rodada.png" id="53" name="Picture"/>
                    <pic:cNvPicPr>
                      <a:picLocks noChangeArrowheads="1" noChangeAspect="1"/>
                    </pic:cNvPicPr>
                  </pic:nvPicPr>
                  <pic:blipFill>
                    <a:blip r:embed="rId51"/>
                    <a:stretch>
                      <a:fillRect/>
                    </a:stretch>
                  </pic:blipFill>
                  <pic:spPr bwMode="auto">
                    <a:xfrm>
                      <a:off x="0" y="0"/>
                      <a:ext cx="5334000" cy="1762102"/>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4"/>
    <w:bookmarkStart w:id="64"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i/>
          <w:iCs/>
        </w:rPr>
        <w:t xml:space="preserve">Reescore (E2) e qualidade de pose (E4).</w:t>
      </w:r>
      <w:r>
        <w:t xml:space="preserve"> </w:t>
      </w:r>
      <w:r>
        <w:t xml:space="preserve">Os dez candidatos de maior confiança por espécie em cada frente (80 por frente) foram preditos de novo com cinco amostras de difusão, três sementes e os potenciais de tempo de inferência (15 predições cada). Em relação à predição única do E1, a confiança média caiu de 0,922 para 0,900 na frente linear e de 0,911 para 0,888 na cíclica (Δ = −0,021 e −0,023), a regressão esperada para um conjunto escolhido pelo topo do ranking; a correlação de postos entre E1 e E2 foi 0,80 e 0,74 (Figura 9A). O desvio-padrão entre as 15 predições de um mesmo candidato teve média de 0,019 (linear) e 0,022 (cíclica), da mesma ordem que a dispersão entre os dez candidatos de uma espécie (Figura 9B); a ordem dentro de um top dez não é resolvida. Os dois conjuntos de dez compartilham 22 sequências, para as quais a correlação entre a confiança E2 linear e cíclica foi 0,60 e a forma cíclica ficou 0,016 abaixo, em média. Todo candidato teve ao menos uma das 15 amostras aprovada no controle de qualidade de pose da Seção 2.7, e em média 98% (linear) e 95% (cíclica) das amostras passaram (Figura 9C; um candidato cíclico teve menos da metade). Essa proporção não é comparável aos 18% da análise post hoc do E1, porque o E2 trata dos 80 candidatos de maior escore por frente e usa os potenciais. Os três candidatos finais por espécie e frente (24 lineares e 24 cíclicos; maior confiança média no E2 entre sequências resistentes distintas, Figura 10A) passaram todos no controle de qualidade, com a tríade catalítica íntegra (distância His57–Ser195 de 2,4–3,4 Å) e nenhum par de átomos pesados peptídeo–receptor a menos de 2,4 Å. As poses iniciais diferem na proximidade do peptídeo ao aspartato de S1: a distância mínima ao carboxilato do Asp189 foi ≤5 Å em 9 de 24 estruturas lineares e 18 de 24 cíclicas (medianas de 5,5 e 4,3 Å; Figura 10B). Só três dos 48 candidatos selecionados contêm lisina ou arginina (linear NGGRPDAP; cíclicos PISQIDSGSR e GGKPGEP).</w:t>
      </w:r>
    </w:p>
    <w:p>
      <w:pPr>
        <w:pStyle w:val="BodyText"/>
      </w:pPr>
      <w:r>
        <w:rPr>
          <w:i/>
          <w:iCs/>
        </w:rPr>
        <w:t xml:space="preserve">Controles pareados, frente linear (E3).</w:t>
      </w:r>
      <w:r>
        <w:t xml:space="preserve"> </w:t>
      </w:r>
      <w:r>
        <w:t xml:space="preserve">Os três controles embaralhados de cada um dos 80 candidatos lineares do E2 foram preditos com cinco amostras e três sementes (702 predições). Há controles para 78 candidatos: os dois candidatos poliglicina (GGGGGGG de</w:t>
      </w:r>
      <w:r>
        <w:t xml:space="preserve"> </w:t>
      </w:r>
      <w:r>
        <w:rPr>
          <w:i/>
          <w:iCs/>
        </w:rPr>
        <w:t xml:space="preserve">S. litura</w:t>
      </w:r>
      <w:r>
        <w:t xml:space="preserve"> </w:t>
      </w:r>
      <w:r>
        <w:t xml:space="preserve">e GGGGGG de</w:t>
      </w:r>
      <w:r>
        <w:t xml:space="preserve"> </w:t>
      </w:r>
      <w:r>
        <w:rPr>
          <w:i/>
          <w:iCs/>
        </w:rPr>
        <w:t xml:space="preserve">O. nubilalis</w:t>
      </w:r>
      <w:r>
        <w:t xml:space="preserve">) não os têm, porque todo embaralhamento reproduz a sequência. Δ foi positivo em 63 dos 78 (81%; mediana 0,013, intervalo interquartil 0,003–0,030, faixa de −0,033 a 0,069); por espécie, de 5 de 9 (</w:t>
      </w:r>
      <w:r>
        <w:rPr>
          <w:i/>
          <w:iCs/>
        </w:rPr>
        <w:t xml:space="preserve">S. litura</w:t>
      </w:r>
      <w:r>
        <w:t xml:space="preserve">) a 10 de 10 (</w:t>
      </w:r>
      <w:r>
        <w:rPr>
          <w:i/>
          <w:iCs/>
        </w:rPr>
        <w:t xml:space="preserve">A. gemmatalis</w:t>
      </w:r>
      <w:r>
        <w:t xml:space="preserve">). Para os 24 candidatos lineares finais, Δ foi positivo em 23 (mediana 0,030, faixa de −0,0001 a 0,069); a exceção é HGGGGSG (</w:t>
      </w:r>
      <w:r>
        <w:rPr>
          <w:i/>
          <w:iCs/>
        </w:rPr>
        <w:t xml:space="preserve">P. xylostella</w:t>
      </w:r>
      <w:r>
        <w:t xml:space="preserve">, Δ = −0,0001). Essas diferenças são da ordem do desvio-padrão entre as 15 predições de um candidato (0,019, acima), cada Δ repousa em três controles, e os candidatos finais foram escolhidos por alta confiança no E2, o que infla Δ em relação ao conjunto dos 80 (mediana 0,030 contra 0,013); um Δ positivo significa, portanto, que o candidato não pontuou abaixo de seus controles, e não que ele se liga.</w:t>
      </w:r>
    </w:p>
    <w:p>
      <w:pPr>
        <w:pStyle w:val="BodyText"/>
      </w:pPr>
      <w:r>
        <w:rPr>
          <w:i/>
          <w:iCs/>
        </w:rPr>
        <w:t xml:space="preserve">Controles pareados, frente cíclica (E3).</w:t>
      </w:r>
      <w:r>
        <w:t xml:space="preserve"> </w:t>
      </w:r>
      <w:r>
        <w:t xml:space="preserve">O mesmo procedimento foi aplicado aos 80 candidatos macrocíclicos (711 predições). Há controles para 79: o poliglicina GGGGGGGGGGGGGG (</w:t>
      </w:r>
      <w:r>
        <w:rPr>
          <w:i/>
          <w:iCs/>
        </w:rPr>
        <w:t xml:space="preserve">S. litura</w:t>
      </w:r>
      <w:r>
        <w:t xml:space="preserve">) não os tem, pelo mesmo motivo da frente linear. Δ foi positivo em 60 dos 79 (76%; mediana 0,014, intervalo interquartil 0,001–0,024, faixa de −0,027 a 0,061); por espécie, de 5 de 10 (</w:t>
      </w:r>
      <w:r>
        <w:rPr>
          <w:i/>
          <w:iCs/>
        </w:rPr>
        <w:t xml:space="preserve">H. virescens</w:t>
      </w:r>
      <w:r>
        <w:t xml:space="preserve">) a 10 de 10 (</w:t>
      </w:r>
      <w:r>
        <w:rPr>
          <w:i/>
          <w:iCs/>
        </w:rPr>
        <w:t xml:space="preserve">A. gemmatalis</w:t>
      </w:r>
      <w:r>
        <w:t xml:space="preserve">). Para os 24 macrociclos finais, Δ foi positivo em 22 (mediana 0,023, faixa de −0,009 a 0,061); as exceções são GGHGGG (</w:t>
      </w:r>
      <w:r>
        <w:rPr>
          <w:i/>
          <w:iCs/>
        </w:rPr>
        <w:t xml:space="preserve">P. xylostella</w:t>
      </w:r>
      <w:r>
        <w:t xml:space="preserve">, Δ = −0,009) e GPDGGTG (</w:t>
      </w:r>
      <w:r>
        <w:rPr>
          <w:i/>
          <w:iCs/>
        </w:rPr>
        <w:t xml:space="preserve">S. frugiperda</w:t>
      </w:r>
      <w:r>
        <w:t xml:space="preserve">, Δ = −0,002). Somando as duas frentes, Δ foi positivo em 123 de 157 candidatos (78%). A leitura é a dada para a frente linear: as diferenças são da ordem do desvio-padrão de 0,02 entre as 15 predições de um candidato, e um Δ positivo significa que o candidato não pontuou abaixo de seus controles, e não que ele se liga.</w:t>
      </w:r>
    </w:p>
    <w:p>
      <w:pPr>
        <w:pStyle w:val="BodyText"/>
      </w:pPr>
      <w:r>
        <w:rPr>
          <w:i/>
          <w:iCs/>
        </w:rPr>
        <w:t xml:space="preserve">Matriz cruzada (E4).</w:t>
      </w:r>
      <w:r>
        <w:t xml:space="preserve"> </w:t>
      </w:r>
      <w:r>
        <w:t xml:space="preserve">O primeiro colocado entre os candidatos finais de cada espécie foi co-dobrado com o próprio receptor e com os outros sete em cada frente (uma amostra com os parâmetros padrão, e não o protocolo do E2; 63 de 64 predições na frente linear e 62 de 64 na macrocíclica, porque três falharam no pré-processamento e foram puladas). A confiança do candidato no próprio receptor teve média de 0,928 (linear) e 0,910 (macrocíclica), contra 0,903 e 0,882 nos demais receptores, diferença de 0,025 e 0,028 que é da ordem do ruído da predição. O próprio receptor deu a maior confiança ao candidato em 4 de 8 (linear) e 3 de 8 (macrocíclica) espécies, e o candidato próprio foi o melhor da frente em um dado receptor em 3 de 8 e 2 de 8; o escore próprio superou a média dos outros sete receptores em 6 e 7 de 8. O receptor explicou mais da variação que o peptídeo: o modelo de</w:t>
      </w:r>
      <w:r>
        <w:t xml:space="preserve"> </w:t>
      </w:r>
      <w:r>
        <w:rPr>
          <w:i/>
          <w:iCs/>
        </w:rPr>
        <w:t xml:space="preserve">S. litura</w:t>
      </w:r>
      <w:r>
        <w:t xml:space="preserve"> </w:t>
      </w:r>
      <w:r>
        <w:t xml:space="preserve">deu a menor confiança média nas duas frentes (0,848 e 0,846, contra 0,894–0,923 e 0,867–0,912 nos demais receptores). A matriz, portanto, não mostra preferência espécie-específica dos melhores candidatos; como a confiança do Boltz-2 não é afinidade (Seção 3.3), tampouco mostra sua ausência, e não é um teste de seletividade contra proteases não alvo.</w:t>
      </w:r>
    </w:p>
    <w:p>
      <w:pPr>
        <w:pStyle w:val="CaptionedFigure"/>
      </w:pPr>
      <w:r>
        <w:drawing>
          <wp:inline>
            <wp:extent cx="5334000" cy="2414733"/>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6" name="Picture"/>
            <a:graphic>
              <a:graphicData uri="http://schemas.openxmlformats.org/drawingml/2006/picture">
                <pic:pic>
                  <pic:nvPicPr>
                    <pic:cNvPr descr="figures/pt/fig8_reprodutibilidade.png" id="57" name="Picture"/>
                    <pic:cNvPicPr>
                      <a:picLocks noChangeArrowheads="1" noChangeAspect="1"/>
                    </pic:cNvPicPr>
                  </pic:nvPicPr>
                  <pic:blipFill>
                    <a:blip r:embed="rId55"/>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p>
      <w:pPr>
        <w:pStyle w:val="CaptionedFigure"/>
      </w:pPr>
      <w:r>
        <w:drawing>
          <wp:inline>
            <wp:extent cx="5334000" cy="2311818"/>
            <wp:effectExtent b="0" l="0" r="0" t="0"/>
            <wp:docPr descr="Figura 9. 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 title="" id="59" name="Picture"/>
            <a:graphic>
              <a:graphicData uri="http://schemas.openxmlformats.org/drawingml/2006/picture">
                <pic:pic>
                  <pic:nvPicPr>
                    <pic:cNvPr descr="figures/pt/fig9_reescore_e2.png" id="60" name="Picture"/>
                    <pic:cNvPicPr>
                      <a:picLocks noChangeArrowheads="1" noChangeAspect="1"/>
                    </pic:cNvPicPr>
                  </pic:nvPicPr>
                  <pic:blipFill>
                    <a:blip r:embed="rId58"/>
                    <a:stretch>
                      <a:fillRect/>
                    </a:stretch>
                  </pic:blipFill>
                  <pic:spPr bwMode="auto">
                    <a:xfrm>
                      <a:off x="0" y="0"/>
                      <a:ext cx="5334000" cy="2311818"/>
                    </a:xfrm>
                    <a:prstGeom prst="rect">
                      <a:avLst/>
                    </a:prstGeom>
                    <a:noFill/>
                    <a:ln w="9525">
                      <a:noFill/>
                      <a:headEnd/>
                      <a:tailEnd/>
                    </a:ln>
                  </pic:spPr>
                </pic:pic>
              </a:graphicData>
            </a:graphic>
          </wp:inline>
        </w:drawing>
      </w:r>
    </w:p>
    <w:p>
      <w:pPr>
        <w:pStyle w:val="ImageCaption"/>
      </w:pPr>
      <w:r>
        <w:rPr>
          <w:b/>
          <w:bCs/>
        </w:rPr>
        <w:t xml:space="preserve">Figura 9.</w:t>
      </w:r>
      <w:r>
        <w:t xml:space="preserve"> </w:t>
      </w:r>
      <w:r>
        <w:t xml:space="preserve">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w:t>
      </w:r>
    </w:p>
    <w:p>
      <w:pPr>
        <w:pStyle w:val="CaptionedFigure"/>
      </w:pPr>
      <w:r>
        <w:drawing>
          <wp:inline>
            <wp:extent cx="5334000" cy="2251575"/>
            <wp:effectExtent b="0" l="0" r="0" t="0"/>
            <wp:docPr descr="Figura 10. Os 48 candidatos finais (três por espécie e frente). (A) Confiança do E2. (B) Distância mínima entre o peptídeo e o carboxilato do Asp189 na estrutura inicial (tracejado: 5 Å). As 48 estruturas iniciais passam no controle de qualidade de pose." title="" id="62" name="Picture"/>
            <a:graphic>
              <a:graphicData uri="http://schemas.openxmlformats.org/drawingml/2006/picture">
                <pic:pic>
                  <pic:nvPicPr>
                    <pic:cNvPr descr="figures/pt/fig10_top3_pose.png" id="63" name="Picture"/>
                    <pic:cNvPicPr>
                      <a:picLocks noChangeArrowheads="1" noChangeAspect="1"/>
                    </pic:cNvPicPr>
                  </pic:nvPicPr>
                  <pic:blipFill>
                    <a:blip r:embed="rId61"/>
                    <a:stretch>
                      <a:fillRect/>
                    </a:stretch>
                  </pic:blipFill>
                  <pic:spPr bwMode="auto">
                    <a:xfrm>
                      <a:off x="0" y="0"/>
                      <a:ext cx="5334000" cy="2251575"/>
                    </a:xfrm>
                    <a:prstGeom prst="rect">
                      <a:avLst/>
                    </a:prstGeom>
                    <a:noFill/>
                    <a:ln w="9525">
                      <a:noFill/>
                      <a:headEnd/>
                      <a:tailEnd/>
                    </a:ln>
                  </pic:spPr>
                </pic:pic>
              </a:graphicData>
            </a:graphic>
          </wp:inline>
        </w:drawing>
      </w:r>
    </w:p>
    <w:p>
      <w:pPr>
        <w:pStyle w:val="ImageCaption"/>
      </w:pPr>
      <w:r>
        <w:rPr>
          <w:b/>
          <w:bCs/>
        </w:rPr>
        <w:t xml:space="preserve">Figura 10.</w:t>
      </w:r>
      <w:r>
        <w:t xml:space="preserve"> </w:t>
      </w:r>
      <w:r>
        <w:t xml:space="preserve">Os 48 candidatos finais (três por espécie e frente). (A) Confiança do E2. (B) Distância mínima entre o peptídeo e o carboxilato do Asp189 na estrutura inicial (tracejado: 5 Å). As 48 estruturas iniciais passam no controle de qualidade de pose.</w:t>
      </w:r>
    </w:p>
    <w:bookmarkEnd w:id="64"/>
    <w:bookmarkStart w:id="68" w:name="Xac36dec43ef87c0d8dd6ab8b37eec853ef28fce"/>
    <w:p>
      <w:pPr>
        <w:pStyle w:val="Heading3"/>
      </w:pPr>
      <w:r>
        <w:t xml:space="preserve">3.9 Simulações de dez nanossegundos dos melhores candidatos</w:t>
      </w:r>
    </w:p>
    <w:p>
      <w:pPr>
        <w:pStyle w:val="FirstParagraph"/>
      </w:pPr>
      <w:r>
        <w:t xml:space="preserve">As 48 simulações (24 lineares, 24 cíclicas; uma réplica de 10 ns cada) terminaram sem erro e foram analisadas com o procedimento da Seção 2.9 (Figura 11); nenhuma afirmação abaixo é inferência estatística. A distância mediana âncora–Asp189 subiu de 5,72 Å na janela inicial (primeiros 4% da trajetória) para 6,77 Å na janela final (últimos 20%) nos candidatos lineares, e de 5,07 para 6,11 Å nos cíclicos. Na janela final, a âncora ficou a até 4 Å do Asp189 em 2 de 24 simulações lineares e 2 de 24 cíclicas, a até 5,5 Å em 7 e 6, e a mais de 10 Å (fora do bolso) em 6 e 4. A ocupância a 5 Å na segunda metade foi de ao menos 0,70 em 5 das 48 simulações: NGGRPDAP (</w:t>
      </w:r>
      <w:r>
        <w:rPr>
          <w:i/>
          <w:iCs/>
        </w:rPr>
        <w:t xml:space="preserve">A. gemmatalis</w:t>
      </w:r>
      <w:r>
        <w:t xml:space="preserve">; âncora Arg, 1,00) e GQNDS (</w:t>
      </w:r>
      <w:r>
        <w:rPr>
          <w:i/>
          <w:iCs/>
        </w:rPr>
        <w:t xml:space="preserve">O. nubilalis</w:t>
      </w:r>
      <w:r>
        <w:t xml:space="preserve">; Gln, 1,00) na frente linear, e GGKPGEP (</w:t>
      </w:r>
      <w:r>
        <w:rPr>
          <w:i/>
          <w:iCs/>
        </w:rPr>
        <w:t xml:space="preserve">A. gemmatalis</w:t>
      </w:r>
      <w:r>
        <w:t xml:space="preserve">; Lys, 1,00), GGHSE (</w:t>
      </w:r>
      <w:r>
        <w:rPr>
          <w:i/>
          <w:iCs/>
        </w:rPr>
        <w:t xml:space="preserve">S. frugiperda</w:t>
      </w:r>
      <w:r>
        <w:t xml:space="preserve">; His, 0,99) e GGGGH (</w:t>
      </w:r>
      <w:r>
        <w:rPr>
          <w:i/>
          <w:iCs/>
        </w:rPr>
        <w:t xml:space="preserve">P. xylostella</w:t>
      </w:r>
      <w:r>
        <w:t xml:space="preserve">; His, 0,82) na frente cíclica. A âncora foi o mesmo resíduo nas duas metades em 21 de 24 simulações lineares (mudou em GISGS, TDETG e HGGGGSG) e em 24 de 24 cíclicas. Aplicada a triagem como foi declarada (ocupância, mesma âncora e, nos anéis, o critério estrito do anel), três das 48 passam: NGGRPDAP, GQNDS e GGHSE.</w:t>
      </w:r>
      <w:r>
        <w:t xml:space="preserve"> </w:t>
      </w:r>
      <w:r>
        <w:t xml:space="preserve">O contato com a serina catalítica em ao menos 0,9 dos quadros ocorreu em 14 simulações lineares e 17 cíclicas, o contato com a histidina catalítica em 11 e 11, e com ambas em 7 e 10. Como nas dezesseis primeiras simulações, esses contatos estavam presentes quando a âncora estava longe de S1, de modo que não discriminam os candidatos. O peptídeo manteve algum contato com o receptor a até 4,5 Å em ao menos 0,82 (linear) e 0,97 (cíclico) dos quadros de cada simulação, então sair de S1 não significou dissociação. O RMSD local do peptídeo na janela final (Cα, alinhado ao receptor, após a correção de imagem periódica da Seção 2.9) teve mediana de 0,56 nm (intervalo 0,21–2,64) na frente linear e 0,30 nm (0,16–1,69) na cíclica. Em 6 simulações lineares e 5 cíclicas a trajetória bruta tinha ao menos um salto de imagem maior que 30 Å, que a correção remove. Por espécie (seis simulações cada), a distância final mediana variou de 5,5 Å (</w:t>
      </w:r>
      <w:r>
        <w:rPr>
          <w:i/>
          <w:iCs/>
        </w:rPr>
        <w:t xml:space="preserve">O. nubilalis</w:t>
      </w:r>
      <w:r>
        <w:t xml:space="preserve">) a 7,8 Å (</w:t>
      </w:r>
      <w:r>
        <w:rPr>
          <w:i/>
          <w:iCs/>
        </w:rPr>
        <w:t xml:space="preserve">S. litura</w:t>
      </w:r>
      <w:r>
        <w:t xml:space="preserve">); com seis simulações por espécie, essas diferenças não são um ranking de espécies.</w:t>
      </w:r>
      <w:r>
        <w:t xml:space="preserve"> </w:t>
      </w:r>
      <w:r>
        <w:t xml:space="preserve">As quatro simulações que terminaram mais perto do Asp189 foram GGKPGEP (cíclico, 2,71 Å), NGGRPDAP (linear, 2,74 Å), GGHSE (cíclico, 3,07 Å) e GQNDS (linear, 3,77 Å). As quatro haviam partido a até 4,0 Å (2,71; 2,78; 2,86 e 4,00 Å); nenhuma chegou lá vinda de mais longe. GGHSE é a única simulação que reuniu ocupância na segunda metade de ao menos 0,70 e o critério estrito do anel. Os demais candidatos lineares tiveram ocupância na segunda metade de no máximo 0,67; GHHGGG (</w:t>
      </w:r>
      <w:r>
        <w:rPr>
          <w:i/>
          <w:iCs/>
        </w:rPr>
        <w:t xml:space="preserve">P. xylostella</w:t>
      </w:r>
      <w:r>
        <w:t xml:space="preserve">, 0,67) e GTDEN (</w:t>
      </w:r>
      <w:r>
        <w:rPr>
          <w:i/>
          <w:iCs/>
        </w:rPr>
        <w:t xml:space="preserve">A. gemmatalis</w:t>
      </w:r>
      <w:r>
        <w:t xml:space="preserve">, 0,63) chegaram mais perto.</w:t>
      </w:r>
      <w:r>
        <w:t xml:space="preserve"> </w:t>
      </w:r>
      <w:r>
        <w:rPr>
          <w:i/>
          <w:iCs/>
        </w:rPr>
        <w:t xml:space="preserve">Critério do anel.</w:t>
      </w:r>
      <w:r>
        <w:t xml:space="preserve"> </w:t>
      </w:r>
      <w:r>
        <w:t xml:space="preserve">Nas 24 simulações cíclicas a distância C–N de fechamento ficou em 1,5 Å ou menos (maior valor por trajetória 1,415–1,462 Å), então nenhum anel se abriu. O critério estrito da Seção 2.9 (C–N ≤ 1,5 Å e |ω| ≥ 150° em todos os quadros) foi cumprido por 11 de 24 macrociclos; os 13 que falharam o fizeram só pelo ω, cujo mínimo ficou entre 137,2° e 149,9°. Em 12 dos 13, |ω| foi de ao menos 150° em 97,8% ou mais dos quadros; PHGEA foi o pior (91,8%; mínimo 137,2°). Quatro falharam por menos de 3° (GGSQSS 149,0°, GIGSG 149,2°, DGING 149,9°, GGSDHT 147,7°). O critério foi aplicado como declarado e a fração de quadros com |ω| ≥ 150° é uma descrição secundária post hoc; em conjunto, as falhas são desvios transitórios da planaridade da amida e não anéis abertos (a Figura S2 mostra os três anéis de</w:t>
      </w:r>
      <w:r>
        <w:t xml:space="preserve"> </w:t>
      </w:r>
      <w:r>
        <w:rPr>
          <w:i/>
          <w:iCs/>
        </w:rPr>
        <w:t xml:space="preserve">A. gemmatalis</w:t>
      </w:r>
      <w:r>
        <w:t xml:space="preserve">).</w:t>
      </w:r>
      <w:r>
        <w:t xml:space="preserve"> </w:t>
      </w:r>
      <w:r>
        <w:rPr>
          <w:i/>
          <w:iCs/>
        </w:rPr>
        <w:t xml:space="preserve">A pose inicial, e não a química da âncora, decide o resultado.</w:t>
      </w:r>
      <w:r>
        <w:t xml:space="preserve"> </w:t>
      </w:r>
      <w:r>
        <w:t xml:space="preserve">Uma ocupância na segunda metade de ao menos 0,70 ocorreu em 5 das 9 simulações cujo peptídeo partiu a até 4,0 Å do carboxilato do Asp189 (janela inicial 2,71–4,00 Å) e em nenhuma das 39 que partiram de mais longe. As quatro que partiram perto e não chegaram foram GHHGGG (0,67), PISQIDSGSR (0,33), GGSDHT (0,00) e GGHGGG (0,00). Nas 48 simulações, as distâncias inicial e final se correlacionaram (ρ de Spearman = 0,63; r de Pearson = 0,77) e a distância inicial se relacionou inversamente com a ocupância da segunda metade (ρ = −0,63; r = −0,46); o comprimento do peptídeo explicou pouco da distância final (r = 0,16). A identidade da âncora não separa as cinco que atingiram a ocupância: são uma arginina, uma glutamina, uma lisina e duas histidinas, e três dos cinco peptídeos (GQNDS, GGHSE, GGGGH) não têm arginina nem lisina. Dez nanossegundos, portanto, reportam em grande parte a pose que o Boltz-2 propôs, em vez de acrescentar evidência independente dela: a triagem mede se uma pose que já está em S1 sobrevive, e um candidato posto a 5 Å não tem tempo de achar o bolso. Isto é uma propriedade do desenho da triagem, declarada aqui, e vale igualmente para os candidatos que falharam.</w:t>
      </w:r>
    </w:p>
    <w:p>
      <w:pPr>
        <w:pStyle w:val="BodyText"/>
      </w:pPr>
      <w:r>
        <w:rPr>
          <w:i/>
          <w:iCs/>
        </w:rPr>
        <w:t xml:space="preserve">Escala de referência do critério de S1.</w:t>
      </w:r>
      <w:r>
        <w:t xml:space="preserve"> </w:t>
      </w:r>
      <w:r>
        <w:t xml:space="preserve">O limiar de 70% de ocupância foi declarado sem que se soubesse quanto um inibidor real marca na mesma análise; aplicamos então a análise idêntica aos complexos da calibração, que usam o mesmo receptor de</w:t>
      </w:r>
      <w:r>
        <w:t xml:space="preserve"> </w:t>
      </w:r>
      <w:r>
        <w:rPr>
          <w:i/>
          <w:iCs/>
        </w:rPr>
        <w:t xml:space="preserve">S. frugiperda</w:t>
      </w:r>
      <w:r>
        <w:t xml:space="preserve">: seis inibidores naturais e cinco iscas embaralhadas. As cinco iscas alcançaram ocupância 1,00 na segunda metade, assim como quatro dos seis inibidores (os outros dois, ApTI e BBI, ficaram em 0,00 e 0,10); nos onze sistemas a âncora foi uma lisina ou uma arginina. Nesse conjunto de referência o critério, portanto, não tem especificidade: uma sequência embaralhada que contenha um resíduo básico ocupa S1 tanto quanto um inibidor verdadeiro. Esses controles não têm o mesmo protocolo (2 ns, AMBER99SB-ILDN, outro pH) e são inibidores proteicos de 50–180 resíduos, cujos embaralhamentos necessariamente mantêm uma arginina ou uma lisina, ao passo que os candidatos aqui têm 5–12 resíduos e quase todos não têm nenhuma das duas. Ainda assim, delimitam o que o critério sustenta: passar nele significa que a pose prevista não se desfez, não que o peptídeo se liga. Controles pareados por tamanho no mesmo protocolo — os próprios controles embaralhados dos candidatos, simulados por 10 ns — ainda não foram rodados (aguardam o E3) e serão relatados com as camadas finais.</w:t>
      </w:r>
    </w:p>
    <w:p>
      <w:pPr>
        <w:pStyle w:val="BodyText"/>
      </w:pPr>
      <w:r>
        <w:rPr>
          <w:i/>
          <w:iCs/>
        </w:rPr>
        <w:t xml:space="preserve">Por que a química da âncora, e não a ocupância, carrega a informação.</w:t>
      </w:r>
      <w:r>
        <w:t xml:space="preserve"> </w:t>
      </w:r>
      <w:r>
        <w:t xml:space="preserve">A âncora dos onze sistemas de calibração era uma lisina ou uma arginina, como o bolso prevê: a especificidade estreita da tripsina vem do aspartato no fundo de S1 (Brandsdal et al., 2006), e as estruturas cristalográficas de dez variantes P1 de BPTI com β-tripsina bovina mostram que a Lys é o resíduo cognato, com a melhor geometria de ligação de hidrogênio e os menores fatores de temperatura, enquanto as constantes de associação das variantes vão de 1,5 × 10</w:t>
      </w:r>
      <w:r>
        <w:rPr>
          <w:vertAlign w:val="superscript"/>
        </w:rPr>
        <w:t xml:space="preserve">4</w:t>
      </w:r>
      <w:r>
        <w:t xml:space="preserve"> </w:t>
      </w:r>
      <w:r>
        <w:t xml:space="preserve">a 1,7 × 10</w:t>
      </w:r>
      <w:r>
        <w:rPr>
          <w:vertAlign w:val="superscript"/>
        </w:rPr>
        <w:t xml:space="preserve">13</w:t>
      </w:r>
      <w:r>
        <w:t xml:space="preserve"> </w:t>
      </w:r>
      <w:r>
        <w:t xml:space="preserve">M</w:t>
      </w:r>
      <w:r>
        <w:rPr>
          <w:vertAlign w:val="superscript"/>
        </w:rPr>
        <w:t xml:space="preserve">−1</w:t>
      </w:r>
      <w:r>
        <w:t xml:space="preserve"> </w:t>
      </w:r>
      <w:r>
        <w:t xml:space="preserve">(Helland et al., 1999). Uma sequência que mantenha uma Lys ou uma Arg chega, portanto, a S1 sempre que é colocada ali, seja ou não um ligante, e a ocupância mede essa colocação, não a discriminação entre ligante e isca. Dois resultados adicionais delimitam quais cadeias laterais em P1 devem perder afinidade. As ácidas são desfavorecidas: um Glu ionizado em P1 é desfavorável em S1, e a ligação relatada para o P1 Glu é explicada pela sua forma protonada, o que o torna inibidor sobretudo em pH baixo (Brandsdal et al., 2006); no pH 10 do intestino médio larval e das nossas simulações, Asp e Glu estão ionizados em solução. E o efeito de um P1 não cognato é grande, mas não monotônico com o tamanho: entre sete mutantes P1 de BPTI (Gly, Ala, Ser, Val, Leu, Arg, Trp), as constantes de associação para a tripsina cobriram sete ordens de grandeza, e os resíduos pequenos Ala, Gly e Ser estavam entre os mais fortes dos testados (Grzesiak et al., 2000); trocar a âncora por Gly ou Ala, portanto, não é um controle negativo. Esses dados vêm de um arcabouço de 58 resíduos com alça canônica; usamo-los para escolher controles, não para prever a afinidade de peptídeos de 5–12 resíduos.</w:t>
      </w:r>
    </w:p>
    <w:p>
      <w:pPr>
        <w:pStyle w:val="BodyText"/>
      </w:pPr>
      <w:r>
        <w:rPr>
          <w:rStyle w:val="Pendente"/>
        </w:rPr>
        <w:t xml:space="preserve">PENDENTE: controle negativo. Para cada candidato cuja ocupância na segunda metade não seja menor que a de seu próprio controle embaralhado, o resíduo da âncora será trocado por Asp (ionizado em pH 10, repelido pelo Asp189) e por Leu (não cognato, apolar), mantendo a pose inicial, e simulado no mesmo protocolo. Leitura: distância âncora–Asp189 e perda da ponte salina, não MM-GBSA, que não separou inibidores de iscas na calibração (Seção 3.3). Regra de decisão, fixada antes das rodadas: se nenhuma das variantes sair de S1 em 10 ns, ou se os controles embaralhados não se separarem dos candidatos, o controle não traz informação e é retirado das análises, das camadas e das figuras deste artigo, em vez de relatado como confirmação; o resultado da calibração acima, que já é dado, permanece.</w:t>
      </w:r>
    </w:p>
    <w:p>
      <w:pPr>
        <w:pStyle w:val="CaptionedFigure"/>
      </w:pPr>
      <w:r>
        <w:drawing>
          <wp:inline>
            <wp:extent cx="5334000" cy="5484607"/>
            <wp:effectExtent b="0" l="0" r="0" t="0"/>
            <wp:docPr descr="Figura 11. Simulações de triagem de 10 ns (CHARMM36, pH 10, 300 K, uma réplica cada; as 48 concluídas). (A) Distância do resíduo âncora ao carboxilato do Asp189 e (B) RMSD local do peptídeo (Cα, receptor alinhado) para os três candidatos de A. gemmatalis de cada frente (contínua, tracejada e pontilhada: candidatos 1, 2 e 3; sequências na legenda). (C) Ocupância de S1 a 5 Å na primeira e na segunda metade para as 48 simulações (círculo: passa na triagem como foi declarada originalmente; cruz: não passa; a linha tracejada é o nível de 70%, hoje descritivo). (D) Por simulação, frente linear (acima) e macrocíclica (abaixo): ocupância de S1 na segunda metade, contato com a serina catalítica e qualquer contato com o receptor; ✗ marca macrociclos que falharam no critério estrito do anel (C–N ≤ 1,5 Å e ω ≥ 150° em todos os quadros) e ✓ os que o cumpriram." title="" id="66" name="Picture"/>
            <a:graphic>
              <a:graphicData uri="http://schemas.openxmlformats.org/drawingml/2006/picture">
                <pic:pic>
                  <pic:nvPicPr>
                    <pic:cNvPr descr="figures/pt/fig11_md_triagem_10ns.png" id="67" name="Picture"/>
                    <pic:cNvPicPr>
                      <a:picLocks noChangeArrowheads="1" noChangeAspect="1"/>
                    </pic:cNvPicPr>
                  </pic:nvPicPr>
                  <pic:blipFill>
                    <a:blip r:embed="rId65"/>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11.</w:t>
      </w:r>
      <w:r>
        <w:t xml:space="preserve"> </w:t>
      </w:r>
      <w:r>
        <w:t xml:space="preserve">Simulações de triagem de 10 ns (CHARMM36, pH 10, 300 K, uma réplica cada; as 48 concluídas). (A) Distância do resíduo âncora ao carboxilato do Asp189 e (B) RMSD local do peptídeo (Cα, receptor alinhado) para os três candidatos de</w:t>
      </w:r>
      <w:r>
        <w:t xml:space="preserve"> </w:t>
      </w:r>
      <w:r>
        <w:rPr>
          <w:i/>
          <w:iCs/>
        </w:rPr>
        <w:t xml:space="preserve">A. gemmatalis</w:t>
      </w:r>
      <w:r>
        <w:t xml:space="preserve"> </w:t>
      </w:r>
      <w:r>
        <w:t xml:space="preserve">de cada frente (contínua, tracejada e pontilhada: candidatos 1, 2 e 3; sequências na legenda). (C) Ocupância de S1 a 5 Å na primeira e na segunda metade para as 48 simulações (círculo: passa na triagem como foi declarada originalmente; cruz: não passa; a linha tracejada é o nível de 70%, hoje descritivo). (D) Por simulação, frente linear (acima) e macrocíclica (abaixo): ocupância de S1 na segunda metade, contato com a serina catalítica e qualquer contato com o receptor; ✗ marca macrociclos que falharam no critério estrito do anel (C–N ≤ 1,5 Å e ω ≥ 150° em todos os quadros) e ✓ os que o cumpriram.</w:t>
      </w:r>
    </w:p>
    <w:bookmarkEnd w:id="68"/>
    <w:bookmarkStart w:id="69" w:name="frente-linear-versus-frente-macrocíclica"/>
    <w:p>
      <w:pPr>
        <w:pStyle w:val="Heading3"/>
      </w:pPr>
      <w:r>
        <w:t xml:space="preserve">3.10 Frente linear versus frente macrocíclica</w:t>
      </w:r>
    </w:p>
    <w:p>
      <w:pPr>
        <w:pStyle w:val="FirstParagraph"/>
      </w:pPr>
      <w:r>
        <w:t xml:space="preserve">Dos 24 candidatos finais por frente, três sequências coincidem na mesma espécie e foram, portanto, simuladas nas duas formas: GQNDS (</w:t>
      </w:r>
      <w:r>
        <w:rPr>
          <w:i/>
          <w:iCs/>
        </w:rPr>
        <w:t xml:space="preserve">O. nubilalis</w:t>
      </w:r>
      <w:r>
        <w:t xml:space="preserve">), NGGTT (</w:t>
      </w:r>
      <w:r>
        <w:rPr>
          <w:i/>
          <w:iCs/>
        </w:rPr>
        <w:t xml:space="preserve">H. virescens</w:t>
      </w:r>
      <w:r>
        <w:t xml:space="preserve">) e GGSQSS (</w:t>
      </w:r>
      <w:r>
        <w:rPr>
          <w:i/>
          <w:iCs/>
        </w:rPr>
        <w:t xml:space="preserve">A. gemmatalis</w:t>
      </w:r>
      <w:r>
        <w:t xml:space="preserve">). A ocupância de S1 na segunda metade foi 1,00 na forma linear e 0,00 na cíclica de GQNDS (âncora Gln nas duas; janelas inicial e final 4,00 → 3,77 Å linear e 4,85 → 10,27 Å cíclica), 0,07 e 0,00 em GGSQSS (5,41 → 9,16 e 5,34 → 8,02 Å; âncora Gln nas duas) e 0,00 nas duas formas de NGGTT (6,30 → 7,77 e 6,21 → 6,76 Å; âncora Thr e Asn). Nas 48 simulações as duas frentes ficaram próximas: distância final mediana 6,77 Å (linear) e 6,11 Å (cíclica), âncora a até 4 Å em 2 e 2, ocupância de ao menos 0,70 em 2 e 3. Mais complexos cíclicos partiram perto de S1 (janela inicial ≤ 3,5 Å em 5 de 24, contra 2 de 24), e o RMSD local da janela final foi menor (mediana 0,30 contra 0,56 nm). Com uma réplica por candidato, três sequências pareadas e uma pose inicial que difere entre as frentes, não se pode inferir efeito da ciclização; o único par com desfechos discordantes, GQNDS, também difere na distância inicial (4,00 e 4,85 Å).</w:t>
      </w:r>
    </w:p>
    <w:bookmarkEnd w:id="69"/>
    <w:bookmarkStart w:id="73" w:name="peptídeos-candidatos-finais"/>
    <w:p>
      <w:pPr>
        <w:pStyle w:val="Heading3"/>
      </w:pPr>
      <w:r>
        <w:t xml:space="preserve">3.11 Peptídeos candidatos finais</w:t>
      </w:r>
    </w:p>
    <w:p>
      <w:pPr>
        <w:pStyle w:val="FirstParagraph"/>
      </w:pPr>
      <w:r>
        <w:t xml:space="preserve">Os 48 candidatos finais foram ordenados em camadas usando apenas os critérios declarados antes das simulações (Seção 2.9): a camada A cumpre todos os critérios disponíveis (controle de qualidade de pose, diferença pareada positiva frente aos controles embaralhados e, nos macrociclos, o critério estrito do anel); a B falha exatamente um deles; a C falha dois ou mais; a P aguardaria a simulação e está vazia porque as 48 terminaram. A ocupância de S1 e a âncora aparecem na Figura 12, mas não definem a camada, porque a ocupância acompanha a pose inicial (Seção 3.9). Dentro da camada a ordem é a diferença pareada, depois a confiança do Boltz-2, depois a ocupância de S1. A atribuição é 23 A, 1 B e 0 C na frente linear e 10 A, 13 B e 1 C na macrocíclica. Na frente linear a diferença pareada (E3, Seção 3.8) está disponível: os 24 passam no controle de qualidade de pose e 23 têm Δ positivo; HGGGGSG (Δ = −0,0001) fica na camada B. Como Δ é da ordem do ruído da predição, a camada A da frente linear exclui apenas um de 24 candidatos e não discrimina entre os demais. Na frente macrocíclica, 12 dos 13 candidatos da camada B falham só no critério estrito do anel; GGHGGG (Δ = −0,009) falha só na diferença pareada, e GPDGGTG (Δ = −0,002, anel não estrito) falha nos dois e é o único da camada C. A camada A macrocíclica é, portanto, formada pelos 10 dos 11 anéis que cumpriram o critério estrito e também têm Δ positivo. As camadas A e B significam que o candidato sobreviveu aos filtros disponíveis, não que se espera que iniba. Entre os candidatos da camada A cuja âncora terminou a até 4 Å do Asp189 estão NGGRPDAP e GQNDS (lineares) e GGHSE (cíclico); GGKPGEP, com a menor distância final, está na camada B por causa do anel. Todos os candidatos cumprem o critério duro de não clivagem e nenhum carrega alegação de seletividade. A dinâmica molecular verifica a estabilidade da pose prevista em 10 ns e não é estimativa de afinidade.</w:t>
      </w:r>
      <w:r>
        <w:t xml:space="preserve"> </w:t>
      </w:r>
      <w:r>
        <w:rPr>
          <w:rStyle w:val="Pendente"/>
        </w:rPr>
        <w:t xml:space="preserve">PENDENTE: simulações dos controles embaralhados e do controle negativo, robustez ao pH e lista de peptídeos recomendados.</w:t>
      </w:r>
    </w:p>
    <w:p>
      <w:pPr>
        <w:pStyle w:val="CaptionedFigure"/>
      </w:pPr>
      <w:r>
        <w:drawing>
          <wp:inline>
            <wp:extent cx="5334000" cy="3704933"/>
            <wp:effectExtent b="0" l="0" r="0" t="0"/>
            <wp:docPr descr="Figura 12. Matriz de evidências dos 48 candidatos finais (esquerda, linear; direita, macrociclo), ordenados por camada (A, B, C, P) e, dentro da camada, pela diferença pareada, pela confiança do Boltz-2 e pela ocupância de S1 (a ocupância não define a camada).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não disponíveis (campanha de pH não realizada). As camadas usam a diferença pareada do E3 e ainda não incluem as simulações de 10 ns dos controles embaralhados (Seção 3.9)." title="" id="71" name="Picture"/>
            <a:graphic>
              <a:graphicData uri="http://schemas.openxmlformats.org/drawingml/2006/picture">
                <pic:pic>
                  <pic:nvPicPr>
                    <pic:cNvPr descr="figures/pt/fig12_candidatos_finais.png" id="72" name="Picture"/>
                    <pic:cNvPicPr>
                      <a:picLocks noChangeArrowheads="1" noChangeAspect="1"/>
                    </pic:cNvPicPr>
                  </pic:nvPicPr>
                  <pic:blipFill>
                    <a:blip r:embed="rId7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12.</w:t>
      </w:r>
      <w:r>
        <w:t xml:space="preserve"> </w:t>
      </w:r>
      <w:r>
        <w:t xml:space="preserve">Matriz de evidências dos 48 candidatos finais (esquerda, linear; direita, macrociclo), ordenados por camada (A, B, C, P) e, dentro da camada, pela diferença pareada, pela confiança do Boltz-2 e pela ocupância de S1 (a ocupância não define a camada).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não disponíveis (campanha de pH não realizada). As camadas usam a diferença pareada do E3 e ainda não incluem as simulações de 10 ns dos controles embaralhados (Seção 3.9).</w:t>
      </w:r>
    </w:p>
    <w:p>
      <w:r>
        <w:pict>
          <v:rect style="width:0;height:1.5pt" o:hralign="center" o:hrstd="t" o:hr="t"/>
        </w:pict>
      </w:r>
    </w:p>
    <w:bookmarkEnd w:id="73"/>
    <w:bookmarkEnd w:id="74"/>
    <w:bookmarkStart w:id="80" w:name="discussão"/>
    <w:p>
      <w:pPr>
        <w:pStyle w:val="Heading2"/>
      </w:pPr>
      <w:r>
        <w:t xml:space="preserve">4 Discussão</w:t>
      </w:r>
    </w:p>
    <w:bookmarkStart w:id="75" w:name="principais-achados"/>
    <w:p>
      <w:pPr>
        <w:pStyle w:val="Heading3"/>
      </w:pPr>
      <w:r>
        <w:t xml:space="preserve">4.1 Principais achados</w:t>
      </w:r>
    </w:p>
    <w:p>
      <w:pPr>
        <w:pStyle w:val="FirstParagraph"/>
      </w:pPr>
      <w:r>
        <w:t xml:space="preserve">Montamos e calibramos um pipeline que vai de um painel de oito tripsinas digestivas de lepidópteros até peptídeos candidatos triados, com a não clivabilidade por proteases do intestino médio como exigência binária explícita. A parte estrutural foi robusta: os subsítios definidos a partir de dois complexos cristalográficos foram transferidos para os dez modelos de receptor com alta concordância, e o equivalente do Asp189 encontrado pela estrutura coincidiu com o encontrado pela sequência. A geração produziu 22.066 sequências únicas a partir de 880 esqueletos macrocíclicos, e 527 sequências lineares e 543 cíclicas satisfizeram o critério duro. Nas 48 simulações de 10 ns, a distância mediana entre a âncora e o Asp189 aumentou (5,7 → 6,8 Å linear; 5,1 → 6,1 Å cíclico); apenas quatro candidatos terminaram a menos de 4 Å, todos com partida a até 4,0 Å, e 13 dos 24 macrociclos ficaram abaixo do limite de ω em ao menos um quadro sem abrir o anel. A ocupância de S1 acompanha a pose inicial do Boltz-2; as simulações verificam, portanto, a estabilidade de uma pose e não são evidência de ligação. A diferença pareada frente aos controles embaralhados (E3) é positiva em 63 de 78 candidatos lineares e 60 de 79 macrocíclicos, mas da ordem do ruído da predição, e a matriz cruzada não mostra preferência espécie-específica dos melhores candidatos (Seção 3.8). Nenhum resultado diz respeito à atividade inibitória ou à seletividade: não houve ensaio nem contrasseleção contra proteases não 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75"/>
    <w:bookmarkStart w:id="76"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76"/>
    <w:bookmarkStart w:id="77" w:name="Xafece074cecce80077a0c9860132a7cfb8c9c03"/>
    <w:p>
      <w:pPr>
        <w:pStyle w:val="Heading3"/>
      </w:pPr>
      <w:r>
        <w:t xml:space="preserve">4.3 Resistência proteolítica e engajamento de S1 puxam em direções opostas</w:t>
      </w:r>
    </w:p>
    <w:p>
      <w:pPr>
        <w:pStyle w:val="FirstParagraph"/>
      </w:pPr>
      <w:r>
        <w:t xml:space="preserve">A triagem por motivos de clivagem removeu 91,7% das sequências e selecionou peptídeos curtos (média de 7,05 resíduos; 95,6% com dez ou menos) e quase sem lisina e arginina (4,3%); só 1,3% tinha um deles na posição mais próxima da serina catalítica. Nos inibidores de mecanismo padrão,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A triagem, portanto, seleciona sequências que não têm o resíduo mais adequado para engajar o aspartato de S1. Isso decorre da definição da classe: um resíduo básico não seguido de prolina, em qualquer posição que não seja o P1 geométrico, conta como sítio, e sequências longas acumulam mais ocorrências.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poderia tolerar um P1 básico que uma regra linear de motivos sinaliza. Os 78 candidatos com lisina ou arginina, entre eles GGKPGEP, o melhor de</w:t>
      </w:r>
      <w:r>
        <w:t xml:space="preserve"> </w:t>
      </w:r>
      <w:r>
        <w:rPr>
          <w:i/>
          <w:iCs/>
        </w:rPr>
        <w:t xml:space="preserve">A. gemmatalis</w:t>
      </w:r>
      <w:r>
        <w:t xml:space="preserve">, formam um conjunto pequeno em que isso pode ser examinado; a triagem atual não diz se a conformação deles mantém esse resíduo protegido.</w:t>
      </w:r>
    </w:p>
    <w:p>
      <w:pPr>
        <w:pStyle w:val="BodyText"/>
      </w:pPr>
      <w:r>
        <w:t xml:space="preserve">O critério duro torna o compromisso mais severo. Ao proibir todo resíduo que uma enzima tipo tripsina, quimotripsina ou elastase pode ter em P1, ele deixa peptídeos com quase metade de glicina (49,4% dos resíduos) e apenas nove resíduos básicos, cada um protegido por uma prolina seguinte, exceção tirada da especificidade geral das enzimas e aproximada para cada espécie. Tais sequências provavelmente são flexíveis, o que pode custar entropia de ligação, e carecem das cadeias laterais que definem a interação com S1 nos inibidores canônicos. GGKPGEP é um exemplo: sua lisina é protegida pelo resíduo seguinte e ainda poderia alcançar S1. Se alguma dessas sequências se liga, e pela âncora esperada, é o que as simulações e os controles pareados abordam; um resultado negativo para uma espécie seria informativo. A ciclização remove os términos expostos, mas não os sítios internos, e por isso o macrociclo ganhou só 16 sequências sobre o conjunto linear. A aminopeptidase N, que precisa de N-terminal livre, não é tratada por nenhuma regra de sequência para os peptídeos lineares; proteger o N-terminal, o que também mudaria o estado de protonação que o campo de força não representa, seria a resposta prática.</w:t>
      </w:r>
    </w:p>
    <w:p>
      <w:pPr>
        <w:pStyle w:val="BodyText"/>
      </w:pPr>
      <w:r>
        <w:t xml:space="preserve">As regras de motivos são grosseiras: o escore é uma contagem ponderada de sítios, a regra tipo elastase sinaliza quatro resíduos comuns (alanina, glicina, serina e valina), a regra tipo pepsina é irrelevante para o intestino de lepidópteros, e uma classe pode mudar com um único sítio (GIFDDIG não tem sítio de tripsina e mesmo assim é classificado como MARGINAL). RESISTENTE é uma predição de baixa carga de motivos, não uma medida de estabilidade no intestino médio.</w:t>
      </w:r>
    </w:p>
    <w:bookmarkEnd w:id="77"/>
    <w:bookmarkStart w:id="78" w:name="limitações"/>
    <w:p>
      <w:pPr>
        <w:pStyle w:val="Heading3"/>
      </w:pPr>
      <w:r>
        <w:t xml:space="preserve">4.4 Limitações</w:t>
      </w:r>
    </w:p>
    <w:p>
      <w:pPr>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p>
      <w:pPr>
        <w:numPr>
          <w:ilvl w:val="0"/>
          <w:numId w:val="1003"/>
        </w:numPr>
      </w:pPr>
      <w:r>
        <w:t xml:space="preserve">O critério de ocupância de S1 não tem especificidade demonstrada: no único conjunto de referência disponível, todas as iscas embaralhadas o satisfizeram (Seção 3.9). (xii) A âncora é definida post hoc como o resíduo do peptídeo de menor distância média ao Asp189, e é a ocupância dela que se mede, o que favorece o valor medido frente a um resíduo fixado de antemão. (xiii) Dez nanossegundos a partir do complexo previsto testam se aquela pose é estável, não se o peptídeo consegue encontrar S1: os cinco candidatos que atingiram ocupância de 0,70 partiram a até 4,0 Å do Asp189, e nenhum dos 39 que partiram de mais longe o fez; por isso a ocupância foi rebaixada de critério a descrição, depois de vistas as 16 primeiras simulações (Seção 2.9). (xiv) Os controles embaralhados do E3 são fracos nos candidatos ricos em glicina, porque embaralhar quase não altera uma sequência dessas: a identidade média entre um candidato e seus próprios controles é 0,35 (linear) e 0,29 (cíclico), cinco candidatos são pelo menos 60% idênticos aos seus controles e seis têm apenas dois controles distintos dos três gerados. (xv) O critério desses controles, Δ &gt; 0, não tem limiar de incerteza, enquanto o desvio-padrão entre as quinze predições de um mesmo candidato é de cerca de 0,02, de modo que um Δ positivo pequeno está dentro do ruído. (xvi) Dois desvios da prática atual foram encontrados na montagem das simulações e mantidos para que todas compartilhem um só protocolo: a equilibração NPT usou o barostato de Parrinello-Rahman, onde o padrão é um barostato de relaxação, e</w:t>
      </w:r>
      <w:r>
        <w:t xml:space="preserve"> </w:t>
      </w:r>
      <w:r>
        <w:rPr>
          <w:rStyle w:val="VerbatimChar"/>
        </w:rPr>
        <w:t xml:space="preserve">refcoord_scaling</w:t>
      </w:r>
      <w:r>
        <w:t xml:space="preserve"> </w:t>
      </w:r>
      <w:r>
        <w:t xml:space="preserve">não foi definido com restrições de posição sob acoplamento de pressão; medido em três sistemas, a densidade ficou em 1022–1033 kg m</w:t>
      </w:r>
      <w:r>
        <w:rPr>
          <w:vertAlign w:val="superscript"/>
        </w:rPr>
        <w:t xml:space="preserve">−3</w:t>
      </w:r>
      <w:r>
        <w:t xml:space="preserve"> </w:t>
      </w:r>
      <w:r>
        <w:t xml:space="preserve">com flutuação quadrática média de 0,2% e deriva desprezível, de modo que nenhum dos dois produziu artefato detectável.</w:t>
      </w:r>
    </w:p>
    <w:bookmarkEnd w:id="78"/>
    <w:bookmarkStart w:id="79"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e testar quanto o estado de protonação e o pH do meio alteram o resultado, que aqui ficam fixos e cuja comparação deixamos para trabalho separado;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79"/>
    <w:bookmarkEnd w:id="80"/>
    <w:bookmarkStart w:id="81"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81"/>
    <w:bookmarkStart w:id="82"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82"/>
    <w:bookmarkStart w:id="83"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83"/>
    <w:bookmarkStart w:id="84" w:name="financiamento"/>
    <w:p>
      <w:pPr>
        <w:pStyle w:val="Heading2"/>
      </w:pPr>
      <w:r>
        <w:t xml:space="preserve">Financiamento</w:t>
      </w:r>
    </w:p>
    <w:p>
      <w:pPr>
        <w:pStyle w:val="FirstParagraph"/>
      </w:pPr>
      <w:r>
        <w:rPr>
          <w:rStyle w:val="Pendente"/>
        </w:rPr>
        <w:t xml:space="preserve">PENDENTE: a completar pelos autores.</w:t>
      </w:r>
    </w:p>
    <w:bookmarkEnd w:id="84"/>
    <w:bookmarkStart w:id="85" w:name="agradecimentos"/>
    <w:p>
      <w:pPr>
        <w:pStyle w:val="Heading2"/>
      </w:pPr>
      <w:r>
        <w:t xml:space="preserve">Agradecimentos</w:t>
      </w:r>
    </w:p>
    <w:p>
      <w:pPr>
        <w:pStyle w:val="FirstParagraph"/>
      </w:pPr>
      <w:r>
        <w:rPr>
          <w:rStyle w:val="Pendente"/>
        </w:rPr>
        <w:t xml:space="preserve">PENDENTE: a completar pelos autores.</w:t>
      </w:r>
      <w:r>
        <w:t xml:space="preserve"> </w:t>
      </w:r>
      <w:r>
        <w:t xml:space="preserve">Declaração de IA generativa (a revista exige que o uso seja reconhecido):</w:t>
      </w:r>
      <w:r>
        <w:t xml:space="preserve"> </w:t>
      </w:r>
      <w:r>
        <w:rPr>
          <w:rStyle w:val="Pendente"/>
        </w:rPr>
        <w:t xml:space="preserve">PENDENTE, autores a confirmar o texto:</w:t>
      </w:r>
      <w:r>
        <w:rPr>
          <w:rStyle w:val="Pendente"/>
        </w:rPr>
        <w:t xml:space="preserve"> </w:t>
      </w:r>
      <w:r>
        <w:rPr>
          <w:rStyle w:val="Pendente"/>
        </w:rPr>
        <w:t xml:space="preserve">“Usou-se IA generativa (Claude, Anthropic) como assistente para escrever scripts de análise, gerar figuras e redigir e traduzir texto. Os autores conferiram todos os resultados numéricos nos arquivos de saída, conferiram cada referência no Crossref ou PubMed e assumem total responsabilidade pelo conteúdo.”</w:t>
      </w:r>
    </w:p>
    <w:bookmarkEnd w:id="85"/>
    <w:bookmarkStart w:id="86" w:name="conflito-de-interesses"/>
    <w:p>
      <w:pPr>
        <w:pStyle w:val="Heading2"/>
      </w:pPr>
      <w:r>
        <w:t xml:space="preserve">Conflito de interesses</w:t>
      </w:r>
    </w:p>
    <w:p>
      <w:pPr>
        <w:pStyle w:val="FirstParagraph"/>
      </w:pPr>
      <w:r>
        <w:rPr>
          <w:rStyle w:val="Pendente"/>
        </w:rPr>
        <w:t xml:space="preserve">PENDENTE: a completar pelos autores.</w:t>
      </w:r>
    </w:p>
    <w:bookmarkEnd w:id="86"/>
    <w:bookmarkStart w:id="93"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88" name="Picture"/>
            <a:graphic>
              <a:graphicData uri="http://schemas.openxmlformats.org/drawingml/2006/picture">
                <pic:pic>
                  <pic:nvPicPr>
                    <pic:cNvPr descr="figures/pt/figS1_regras_motivo.png" id="89" name="Picture"/>
                    <pic:cNvPicPr>
                      <a:picLocks noChangeArrowheads="1" noChangeAspect="1"/>
                    </pic:cNvPicPr>
                  </pic:nvPicPr>
                  <pic:blipFill>
                    <a:blip r:embed="rId87"/>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496414"/>
            <wp:effectExtent b="0" l="0" r="0" t="0"/>
            <wp:docPr descr="Figura S2. Integridade do anel nas três simulações cíclicas de A. gemmatalis com CHARMM36 (10 ns), mostradas como exemplo; os resultados dos 24 anéis estão na Seção 3.9: distância C–N de fechamento, ângulo ω de fechamento em valor absoluto ao longo do tempo e distribuição de ω. Linhas tracejadas: limites pré-registrados (C–N ≤ 1,5 Å, ω ≥ 150°). A versão anterior desta figura usava outro campo de força e foi retirada." title="" id="91" name="Picture"/>
            <a:graphic>
              <a:graphicData uri="http://schemas.openxmlformats.org/drawingml/2006/picture">
                <pic:pic>
                  <pic:nvPicPr>
                    <pic:cNvPr descr="figures/pt/figS2_anel_ciclico_charmm36.png" id="92" name="Picture"/>
                    <pic:cNvPicPr>
                      <a:picLocks noChangeArrowheads="1" noChangeAspect="1"/>
                    </pic:cNvPicPr>
                  </pic:nvPicPr>
                  <pic:blipFill>
                    <a:blip r:embed="rId90"/>
                    <a:stretch>
                      <a:fillRect/>
                    </a:stretch>
                  </pic:blipFill>
                  <pic:spPr bwMode="auto">
                    <a:xfrm>
                      <a:off x="0" y="0"/>
                      <a:ext cx="3959999" cy="1496414"/>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Integridade do anel nas três simulações cíclicas de</w:t>
      </w:r>
      <w:r>
        <w:t xml:space="preserve"> </w:t>
      </w:r>
      <w:r>
        <w:rPr>
          <w:i/>
          <w:iCs/>
        </w:rPr>
        <w:t xml:space="preserve">A. gemmatalis</w:t>
      </w:r>
      <w:r>
        <w:t xml:space="preserve"> </w:t>
      </w:r>
      <w:r>
        <w:t xml:space="preserve">com CHARMM36 (10 ns), mostradas como exemplo; os resultados dos 24 anéis estão na Seção 3.9: distância C–N de fechamento, ângulo ω de fechamento em valor absoluto ao longo do tempo e distribuição de ω. Linhas tracejadas: limites pré-registrados (C–N ≤ 1,5 Å, ω ≥ 150°). A versão anterior desta figura usava outro campo de força e foi retirada.</w:t>
      </w:r>
    </w:p>
    <w:bookmarkEnd w:id="93"/>
    <w:bookmarkStart w:id="94"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Grzesiak A, Helland R, Smalås AO, Krowarsch D, Dadlez M, Otlewski J (2000). Substitutions at the P 1 ′ position in BPTI strongly affect the association energy with serine proteinases 1 1Edited by R. Huber. Journal of Molecular Biology 301, 205-217. doi: 10.1006/jmbi.2000.3935</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94"/>
    <w:bookmarkEnd w:id="95"/>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61" Type="http://schemas.openxmlformats.org/officeDocument/2006/relationships/image" Target="media/rId61.png"/><Relationship Id="rId65" Type="http://schemas.openxmlformats.org/officeDocument/2006/relationships/image" Target="media/rId65.png"/><Relationship Id="rId70" Type="http://schemas.openxmlformats.org/officeDocument/2006/relationships/image" Target="media/rId70.png"/><Relationship Id="rId15" Type="http://schemas.openxmlformats.org/officeDocument/2006/relationships/image" Target="media/rId15.png"/><Relationship Id="rId24" Type="http://schemas.openxmlformats.org/officeDocument/2006/relationships/image" Target="media/rId24.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58" Type="http://schemas.openxmlformats.org/officeDocument/2006/relationships/image" Target="media/rId58.png"/><Relationship Id="rId87" Type="http://schemas.openxmlformats.org/officeDocument/2006/relationships/image" Target="media/rId87.png"/><Relationship Id="rId90" Type="http://schemas.openxmlformats.org/officeDocument/2006/relationships/image" Target="media/rId9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2026-10-04T23:53:46Z</dcterms:created>
  <dcterms:modified xsi:type="dcterms:W3CDTF">2026-10-04T23:53:46Z</dcterms:modified>
</cp:coreProperties>
</file>

<file path=docProps/custom.xml><?xml version="1.0" encoding="utf-8"?>
<Properties xmlns="http://schemas.openxmlformats.org/officeDocument/2006/custom-properties" xmlns:vt="http://schemas.openxmlformats.org/officeDocument/2006/docPropsVTypes"/>
</file>