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7,105 palavras no original em inglês (corpo sem tabelas, títulos e legendas; cada citação contada como uma palavra); tradução: 7,698</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68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de ocupância de S1, de integridade do anel e da comparação linear × macrociclo, a gerar quando as simulações terminarem.</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1"/>
    <w:bookmarkEnd w:id="12"/>
    <w:bookmarkStart w:id="81"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3"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3"/>
    <w:bookmarkStart w:id="17"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5" name="Picture"/>
            <a:graphic>
              <a:graphicData uri="http://schemas.openxmlformats.org/drawingml/2006/picture">
                <pic:pic>
                  <pic:nvPicPr>
                    <pic:cNvPr descr="figures/pt/fig1_pipeline_v3.png" id="16" name="Picture"/>
                    <pic:cNvPicPr>
                      <a:picLocks noChangeArrowheads="1" noChangeAspect="1"/>
                    </pic:cNvPicPr>
                  </pic:nvPicPr>
                  <pic:blipFill>
                    <a:blip r:embed="rId14"/>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7"/>
    <w:bookmarkStart w:id="31" w:name="material-e-métodos"/>
    <w:p>
      <w:pPr>
        <w:pStyle w:val="Heading2"/>
      </w:pPr>
      <w:r>
        <w:t xml:space="preserve">2 Material e métodos</w:t>
      </w:r>
    </w:p>
    <w:bookmarkStart w:id="18"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8"/>
    <w:bookmarkStart w:id="19"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19"/>
    <w:bookmarkStart w:id="20"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0"/>
    <w:bookmarkStart w:id="21"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1"/>
    <w:bookmarkStart w:id="22"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2"/>
    <w:bookmarkStart w:id="26"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4" name="Picture"/>
            <a:graphic>
              <a:graphicData uri="http://schemas.openxmlformats.org/drawingml/2006/picture">
                <pic:pic>
                  <pic:nvPicPr>
                    <pic:cNvPr descr="figures/pt/fig2_regra_dura.png" id="25" name="Picture"/>
                    <pic:cNvPicPr>
                      <a:picLocks noChangeArrowheads="1" noChangeAspect="1"/>
                    </pic:cNvPicPr>
                  </pic:nvPicPr>
                  <pic:blipFill>
                    <a:blip r:embed="rId23"/>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6"/>
    <w:bookmarkStart w:id="27"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7"/>
    <w:bookmarkStart w:id="28"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tleap e ParmEd do AmberTools (AMBER99SB-ILDN, Lindorff-Larsen et al., 2010; água TIP3P, Jorgensen et al., 1983) em uma caixa octaédrica truncada com 12 Å de margem e NaCl a 0,15 M, e exportados para o GROMACS 2025.4 (Abraham et al., 2015).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livres, porque o campo de força não oferece N-terminal neutro; em pH 10 o grupo α-amino (pKa ≈ 8) seria majoritariamente neutro, de modo que isso é uma limitação que afeta apenas a frente linear. O macrociclo foi construído com ligação C(n)–N(1) explícita na topologia, de modo que não tem extremidades; a montagem foi validada em um complexo de 10 resíduos (minimização convergiu, NVT estável, C–N de fechamento 1,34 Å, ω −179°; Figura S2), e a geometria inicial é compatível com o anel porque vem da predição cíclica do Boltz-2. 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1,0 nm para Coulomb e van der Waals, ligações a hidrogênio restritas (LINCS) e passo de 2 fs. Cada sistema foi simulado uma vez, com semente aleatória para as velocidades iniciais; dez nanossegundos com uma réplica são uma triagem descritiva e não se faz inferência estatística.</w:t>
      </w:r>
    </w:p>
    <w:bookmarkEnd w:id="28"/>
    <w:bookmarkStart w:id="29"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w:t>
      </w:r>
    </w:p>
    <w:bookmarkEnd w:id="29"/>
    <w:bookmarkStart w:id="30"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0"/>
    <w:bookmarkEnd w:id="31"/>
    <w:bookmarkStart w:id="60" w:name="resultados"/>
    <w:p>
      <w:pPr>
        <w:pStyle w:val="Heading2"/>
      </w:pPr>
      <w:r>
        <w:t xml:space="preserve">3 Resultados</w:t>
      </w:r>
    </w:p>
    <w:bookmarkStart w:id="32"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2"/>
    <w:bookmarkStart w:id="33"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3"/>
    <w:bookmarkStart w:id="37"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5" name="Picture"/>
            <a:graphic>
              <a:graphicData uri="http://schemas.openxmlformats.org/drawingml/2006/picture">
                <pic:pic>
                  <pic:nvPicPr>
                    <pic:cNvPr descr="figures/Figure3_calibration.png" id="36" name="Picture"/>
                    <pic:cNvPicPr>
                      <a:picLocks noChangeArrowheads="1" noChangeAspect="1"/>
                    </pic:cNvPicPr>
                  </pic:nvPicPr>
                  <pic:blipFill>
                    <a:blip r:embed="rId34"/>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7"/>
    <w:bookmarkStart w:id="38"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8"/>
    <w:bookmarkStart w:id="42"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0" name="Picture"/>
            <a:graphic>
              <a:graphicData uri="http://schemas.openxmlformats.org/drawingml/2006/picture">
                <pic:pic>
                  <pic:nvPicPr>
                    <pic:cNvPr descr="figures/Figure4_motif_screen.png" id="41" name="Picture"/>
                    <pic:cNvPicPr>
                      <a:picLocks noChangeArrowheads="1" noChangeAspect="1"/>
                    </pic:cNvPicPr>
                  </pic:nvPicPr>
                  <pic:blipFill>
                    <a:blip r:embed="rId39"/>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2"/>
    <w:bookmarkStart w:id="49"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4" name="Picture"/>
            <a:graphic>
              <a:graphicData uri="http://schemas.openxmlformats.org/drawingml/2006/picture">
                <pic:pic>
                  <pic:nvPicPr>
                    <pic:cNvPr descr="figures/pt/fig5_funil.png" id="45" name="Picture"/>
                    <pic:cNvPicPr>
                      <a:picLocks noChangeArrowheads="1" noChangeAspect="1"/>
                    </pic:cNvPicPr>
                  </pic:nvPicPr>
                  <pic:blipFill>
                    <a:blip r:embed="rId43"/>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7" name="Picture"/>
            <a:graphic>
              <a:graphicData uri="http://schemas.openxmlformats.org/drawingml/2006/picture">
                <pic:pic>
                  <pic:nvPicPr>
                    <pic:cNvPr descr="figures/pt/fig6_composicao.png" id="48" name="Picture"/>
                    <pic:cNvPicPr>
                      <a:picLocks noChangeArrowheads="1" noChangeAspect="1"/>
                    </pic:cNvPicPr>
                  </pic:nvPicPr>
                  <pic:blipFill>
                    <a:blip r:embed="rId46"/>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49"/>
    <w:bookmarkStart w:id="53"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1" name="Picture"/>
            <a:graphic>
              <a:graphicData uri="http://schemas.openxmlformats.org/drawingml/2006/picture">
                <pic:pic>
                  <pic:nvPicPr>
                    <pic:cNvPr descr="figures/pt/fig7_boltz2_1a_rodada.png" id="52" name="Picture"/>
                    <pic:cNvPicPr>
                      <a:picLocks noChangeArrowheads="1" noChangeAspect="1"/>
                    </pic:cNvPicPr>
                  </pic:nvPicPr>
                  <pic:blipFill>
                    <a:blip r:embed="rId50"/>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3"/>
    <w:bookmarkStart w:id="57"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rStyle w:val="Pendente"/>
        </w:rPr>
        <w:t xml:space="preserve">PENDENTE: reescore dos dez melhores por espécie e frente com cinco amostras e três sementes (E2); diferença pareada Δ frente a três controles embaralhados (E3); controle de qualidade de pose (E4) nas estruturas iniciais selecionadas, incluindo quantos candidatos têm ao menos uma amostra que passa, e a matriz cruzada 8 × 8 do melhor candidato de cada espécie.</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5" name="Picture"/>
            <a:graphic>
              <a:graphicData uri="http://schemas.openxmlformats.org/drawingml/2006/picture">
                <pic:pic>
                  <pic:nvPicPr>
                    <pic:cNvPr descr="figures/pt/fig8_reprodutibilidade.png" id="56" name="Picture"/>
                    <pic:cNvPicPr>
                      <a:picLocks noChangeArrowheads="1" noChangeAspect="1"/>
                    </pic:cNvPicPr>
                  </pic:nvPicPr>
                  <pic:blipFill>
                    <a:blip r:embed="rId54"/>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bookmarkEnd w:id="57"/>
    <w:bookmarkStart w:id="58" w:name="Xac36dec43ef87c0d8dd6ab8b37eec853ef28fce"/>
    <w:p>
      <w:pPr>
        <w:pStyle w:val="Heading3"/>
      </w:pPr>
      <w:r>
        <w:t xml:space="preserve">3.9 Simulações de dez nanossegundos dos melhores candidatos</w:t>
      </w:r>
    </w:p>
    <w:p>
      <w:pPr>
        <w:pStyle w:val="FirstParagraph"/>
      </w:pPr>
      <w:r>
        <w:rPr>
          <w:rStyle w:val="Pendente"/>
        </w:rPr>
        <w:t xml:space="preserve">PENDENTE: para cada frente, quantos dos 24 candidatos passam na triagem da Seção 2.9 (ocupância de S1 ≥70% a 5 Å na segunda metade, mesma âncora nas duas metades, anel íntegro nos macrociclos); identidade do resíduo âncora; contato com a serina e a histidina catalíticas; RMSD local do peptídeo. O candidato que falha é relatado com o critério não cumprido. Por espécie:</w:t>
      </w:r>
      <w:r>
        <w:rPr>
          <w:rStyle w:val="Pendente"/>
        </w:rPr>
        <w:t xml:space="preserve"> </w:t>
      </w:r>
      <w:r>
        <w:rPr>
          <w:rStyle w:val="Pendente"/>
        </w:rPr>
        <w:t xml:space="preserve">“nenhum candidato ancorado em 10 ns”</w:t>
      </w:r>
      <w:r>
        <w:rPr>
          <w:rStyle w:val="Pendente"/>
        </w:rPr>
        <w:t xml:space="preserve"> </w:t>
      </w:r>
      <w:r>
        <w:rPr>
          <w:rStyle w:val="Pendente"/>
        </w:rPr>
        <w:t xml:space="preserve">se nenhum passar.</w:t>
      </w:r>
    </w:p>
    <w:bookmarkEnd w:id="58"/>
    <w:bookmarkStart w:id="59" w:name="frente-linear-versus-frente-macrocíclica"/>
    <w:p>
      <w:pPr>
        <w:pStyle w:val="Heading3"/>
      </w:pPr>
      <w:r>
        <w:t xml:space="preserve">3.10 Frente linear versus frente macrocíclica</w:t>
      </w:r>
    </w:p>
    <w:p>
      <w:pPr>
        <w:pStyle w:val="FirstParagraph"/>
      </w:pPr>
      <w:r>
        <w:rPr>
          <w:rStyle w:val="Pendente"/>
        </w:rPr>
        <w:t xml:space="preserve">PENDENTE: sobreposição dos conjuntos finais de três melhores das duas frentes e diferença na ocupância de S1 entre a forma linear e a cíclica da mesma sequência.</w:t>
      </w:r>
    </w:p>
    <w:p>
      <w:r>
        <w:pict>
          <v:rect style="width:0;height:1.5pt" o:hralign="center" o:hrstd="t" o:hr="t"/>
        </w:pict>
      </w:r>
    </w:p>
    <w:bookmarkEnd w:id="59"/>
    <w:bookmarkEnd w:id="60"/>
    <w:bookmarkStart w:id="66" w:name="discussão"/>
    <w:p>
      <w:pPr>
        <w:pStyle w:val="Heading2"/>
      </w:pPr>
      <w:r>
        <w:t xml:space="preserve">4 Discussão</w:t>
      </w:r>
    </w:p>
    <w:bookmarkStart w:id="61"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61"/>
    <w:bookmarkStart w:id="62"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62"/>
    <w:bookmarkStart w:id="63"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63"/>
    <w:bookmarkStart w:id="64"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bookmarkEnd w:id="64"/>
    <w:bookmarkStart w:id="65"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65"/>
    <w:bookmarkEnd w:id="66"/>
    <w:bookmarkStart w:id="67"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67"/>
    <w:bookmarkStart w:id="68"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8"/>
    <w:bookmarkStart w:id="69"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9"/>
    <w:bookmarkStart w:id="70" w:name="financiamento"/>
    <w:p>
      <w:pPr>
        <w:pStyle w:val="Heading2"/>
      </w:pPr>
      <w:r>
        <w:t xml:space="preserve">Financiamento</w:t>
      </w:r>
    </w:p>
    <w:p>
      <w:pPr>
        <w:pStyle w:val="FirstParagraph"/>
      </w:pPr>
      <w:r>
        <w:rPr>
          <w:rStyle w:val="Pendente"/>
        </w:rPr>
        <w:t xml:space="preserve">PENDENTE: a completar pelos autores.</w:t>
      </w:r>
    </w:p>
    <w:bookmarkEnd w:id="70"/>
    <w:bookmarkStart w:id="71"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71"/>
    <w:bookmarkStart w:id="72" w:name="conflito-de-interesses"/>
    <w:p>
      <w:pPr>
        <w:pStyle w:val="Heading2"/>
      </w:pPr>
      <w:r>
        <w:t xml:space="preserve">Conflito de interesses</w:t>
      </w:r>
    </w:p>
    <w:p>
      <w:pPr>
        <w:pStyle w:val="FirstParagraph"/>
      </w:pPr>
      <w:r>
        <w:rPr>
          <w:rStyle w:val="Pendente"/>
        </w:rPr>
        <w:t xml:space="preserve">PENDENTE: a completar pelos autores.</w:t>
      </w:r>
    </w:p>
    <w:bookmarkEnd w:id="72"/>
    <w:bookmarkStart w:id="79"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74" name="Picture"/>
            <a:graphic>
              <a:graphicData uri="http://schemas.openxmlformats.org/drawingml/2006/picture">
                <pic:pic>
                  <pic:nvPicPr>
                    <pic:cNvPr descr="figures/pt/figS1_regras_motivo.png" id="75" name="Picture"/>
                    <pic:cNvPicPr>
                      <a:picLocks noChangeArrowheads="1" noChangeAspect="1"/>
                    </pic:cNvPicPr>
                  </pic:nvPicPr>
                  <pic:blipFill>
                    <a:blip r:embed="rId73"/>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583999"/>
            <wp:effectExtent b="0" l="0" r="0" t="0"/>
            <wp:docPr descr="Figura S2. Teste de fumaça da topologia cíclica: RMSD do esqueleto e número de ligações de hidrogênio do sistema durante 50 ps de simulação de um macrociclo de 10 resíduos (GRPGIQAAPI) com um modelo de receptor de A. gemmatalis em pH 10,0. O teste verifica a montagem (C–N de fechamento 1,34 Å, ω −179°) e nada diz sobre estabilidade." title="" id="77" name="Picture"/>
            <a:graphic>
              <a:graphicData uri="http://schemas.openxmlformats.org/drawingml/2006/picture">
                <pic:pic>
                  <pic:nvPicPr>
                    <pic:cNvPr descr="figures/pt/figS2_ciclica_fumaca.png" id="78" name="Picture"/>
                    <pic:cNvPicPr>
                      <a:picLocks noChangeArrowheads="1" noChangeAspect="1"/>
                    </pic:cNvPicPr>
                  </pic:nvPicPr>
                  <pic:blipFill>
                    <a:blip r:embed="rId76"/>
                    <a:stretch>
                      <a:fillRect/>
                    </a:stretch>
                  </pic:blipFill>
                  <pic:spPr bwMode="auto">
                    <a:xfrm>
                      <a:off x="0" y="0"/>
                      <a:ext cx="3959999" cy="158399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Teste de fumaça da topologia cíclica: RMSD do esqueleto e número de ligações de hidrogênio do sistema durante 50 ps de simulação de um macrociclo de 10 resíduos (GRPGIQAAPI) com um modelo de receptor de</w:t>
      </w:r>
      <w:r>
        <w:t xml:space="preserve"> </w:t>
      </w:r>
      <w:r>
        <w:rPr>
          <w:i/>
          <w:iCs/>
        </w:rPr>
        <w:t xml:space="preserve">A. gemmatalis</w:t>
      </w:r>
      <w:r>
        <w:t xml:space="preserve"> </w:t>
      </w:r>
      <w:r>
        <w:t xml:space="preserve">em pH 10,0. O teste verifica a montagem (C–N de fechamento 1,34 Å, ω −179°) e nada diz sobre estabilidade.</w:t>
      </w:r>
    </w:p>
    <w:bookmarkEnd w:id="79"/>
    <w:bookmarkStart w:id="80"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Lindorff-Larsen K, Piana S, Palmo K, Maragakis P, Klepeis JL, Dror RO, et al. (2010). Improved side-chain torsion potentials for the Amber ff99SB protein force field. Proteins: Structure, Function, and Bioinformatics 78, 1950-1958. doi: 10.1002/prot.22711</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80"/>
    <w:bookmarkEnd w:id="81"/>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9" Type="http://schemas.openxmlformats.org/officeDocument/2006/relationships/image" Target="media/rId39.png"/><Relationship Id="rId14" Type="http://schemas.openxmlformats.org/officeDocument/2006/relationships/image" Target="media/rId14.png"/><Relationship Id="rId23" Type="http://schemas.openxmlformats.org/officeDocument/2006/relationships/image" Target="media/rId23.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3" Type="http://schemas.openxmlformats.org/officeDocument/2006/relationships/image" Target="media/rId73.png"/><Relationship Id="rId76" Type="http://schemas.openxmlformats.org/officeDocument/2006/relationships/image" Target="media/rId7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2026-09-30T21:58:35Z</dcterms:created>
  <dcterms:modified xsi:type="dcterms:W3CDTF">2026-09-30T21:58:35Z</dcterms:modified>
</cp:coreProperties>
</file>

<file path=docProps/custom.xml><?xml version="1.0" encoding="utf-8"?>
<Properties xmlns="http://schemas.openxmlformats.org/officeDocument/2006/custom-properties" xmlns:vt="http://schemas.openxmlformats.org/officeDocument/2006/docPropsVTypes"/>
</file>