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5,837 palavras no original em inglês (corpo sem tabelas, títulos e legendas; cada citação contada como uma palavra); tradução: 6,439</w:t>
            </w:r>
          </w:p>
        </w:tc>
        <w:tc>
          <w:tcPr/>
          <w:p>
            <w:pPr>
              <w:pStyle w:val="Compact"/>
              <w:spacing w:line="240" w:lineRule="auto"/>
            </w:pPr>
            <w:r>
              <w:rPr>
                <w:sz w:val="18"/>
              </w:rPr>
              <w:t xml:space="preserve">OK (margem de 6,163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7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12/48 iniciadas e 10 concluídas em 06/10, 09:47</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8);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97"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inibidores peptídicos</w:t>
      </w:r>
      <w:r>
        <w:t xml:space="preserve"> </w:t>
      </w:r>
      <w:r>
        <w:rPr>
          <w:i/>
          <w:iCs/>
        </w:rPr>
        <w:t xml:space="preserve">de novo</w:t>
      </w:r>
      <w:r>
        <w:t xml:space="preserve"> </w:t>
      </w:r>
      <w:r>
        <w:t xml:space="preserve">das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2964448"/>
            <wp:effectExtent b="0" l="0" r="0" t="0"/>
            <wp:docPr descr="Figura 1. 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296444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andamento; cinza: pendente. Oito receptores com subsítios transferidos e uma escada de escores calibrada precedem a geração de 22.066 sequências; o critério duro de não clivabilidade as divide na frente L (linear, 527) e na frente M (macrociclo, 543); o co-dobramento com o Boltz-2, o reescore, os controles pareados e o controle de qualidade de pose (E1–E4) dão 48 candidatos finais, simulados por 10 ns em pH 10,0 e 8,2 (e repetidos em 16 execuções), seguidos do filtro de energia e da classificação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o motivo do pH 8,2</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5"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e o pLDDT médio de 88,9 a 92,2.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rPr>
          <w:rStyle w:val="Pendente"/>
        </w:rPr>
        <w:t xml:space="preserve">PENDENTE: MM-GBSA e PRODIGY nas trajetórias de pH 8,2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(1 = melhor) e o agregado (posto médio) para os dez melhores candidatos de cada frente entre os que passaram nos portões; etapas mostradas: confiança do Boltz-2 no E2, Δ pareado (E3), RMSD final da simulação de pH 10,0 e PRODIGY na pose. O MM-GBSA e as etapas de pH 8,2 estão pendentes.</w:t>
      </w:r>
    </w:p>
    <w:bookmarkEnd w:id="49"/>
    <w:bookmarkStart w:id="50" w:name="ph-82-versus-ph-100"/>
    <w:p>
      <w:pPr>
        <w:pStyle w:val="Heading3"/>
      </w:pPr>
      <w:r>
        <w:t xml:space="preserve">3.7 pH 8,2 versus pH 10,0</w:t>
      </w:r>
    </w:p>
    <w:p>
      <w:pPr>
        <w:pStyle w:val="FirstParagraph"/>
      </w:pPr>
      <w:r>
        <w:rPr>
          <w:rStyle w:val="Pendente"/>
        </w:rPr>
        <w:t xml:space="preserve">PENDENTE: comparação pareada das 48 simulações de pH 8,2 e pH 10,0 (distância âncora–Asp189, ocupância, RMSD, contatos, anel, MM-GBSA, PRODIGY), os estados de protonação que diferem, a variação entre execuções dos candidatos repetidos e a concordância das classificações (</w:t>
      </w:r>
      <w:r>
        <w:rPr>
          <w:rStyle w:val="VerbatimChar"/>
        </w:rPr>
        <w:t xml:space="preserve">scripts/compare_ph.py</w:t>
      </w:r>
      <w:r>
        <w:rPr>
          <w:rStyle w:val="Pendente"/>
        </w:rPr>
        <w:t xml:space="preserve">; Figura 8).</w:t>
      </w:r>
    </w:p>
    <w:bookmarkEnd w:id="50"/>
    <w:bookmarkStart w:id="54"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7). O GGHSE (</w:t>
      </w:r>
      <w:r>
        <w:rPr>
          <w:i/>
          <w:iCs/>
        </w:rPr>
        <w:t xml:space="preserve">S. frugiperda</w:t>
      </w:r>
      <w:r>
        <w:t xml:space="preserve">, cíclico) é a única simulação que combinou ocupância de pelo menos 0,70 com o critério estrito do anel. O GQNDS (</w:t>
      </w:r>
      <w:r>
        <w:rPr>
          <w:i/>
          <w:iCs/>
        </w:rPr>
        <w:t xml:space="preserve">O. nubilalis</w:t>
      </w:r>
      <w:r>
        <w:t xml:space="preserve">, linear) chegou a ocupância de 1,00 com âncora Gln. O NGGRPDAP (</w:t>
      </w:r>
      <w:r>
        <w:rPr>
          <w:i/>
          <w:iCs/>
        </w:rPr>
        <w:t xml:space="preserve">A. gemmatalis</w:t>
      </w:r>
      <w:r>
        <w:t xml:space="preserve">, linear) tem uma Arg em S1 seguida de prolina, o mecanismo canônico, e o menor ΔG do PRODIGY da frente linear. O GGKPGEP (</w:t>
      </w:r>
      <w:r>
        <w:rPr>
          <w:i/>
          <w:iCs/>
        </w:rPr>
        <w:t xml:space="preserve">A. gemmatalis</w:t>
      </w:r>
      <w:r>
        <w:t xml:space="preserve">, cíclico) tem a menor distância final âncora–Asp189 (2,71 Å) e uma Lys seguida de prolina, mas fica abaixo do limite de ω do critério estrito do anel (mínimo de 144,5° contra 150°).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em pH 8,2 pendente.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r>
    </w:tbl>
    <w:p>
      <w:pPr>
        <w:pStyle w:val="CaptionedFigure"/>
      </w:pPr>
      <w:r>
        <w:drawing>
          <wp:inline>
            <wp:extent cx="5334000" cy="3853030"/>
            <wp:effectExtent b="0" l="0" r="0" t="0"/>
            <wp:docPr descr="Figura 7.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2" name="Picture"/>
            <a:graphic>
              <a:graphicData uri="http://schemas.openxmlformats.org/drawingml/2006/picture">
                <pic:pic>
                  <pic:nvPicPr>
                    <pic:cNvPr descr="figures/final/Figure7_candidate_poses.png" id="53" name="Picture"/>
                    <pic:cNvPicPr>
                      <a:picLocks noChangeArrowheads="1" noChangeAspect="1"/>
                    </pic:cNvPicPr>
                  </pic:nvPicPr>
                  <pic:blipFill>
                    <a:blip r:embed="rId51"/>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4"/>
    <w:bookmarkEnd w:id="55"/>
    <w:bookmarkStart w:id="61" w:name="discussão"/>
    <w:p>
      <w:pPr>
        <w:pStyle w:val="Heading2"/>
      </w:pPr>
      <w:r>
        <w:t xml:space="preserve">4 Discussão</w:t>
      </w:r>
    </w:p>
    <w:bookmarkStart w:id="56"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6"/>
    <w:bookmarkStart w:id="57"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57"/>
    <w:bookmarkStart w:id="58"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58"/>
    <w:bookmarkStart w:id="59"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59"/>
    <w:bookmarkStart w:id="60"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0"/>
    <w:bookmarkEnd w:id="61"/>
    <w:bookmarkStart w:id="62"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2"/>
    <w:bookmarkStart w:id="63"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3"/>
    <w:bookmarkStart w:id="64"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4"/>
    <w:bookmarkStart w:id="65"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5"/>
    <w:bookmarkStart w:id="66" w:name="financiamento"/>
    <w:p>
      <w:pPr>
        <w:pStyle w:val="Heading2"/>
      </w:pPr>
      <w:r>
        <w:t xml:space="preserve">Financiamento</w:t>
      </w:r>
    </w:p>
    <w:p>
      <w:pPr>
        <w:pStyle w:val="FirstParagraph"/>
      </w:pPr>
      <w:r>
        <w:rPr>
          <w:rStyle w:val="Pendente"/>
        </w:rPr>
        <w:t xml:space="preserve">PENDENTE: a completar pelos autores.</w:t>
      </w:r>
    </w:p>
    <w:bookmarkEnd w:id="66"/>
    <w:bookmarkStart w:id="67" w:name="agradecimentos"/>
    <w:p>
      <w:pPr>
        <w:pStyle w:val="Heading2"/>
      </w:pPr>
      <w:r>
        <w:t xml:space="preserve">Agradecimentos</w:t>
      </w:r>
    </w:p>
    <w:p>
      <w:pPr>
        <w:pStyle w:val="FirstParagraph"/>
      </w:pPr>
      <w:r>
        <w:rPr>
          <w:rStyle w:val="Pendente"/>
        </w:rPr>
        <w:t xml:space="preserve">PENDENTE: a completar pelos autores.</w:t>
      </w:r>
    </w:p>
    <w:bookmarkEnd w:id="67"/>
    <w:bookmarkStart w:id="68"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8"/>
    <w:bookmarkStart w:id="69"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9"/>
    <w:bookmarkStart w:id="70" w:name="material-suplementar"/>
    <w:p>
      <w:pPr>
        <w:pStyle w:val="Heading2"/>
      </w:pPr>
      <w:r>
        <w:t xml:space="preserve">Material suplementar</w:t>
      </w:r>
    </w:p>
    <w:p>
      <w:pPr>
        <w:pStyle w:val="FirstParagraph"/>
      </w:pPr>
      <w:r>
        <w:t xml:space="preserve">As Figuras S1–S9 e a Tabela S1 (legendas e tabela abaixo) são fornecidas como material suplementar.</w:t>
      </w:r>
    </w:p>
    <w:bookmarkEnd w:id="70"/>
    <w:bookmarkStart w:id="95"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2" name="Picture"/>
            <a:graphic>
              <a:graphicData uri="http://schemas.openxmlformats.org/drawingml/2006/picture">
                <pic:pic>
                  <pic:nvPicPr>
                    <pic:cNvPr descr="figures/pt/fig2_regra_dura.png" id="73" name="Picture"/>
                    <pic:cNvPicPr>
                      <a:picLocks noChangeArrowheads="1" noChangeAspect="1"/>
                    </pic:cNvPicPr>
                  </pic:nvPicPr>
                  <pic:blipFill>
                    <a:blip r:embed="rId71"/>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5" name="Picture"/>
            <a:graphic>
              <a:graphicData uri="http://schemas.openxmlformats.org/drawingml/2006/picture">
                <pic:pic>
                  <pic:nvPicPr>
                    <pic:cNvPr descr="figures/final/FigureS2_motif_screen.png" id="76" name="Picture"/>
                    <pic:cNvPicPr>
                      <a:picLocks noChangeArrowheads="1" noChangeAspect="1"/>
                    </pic:cNvPicPr>
                  </pic:nvPicPr>
                  <pic:blipFill>
                    <a:blip r:embed="rId74"/>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78" name="Picture"/>
            <a:graphic>
              <a:graphicData uri="http://schemas.openxmlformats.org/drawingml/2006/picture">
                <pic:pic>
                  <pic:nvPicPr>
                    <pic:cNvPr descr="figures/pt/fig6_composicao.png" id="79" name="Picture"/>
                    <pic:cNvPicPr>
                      <a:picLocks noChangeArrowheads="1" noChangeAspect="1"/>
                    </pic:cNvPicPr>
                  </pic:nvPicPr>
                  <pic:blipFill>
                    <a:blip r:embed="rId77"/>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1" name="Picture"/>
            <a:graphic>
              <a:graphicData uri="http://schemas.openxmlformats.org/drawingml/2006/picture">
                <pic:pic>
                  <pic:nvPicPr>
                    <pic:cNvPr descr="figures/pt/fig9_reescore_e2.png" id="82" name="Picture"/>
                    <pic:cNvPicPr>
                      <a:picLocks noChangeArrowheads="1" noChangeAspect="1"/>
                    </pic:cNvPicPr>
                  </pic:nvPicPr>
                  <pic:blipFill>
                    <a:blip r:embed="rId80"/>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4" name="Picture"/>
            <a:graphic>
              <a:graphicData uri="http://schemas.openxmlformats.org/drawingml/2006/picture">
                <pic:pic>
                  <pic:nvPicPr>
                    <pic:cNvPr descr="figures/pt/fig10_top3_pose.png" id="85" name="Picture"/>
                    <pic:cNvPicPr>
                      <a:picLocks noChangeArrowheads="1" noChangeAspect="1"/>
                    </pic:cNvPicPr>
                  </pic:nvPicPr>
                  <pic:blipFill>
                    <a:blip r:embed="rId83"/>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87" name="Picture"/>
            <a:graphic>
              <a:graphicData uri="http://schemas.openxmlformats.org/drawingml/2006/picture">
                <pic:pic>
                  <pic:nvPicPr>
                    <pic:cNvPr descr="figures/pt/figS2_anel_ciclico_charmm36.png" id="88" name="Picture"/>
                    <pic:cNvPicPr>
                      <a:picLocks noChangeArrowheads="1" noChangeAspect="1"/>
                    </pic:cNvPicPr>
                  </pic:nvPicPr>
                  <pic:blipFill>
                    <a:blip r:embed="rId86"/>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0" name="Picture"/>
            <a:graphic>
              <a:graphicData uri="http://schemas.openxmlformats.org/drawingml/2006/picture">
                <pic:pic>
                  <pic:nvPicPr>
                    <pic:cNvPr descr="figures/pt/fig12_candidatos_finais.png" id="91" name="Picture"/>
                    <pic:cNvPicPr>
                      <a:picLocks noChangeArrowheads="1" noChangeAspect="1"/>
                    </pic:cNvPicPr>
                  </pic:nvPicPr>
                  <pic:blipFill>
                    <a:blip r:embed="rId89"/>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3" name="Picture"/>
            <a:graphic>
              <a:graphicData uri="http://schemas.openxmlformats.org/drawingml/2006/picture">
                <pic:pic>
                  <pic:nvPicPr>
                    <pic:cNvPr descr="figures/pt/fig7_boltz2_1a_rodada.png" id="94" name="Picture"/>
                    <pic:cNvPicPr>
                      <a:picLocks noChangeArrowheads="1" noChangeAspect="1"/>
                    </pic:cNvPicPr>
                  </pic:nvPicPr>
                  <pic:blipFill>
                    <a:blip r:embed="rId92"/>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BodyText"/>
      </w:pPr>
      <w:r>
        <w:t xml:space="preserve">![</w:t>
      </w:r>
      <w:r>
        <w:rPr>
          <w:b/>
          <w:bCs/>
        </w:rPr>
        <w:t xml:space="preserve">Figura S9.</w:t>
      </w:r>
      <w:r>
        <w:t xml:space="preserve"> </w:t>
      </w:r>
      <w:r>
        <w:t xml:space="preserve">Triagem por escore de motivos por espécie sob a regra linear-estrita e a circular.</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95"/>
    <w:bookmarkStart w:id="9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6"/>
    <w:bookmarkEnd w:id="9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1" Type="http://schemas.openxmlformats.org/officeDocument/2006/relationships/image" Target="media/rId51.png"/><Relationship Id="rId74" Type="http://schemas.openxmlformats.org/officeDocument/2006/relationships/image" Target="media/rId74.png"/><Relationship Id="rId83" Type="http://schemas.openxmlformats.org/officeDocument/2006/relationships/image" Target="media/rId83.png"/><Relationship Id="rId42" Type="http://schemas.openxmlformats.org/officeDocument/2006/relationships/image" Target="media/rId42.png"/><Relationship Id="rId89" Type="http://schemas.openxmlformats.org/officeDocument/2006/relationships/image" Target="media/rId89.png"/><Relationship Id="rId71" Type="http://schemas.openxmlformats.org/officeDocument/2006/relationships/image" Target="media/rId71.png"/><Relationship Id="rId34" Type="http://schemas.openxmlformats.org/officeDocument/2006/relationships/image" Target="media/rId34.png"/><Relationship Id="rId77" Type="http://schemas.openxmlformats.org/officeDocument/2006/relationships/image" Target="media/rId77.png"/><Relationship Id="rId92" Type="http://schemas.openxmlformats.org/officeDocument/2006/relationships/image" Target="media/rId92.png"/><Relationship Id="rId38" Type="http://schemas.openxmlformats.org/officeDocument/2006/relationships/image" Target="media/rId38.png"/><Relationship Id="rId80" Type="http://schemas.openxmlformats.org/officeDocument/2006/relationships/image" Target="media/rId80.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2026-10-06T13:10:02Z</dcterms:created>
  <dcterms:modified xsi:type="dcterms:W3CDTF">2026-10-06T13:10:02Z</dcterms:modified>
</cp:coreProperties>
</file>

<file path=docProps/custom.xml><?xml version="1.0" encoding="utf-8"?>
<Properties xmlns="http://schemas.openxmlformats.org/officeDocument/2006/custom-properties" xmlns:vt="http://schemas.openxmlformats.org/officeDocument/2006/docPropsVTypes"/>
</file>