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7,665 palavras no original em inglês (corpo sem tabelas, títulos e legendas; cada citação contada como uma palavra); tradução: 8,370</w:t>
            </w:r>
          </w:p>
        </w:tc>
        <w:tc>
          <w:tcPr/>
          <w:p>
            <w:pPr>
              <w:pStyle w:val="Compact"/>
              <w:spacing w:line="240" w:lineRule="auto"/>
            </w:pPr>
            <w:r>
              <w:rPr>
                <w:sz w:val="18"/>
              </w:rPr>
              <w:t xml:space="preserve">OK (margem de 4,335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de modo que as condições simuladas correspondam àquelas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os limiares foram escolhidos para esta análise e não calibrados com um substrato conhecido (</w:t>
      </w:r>
      <w:r>
        <w:rPr>
          <w:rStyle w:val="VerbatimChar"/>
        </w:rPr>
        <w:t xml:space="preserve">scripts/scissile_geometry.py</w:t>
      </w:r>
      <w:r>
        <w:t xml:space="preserve">).</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não mede catálise e não tem linha de base de um substrato conhecido, de modo que não estabelece resistência, e um ensaio de estabilidade com tripsina e extrato do intestino médio das lagartas é o teste que a estabeleceria.</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2026-10-09T02:45:02Z</dcterms:created>
  <dcterms:modified xsi:type="dcterms:W3CDTF">2026-10-09T02:45:02Z</dcterms:modified>
</cp:coreProperties>
</file>

<file path=docProps/custom.xml><?xml version="1.0" encoding="utf-8"?>
<Properties xmlns="http://schemas.openxmlformats.org/officeDocument/2006/custom-properties" xmlns:vt="http://schemas.openxmlformats.org/officeDocument/2006/docPropsVTypes"/>
</file>