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7,224 palavras no original em inglês (corpo sem tabelas, títulos e legendas; cada citação contada como uma palavra); tradução: 7,873</w:t>
            </w:r>
          </w:p>
        </w:tc>
        <w:tc>
          <w:tcPr/>
          <w:p>
            <w:pPr>
              <w:pStyle w:val="Compact"/>
              <w:spacing w:line="240" w:lineRule="auto"/>
            </w:pPr>
            <w:r>
              <w:rPr>
                <w:sz w:val="18"/>
              </w:rPr>
              <w:t xml:space="preserve">OK (margem de 4,776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360 palavras no original em inglês (reescrito em 05/10/2026 para caber no limite); tradução: 411</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81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5"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t xml:space="preserve">Eulálio Gutemberg Dias dos Santos</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e dinâmica molecular) foi calibrada com seis inibidores e iscas embaralhadas. Desenhamos 22.066 sequências sobre 880 esqueletos (RFdiffusion, ProteinMPNN, sem cisteína), mantivemos as que não têm nenhum resíduo que a atividade do intestino médio do tipo tripsina, quimotripsina/elastase-2 ou elastase-1 assume em P1 (K, R, F, Y, W, L, M, A, V), avaliamos as sobreviventes em duas formas, linear (frente L) e cíclica cabeça-cauda (frente M), co-dobramos com o Boltz-2 e simulamos os três melhores por espécie e frente por 10 ns, ordenando-os com o MM-GBSA e o PRODIGY.</w:t>
      </w:r>
      <w:r>
        <w:t xml:space="preserve"> </w:t>
      </w:r>
      <w:r>
        <w:rPr>
          <w:b/>
          <w:bCs/>
        </w:rPr>
        <w:t xml:space="preserve">Resultados:</w:t>
      </w:r>
      <w:r>
        <w:t xml:space="preserve"> </w:t>
      </w:r>
      <w:r>
        <w:t xml:space="preserve">O Boltz-2 pontuou o inibidor acima de sua isca em 10 de 10 pares.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(frente L) e de 5,1 para 6,1 Å (frente M);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da frente L e 60 de 79 da frente M,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apenas ordenam candidatos contra o mesmo receptor,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quando fechada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e dinâmica molecular) contra seis inibidores naturais e iscas embaralhadas, (iii) geramos esqueletos com o RFdiffusion e sequências com o ProteinMPNN, (iv) aplicamos um critério duro de não clivabilidade, (v) co-dobramos os sobreviventes e os simulamos em duas formas químicas, linear (frente L) e cíclica cabeça-cauda (frente M),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é então aplicado às mesmas sequências em cada uma das duas formas químicas avaliadas, linear (frente L, 527) e cíclica cabeça-cauda (frente M, 543), aninhadas e não uma partição;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é então aplicado às mesmas sequências em cada uma das duas formas químicas avaliadas, linear (frente L, 527) e cíclica cabeça-cauda (frente M, 543), aninhadas e não uma partição;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6"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lepidópteros-praga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foram selecionadas como alvos, além de duas referências,</w:t>
      </w:r>
      <w:r>
        <w:t xml:space="preserve"> </w:t>
      </w:r>
      <w:r>
        <w:rPr>
          <w:i/>
          <w:iCs/>
        </w:rPr>
        <w:t xml:space="preserve">Manduca sexta</w:t>
      </w:r>
      <w:r>
        <w:t xml:space="preserve"> </w:t>
      </w:r>
      <w:r>
        <w:t xml:space="preserve">e</w:t>
      </w:r>
      <w:r>
        <w:t xml:space="preserve"> </w:t>
      </w:r>
      <w:r>
        <w:rPr>
          <w:i/>
          <w:iCs/>
        </w:rPr>
        <w:t xml:space="preserve">Bombyx mori</w:t>
      </w:r>
      <w:r>
        <w:t xml:space="preserve">, que foram modeladas com estruturas do AlphaFold v2 (Jumper et al., 2021; Varadi et al., 2024) (Tabela 1). O resíduo de especificidade foi localizado seis resíduos antes da serina catalítica (motivo G[DN]SGG[PT]), um deslocamento calibrado com a tripsina bovina (UniProt Consortium, 2025). As posições da tríade catalítica e do bolsão S1, com o Asp189 como resíduo de especificidade, foram conferidas por homologia contra a tripsina bovina (Tabela S2). Os sítios S4–S3′ (Schechter e Berger, 1967) foram definidos a partir de dois complexos cristalográficos da tripsina bovina (Berman et al., 2000), 2PTC (BPTI) e 1SFI (SFTI-1; Luckett et al., 1999). Cada cadeia de tripsina foi alinhada a cada receptor com o Foldseek em modo TM-align (van Kempen et al., 2024; Zhang e Skolnick, 2005) e aceita com TM-score de pelo menos 0,5 e RMSD de no máximo 3,0 Å.</w:t>
      </w:r>
    </w:p>
    <w:bookmarkEnd w:id="19"/>
    <w:bookmarkStart w:id="20" w:name="calibração-de-escores"/>
    <w:p>
      <w:pPr>
        <w:pStyle w:val="Heading3"/>
      </w:pPr>
      <w:r>
        <w:t xml:space="preserve">2.2 Calibração de escores</w:t>
      </w:r>
    </w:p>
    <w:p>
      <w:pPr>
        <w:pStyle w:val="FirstParagraph"/>
      </w:pPr>
      <w:r>
        <w:t xml:space="preserve">Seis inibidores naturais serviram de controles positivos: BPTI (1BPI; Parkin et al., 1996), SFTI-1,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Para cada um, gerou-se uma isca embaralhada da mesma composição de aminoácidos. Cada ligante foi modelado com a β-tripsina bovina e com o modelo de</w:t>
      </w:r>
      <w:r>
        <w:t xml:space="preserve"> </w:t>
      </w:r>
      <w:r>
        <w:rPr>
          <w:i/>
          <w:iCs/>
        </w:rPr>
        <w:t xml:space="preserve">S. frugiperda</w:t>
      </w:r>
      <w:r>
        <w:t xml:space="preserve"> </w:t>
      </w:r>
      <w:r>
        <w:t xml:space="preserve">A0A089QDB3 (22 sistemas). Dois tipos de escore foram comparados: (i) confiança do Boltz-2 (Passaro et al., 2025), com o seu ipTM e o pLDDT do complexo; (ii) RMSD do esqueleto do ligante após superposição no receptor em uma simulação de 2 ns.</w:t>
      </w:r>
    </w:p>
    <w:bookmarkEnd w:id="20"/>
    <w:bookmarkStart w:id="21" w:name="Xaf1a1df1337703c69782741b3683d5fef58df42"/>
    <w:p>
      <w:pPr>
        <w:pStyle w:val="Heading3"/>
      </w:pPr>
      <w:r>
        <w:t xml:space="preserve">2.3 Geração de esqueletos e desenho de sequências</w:t>
      </w:r>
    </w:p>
    <w:p>
      <w:pPr>
        <w:pStyle w:val="FirstParagraph"/>
      </w:pPr>
      <w:r>
        <w:t xml:space="preserve">Os esqueletos peptídicos foram gerados com o RFdiffusion 1.1.0 (Watson et al., 2023), gerando dez esqueletos para cada um, com 11 diferentes comprimentos (5, 6, 7, 8, 10, 12, 14, 16, 18, 19, 20 resíduos) e cada um dos oito alvos, um total de 880 esqueletos. Os pontos quentes foram os resíduos de S1 e S2 transferidos do 1SFI; só os oito primeiros em número de resíduos chegaram ao RFdiffusion (equivalentes de His57, Leu99, Asp189, Ser190, Cys191, Gln192, Gly193 e Asp194). O ProteinMPNN (Dauparas et al., 2022) rodou com as definições de cadeia padrão, de modo que o receptor também foi redesenhado e só o peptídeo foi mantido. Sequências idênticas foram reunidas em cada espécie. Foram definidos dois perfis estruturais, linear e cíclico, denominados frente L (peptídeo linear com extremidades livres) e frente M (peptídeo cíclico cabeça-cauda).</w:t>
      </w:r>
    </w:p>
    <w:bookmarkEnd w:id="21"/>
    <w:bookmarkStart w:id="22" w:name="triagens-de-clivagem"/>
    <w:p>
      <w:pPr>
        <w:pStyle w:val="Heading3"/>
      </w:pPr>
      <w:r>
        <w:t xml:space="preserve">2.4 Triagens de clivagem</w:t>
      </w:r>
    </w:p>
    <w:p>
      <w:pPr>
        <w:pStyle w:val="FirstParagraph"/>
      </w:pPr>
      <w:r>
        <w:t xml:space="preserve">Cada sequência foi varrida de forma com sete regras simplificadas de motivo P1 baseadas no PeptideCutter (Gasteiger et al., 2005) (tripsina, quimotripsina, elastase e pepsina). Uma contagem ponderada de sítios (pesos 1,0, 0,6 e 0,3 para as prioridades 1–3 das enzimas; só sítios internos para a tripsina; dividida por 10 e limitada a 1) deu o escore. As sequências foram classificadas como resistentes, sem sítio interno de tripsina e com escore abaixo de 0,3; marginal, com no máximo um sítio interno e escore abaixo de 0,5; susceptível nos demais casos. Critério anti-clivagem: Uma sequência foi mantida só se nenhum resíduo fosse K ou R (tripsina), F, Y, W, L ou M (quimotripsina e elastase-2), ou A ou V (elastase-1).</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Foram avaliadas as métricas de qualidade (pLDDT e ipTM). Os dez melhores candidatos por espécie e frente (L ou M) foram re-preditos com cinco amostras de difusão, três ciclos de reciclagem, potenciais de tempo de inferência e três sementes (15 predições); o escore é a média e a melhor amostra é a estrutura inicial. Foram construídos três controles embaralhados por candidato, preditos com o mesmo protocolo, e Δ = escore do candidato − escore médio de seus controles. O melhor candidato de cada espécie também foi co-dobrado com os sete outros receptores (matriz cruzada 8 × 8). Os três candidatos por espécie e frente com maior confiança média entre as sequências distintas (24 por frente)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8,2 e pH 10,0; a protonação foi atribuída com o PROPKA 3 (Olsson et al., 2011) pelo PDB2PQR (Dolinsky et al., 2007). Os sistemas foram montados com o GROMACS 2025.4 (Abraham et al., 2015); o campo de força usado foi o CHARMM36 (Huang e MacKerell, 2013)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na frente M não há extremidades.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e cada sistema foi executado uma vez por pH com semente aleatória.</w:t>
      </w:r>
    </w:p>
    <w:bookmarkEnd w:id="24"/>
    <w:bookmarkStart w:id="25" w:name="Xb9714b1db21677d57147e41a45878cd95b1e9f8"/>
    <w:p>
      <w:pPr>
        <w:pStyle w:val="Heading3"/>
      </w:pPr>
      <w:r>
        <w:t xml:space="preserve">2.7 Análise das trajetórias e filtros de energia</w:t>
      </w:r>
    </w:p>
    <w:p>
      <w:pPr>
        <w:pStyle w:val="FirstParagraph"/>
      </w:pPr>
      <w:r>
        <w:t xml:space="preserve">As trajetórias foram analisadas através do mapeamento temporal do resíduo que interage com o equivalente ao Asp189, identificando-se como âncora o resíduo de menor distância média. A ocupância de S1 é a fração de quadros com distância âncora–Asp189 nos comprimentos de 4–6 Å, calculada. A distância âncora–Asp189 e o RMSD de Cα do peptídeo após superposição no receptor são dados para uma janela inicial (primeiros 0,4 ns) e uma final (últimos 2 ns). A triagem declarada de antemão exigia ocupação na segunda metade ≥ 70%, a mesma âncora. Para cálculos de energia livre, foram usados o MM-GBSA (Valdés-Tresanco et al., 2021) e o PRODIGY (Vangone e Bonvin, 2015). As simulações de pH 8,2 e de pH 10,0 são pareadas e comparadas pela diferença pareada de cada métrica (teste de postos sinalizados de Wilcoxon), pela correlação de postos entre pH.</w:t>
      </w:r>
    </w:p>
    <w:p>
      <w:r>
        <w:pict>
          <v:rect style="width:0;height:1.5pt" o:hralign="center" o:hrstd="t" o:hr="t"/>
        </w:pict>
      </w:r>
    </w:p>
    <w:bookmarkEnd w:id="25"/>
    <w:bookmarkEnd w:id="26"/>
    <w:bookmarkStart w:id="56" w:name="resultados"/>
    <w:p>
      <w:pPr>
        <w:pStyle w:val="Heading2"/>
      </w:pPr>
      <w:r>
        <w:t xml:space="preserve">3 Resultados</w:t>
      </w:r>
    </w:p>
    <w:bookmarkStart w:id="27"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resíduo Asp189 homólogo à tripsina bovina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Em todos os modelos os resíduos equivalentes à His57, ao Asp102 e à Ser195 são His, Asp e Ser, e as distâncias His–Ser e His–Asp (2,92–3,13 Å e 2,70–2,75 Å) são as de uma tríade montada; os resíduos do bolsão Asp189, Cys191, Gly193, Asp194, Gly216 e Gly226 são conservados, ao passo que Ser190, Val213, Trp215 e Gly219 variam entre as espécies (Tabela S2).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7"/>
    <w:bookmarkStart w:id="31" w:name="calibração-de-escores-1"/>
    <w:p>
      <w:pPr>
        <w:pStyle w:val="Heading3"/>
      </w:pPr>
      <w:r>
        <w:t xml:space="preserve">3.2 Calibração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2A–C, Tabela 2). O RMSD do ligante foi menor para o inibidor real em 9 de 10 pares (a exceção foi</w:t>
      </w:r>
      <w:r>
        <w:t xml:space="preserve"> </w:t>
      </w:r>
      <w:r>
        <w:rPr>
          <w:i/>
          <w:iCs/>
        </w:rPr>
        <w:t xml:space="preserve">S. frugiperda</w:t>
      </w:r>
      <w:r>
        <w:t xml:space="preserve">–EcTI, 0,366 contra 0,347 nm; Figura 2D). Os escores do Boltz-2 são, portanto, usados adiante para comparar cada candidato com controles pareados contra o mesmo receptor, e não como medida absoluta de ligação.</w:t>
      </w:r>
    </w:p>
    <w:p>
      <w:pPr>
        <w:pStyle w:val="BodyText"/>
      </w:pPr>
      <w:r>
        <w:rPr>
          <w:b/>
          <w:bCs/>
        </w:rPr>
        <w:t xml:space="preserve">Tabela 2.</w:t>
      </w:r>
      <w:r>
        <w:t xml:space="preserve"> </w:t>
      </w:r>
      <w:r>
        <w:t xml:space="preserve">Pares de calibração (inibidor real / isca embaralhada). Conf.: confiança do Boltz-2. ipTM e pLDDT: escore de interface e pLDDT do complexo do Boltz-2. RMSD: RMSD do ligante após superposição no receptor (nm, último terço de 2 ns). Negrito marca o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a 2. Calibração da escada de escores com seis inibidores naturais e iscas embaralhadas (22 sistemas; Bt: tripsina bovina, Sf: S. frugiperda).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 title="" id="29" name="Picture"/>
            <a:graphic>
              <a:graphicData uri="http://schemas.openxmlformats.org/drawingml/2006/picture">
                <pic:pic>
                  <pic:nvPicPr>
                    <pic:cNvPr descr="figures/final/Figure2_calibration.png" id="30" name="Picture"/>
                    <pic:cNvPicPr>
                      <a:picLocks noChangeArrowheads="1" noChangeAspect="1"/>
                    </pic:cNvPicPr>
                  </pic:nvPicPr>
                  <pic:blipFill>
                    <a:blip r:embed="rId28"/>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w:t>
      </w:r>
    </w:p>
    <w:bookmarkEnd w:id="31"/>
    <w:bookmarkStart w:id="35" w:name="X9c5422e4f8dccbb1f829705fe840920aa5ed315"/>
    <w:p>
      <w:pPr>
        <w:pStyle w:val="Heading3"/>
      </w:pPr>
      <w:r>
        <w:t xml:space="preserve">3.3 Geração e o critério duro de não clivabilidade</w:t>
      </w:r>
    </w:p>
    <w:p>
      <w:pPr>
        <w:pStyle w:val="FirstParagraph"/>
      </w:pPr>
      <w:r>
        <w:t xml:space="preserve">A geração do RFdiffusion produziu 880 esqueletos (110 por espécie) com o comprimento entre 5 e 20 aminoácidos e o ProteinMPNN rendeu 22.066 sequências únicas, variando entre 2.692–2.839 por espécie (Tabela 3). A triagem por escore de motivos manteve 1.829 (8,3%) marcadas como resistentes, 4.987 (22,6%) foram rotuladas como marginais e 15.250 (69,1%) classificadas como susceptíveis. Durante a triagem de pontos de clivagem das sequências, foram removidas, em sua maioria, as sequências longas, restando 95,6% das sequências com menos de 10 resíduos no grupo declarado como resistente, contra 86,8% no marginal e 12,7% no susceptível, e só 4,3% das sequências resistentes continham lisina ou arginina (Figura S2). As 1.829 sequências do grupo das resistentes foram co-dobradas com o Boltz-2 com valores de confiança média de 0,862, com faixa de 0,695–0,953 (Figura S8).</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de não clivabilidade (Figura S1) deixou 527 sequências (2,4%) na frente L e 543 (2,5%) na frente M, com quantidades de 41–86 e 41–87 por espécie (Figura 3); como as sequências foram reunidas dentro de cada espécie e não entre espécies, essas contagens são pares sequência–alvo e correspondem a 445 e 461 sequências distintas. As 527 da frente L estão também na frente M; das 16 que passam só na frente M, 14 terminam em um resíduo proibido seguido, pelo fechamento, de uma prolina que também é o primeiro resíduo, e duas terminam em isoleucina. O conjunto de não clivabilidade e o conjunto do escore de motivos, ao contrário, não se aninham (396 dos 543 candidatos da frente M, 73%, também eram resistentes), e a divergência tem uma causa única: a regra de elastase do escore de motivos conta glicina e serina em P1, o que o critério duro não proíbe (Seção 2.4), de modo que os 147 candidatos que o escore de motivos não chama de resistentes são justamente os ricos em glicina (85,9% de glicina e comprimento médio de 10,1 resíduos, contra 27,9% e 6,8 nos 396 aceitos pelas duas triagens). O conjunto de não clivabilidade é curto e rico em glicina (Figura S3): comprimento médio de 7,7 resíduos, 430 das 527 sequências da frente L (81,6%) com 8 resíduos ou menos, e glicina em 49,4% dos 4.060 resíduos, seguida de serina (11,7%), prolina (9,8%), treonina (9,0%) e aspartato (5,8%). Lisina ou arginina somaram nove resíduos (0,22%), cada um seguido de prolina (seis Arg–Pro, três Lys–Pro).</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e pelo critério duro em cada uma das duas frentes; direita: totais de 22.066 sequências." title="" id="33" name="Picture"/>
            <a:graphic>
              <a:graphicData uri="http://schemas.openxmlformats.org/drawingml/2006/picture">
                <pic:pic>
                  <pic:nvPicPr>
                    <pic:cNvPr descr="figures/pt/fig5_funil.png" id="34" name="Picture"/>
                    <pic:cNvPicPr>
                      <a:picLocks noChangeArrowheads="1" noChangeAspect="1"/>
                    </pic:cNvPicPr>
                  </pic:nvPicPr>
                  <pic:blipFill>
                    <a:blip r:embed="rId32"/>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e pelo critério duro em cada uma das duas frentes; direita: totais de 22.066 sequências.</w:t>
      </w:r>
    </w:p>
    <w:bookmarkEnd w:id="35"/>
    <w:bookmarkStart w:id="39" w:name="X180ba561e52d95f4625825c47eb965db4ba60f2"/>
    <w:p>
      <w:pPr>
        <w:pStyle w:val="Heading3"/>
      </w:pPr>
      <w:r>
        <w:t xml:space="preserve">3.4 Co-dobramento com o Boltz-2: reprodutibilidade, controles pareados e qualidade da pose</w:t>
      </w:r>
    </w:p>
    <w:p>
      <w:pPr>
        <w:pStyle w:val="FirstParagraph"/>
      </w:pPr>
      <w:r>
        <w:t xml:space="preserve">Os 527 candidatos da frente L e 543 da frente M foram todos preditos com alta confiança. Prever 442 candidatos uma segunda vez com entrada idêntica deu correlação de postos de apenas 0,57 entre execuções (diferença absoluta média 0,028; 0,21–0,69 por espécie), e as duas frentes da mesma sequência (n = 527) se correlacionaram em 0,50 (Figura 4). A concordância entre as duas formas é, portanto, próxima da concordância entre duas execuções de uma delas, e uma única predição não separa um efeito da forma do ruído de amostragem. Para aumentar a confiança, os dez melhores candidatos por espécie e frente foram re-preditos (15 predições cada): a confiança média teve valor de 0,922, ajustado para 0,900 (frente L) e de 0,911 para 0,888 (frente M), a regressão esperada para um conjunto de topo; o desvio-padrão entre as 15 predições de um candidato foi em média de 0,019 e 0,022. Todo candidato teve ao menos uma amostra que passou no controle de qualidade de pose, e os 48 candidatos selecionados passaram, com manutenção da tríade catalítica conservada (distância His57–Ser195 de 2,4–3,4 Å) e nenhum par de átomos pesados peptídeo–receptor a menos de 2,4 Å (Figura S5). A distância mínima ao carboxilato do Asp189 na estrutura inicial foi de 5 Å ou menos em 9 das 24 estruturas da frente L e 18 das 24 da frente M. Só três dos 48 contêm lisina ou arginina (NGGRPDAP na frente L; PISQIDSGSR e GGKPGEP na frente M).</w:t>
      </w:r>
    </w:p>
    <w:p>
      <w:pPr>
        <w:pStyle w:val="BodyText"/>
      </w:pPr>
      <w:r>
        <w:t xml:space="preserve">A diferença pareada Δ frente a três controles embaralhados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na frente L, 0,29 na frente M); um Δ positivo significa, portanto, que o candidato não pontuou abaixo de seus controles, e não que se liga; que sequências de poli-glicina, sem controle embaralhado, estejam entre as dez melhores pela confiança da primeira predição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w:t>
      </w:r>
    </w:p>
    <w:p>
      <w:pPr>
        <w:pStyle w:val="CaptionedFigure"/>
      </w:pPr>
      <w:r>
        <w:drawing>
          <wp:inline>
            <wp:extent cx="5334000" cy="2414733"/>
            <wp:effectExtent b="0" l="0" r="0" t="0"/>
            <wp:docPr descr="Figura 4. Reprodutibilidade da confiança do Boltz-2 na triagem de duas frentes. (A) Os mesmos 442 candidatos preditos na primeira rodada e de novo na triagem de duas frentes, com entrada idêntica. (B) As mesmas 527 sequências preditas em cada uma das duas frentes. A linha pontilhada é a identidade; ρ é a correlação de Spearman e |Δ| a diferença absoluta média." title="" id="37" name="Picture"/>
            <a:graphic>
              <a:graphicData uri="http://schemas.openxmlformats.org/drawingml/2006/picture">
                <pic:pic>
                  <pic:nvPicPr>
                    <pic:cNvPr descr="figures/pt/fig8_reprodutibilidade.png" id="38" name="Picture"/>
                    <pic:cNvPicPr>
                      <a:picLocks noChangeArrowheads="1" noChangeAspect="1"/>
                    </pic:cNvPicPr>
                  </pic:nvPicPr>
                  <pic:blipFill>
                    <a:blip r:embed="rId36"/>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preditos na primeira rodada e de novo na triagem de duas frentes, com entrada idêntica. (B) As mesmas 527 sequências preditas em cada uma das duas frentes. A linha pontilhada é a identidade; ρ é a correlação de Spearman e |Δ| a diferença absoluta média.</w:t>
      </w:r>
    </w:p>
    <w:bookmarkEnd w:id="39"/>
    <w:bookmarkStart w:id="43" w:name="simulações-de-10-ns-em-ph-100"/>
    <w:p>
      <w:pPr>
        <w:pStyle w:val="Heading3"/>
      </w:pPr>
      <w:r>
        <w:t xml:space="preserve">3.5 Simulações de 10 ns em pH 10,0</w:t>
      </w:r>
    </w:p>
    <w:p>
      <w:pPr>
        <w:pStyle w:val="FirstParagraph"/>
      </w:pPr>
      <w:r>
        <w:t xml:space="preserve">As 48 simulações foram executadas e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t xml:space="preserve">Uma ocupância de pelo menos 0,70 na segunda metade ocorreu em 5 das 9 simulações cujos peptídeos partiram a até 4,0 Å do carboxilato do Asp189 e em nenhuma das 39 que partiram mais longe. As distâncias inicial e final se correlacionaram (ρ de Spearman = 0,63) e a distância inicial se relacionou inversamente com a ocupância (ρ = −0,63); a identidade da âncora não separou as cinco (Arg, Gln, Lys e duas His). A triagem de 10 ns re-relata, portanto, a pose proposta pelo Boltz-2: mede-se uma pose já em S1 que sobrevive, e um peptídeo colocado a 5 Å não recebe tempo para achar o bolso. Por isso, a ocupância passou de critério a descrição (Seção 2.7).</w:t>
      </w:r>
    </w:p>
    <w:p>
      <w:pPr>
        <w:pStyle w:val="BodyText"/>
      </w:pPr>
      <w:r>
        <w:t xml:space="preserve">Nos sistemas avaliados, onze deles, a âncora era uma lisina ou uma arginina, que chegava a S1 sempre que era colocada ali (Brandsdal et al., 2006; Helland et al., 1999).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frente L (em cima) e frente M (embaixo): ocupância na segunda metade, contato com a serina catalítica e qualquer contato com o receptor; ✗ marca candidatos da frente M que falharam no critério estrito do anel e ✓ os que o cumpriram." title="" id="41" name="Picture"/>
            <a:graphic>
              <a:graphicData uri="http://schemas.openxmlformats.org/drawingml/2006/picture">
                <pic:pic>
                  <pic:nvPicPr>
                    <pic:cNvPr descr="figures/pt/fig11_md_triagem_10ns.png" id="42" name="Picture"/>
                    <pic:cNvPicPr>
                      <a:picLocks noChangeArrowheads="1" noChangeAspect="1"/>
                    </pic:cNvPicPr>
                  </pic:nvPicPr>
                  <pic:blipFill>
                    <a:blip r:embed="rId40"/>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frente L (em cima) e frente M (embaixo): ocupância na segunda metade, contato com a serina catalítica e qualquer contato com o receptor; ✗ marca candidatos da frente M que falharam no critério estrito do anel e ✓ os que o cumpriram.</w:t>
      </w:r>
    </w:p>
    <w:bookmarkEnd w:id="43"/>
    <w:bookmarkStart w:id="47"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candidatos mais longos da frente M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na frente L, 10 na frente M), porque um mesmo posto não significa o mesmo em conjuntos de tamanhos diferentes." title="" id="45" name="Picture"/>
            <a:graphic>
              <a:graphicData uri="http://schemas.openxmlformats.org/drawingml/2006/picture">
                <pic:pic>
                  <pic:nvPicPr>
                    <pic:cNvPr descr="figures/final/Figure6_energy_ranking.png" id="46" name="Picture"/>
                    <pic:cNvPicPr>
                      <a:picLocks noChangeArrowheads="1" noChangeAspect="1"/>
                    </pic:cNvPicPr>
                  </pic:nvPicPr>
                  <pic:blipFill>
                    <a:blip r:embed="rId44"/>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na frente L, 10 na frente M), porque um mesmo posto não significa o mesmo em conjuntos de tamanhos diferentes.</w:t>
      </w:r>
    </w:p>
    <w:bookmarkEnd w:id="47"/>
    <w:bookmarkStart w:id="51"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por frente)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candidatos da frente M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candidato da frente M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frente L; verde-azulado: frente M; em destaque: NGGRPDAP, GGKPGEP, GQNDS e GGHSE." title="" id="49" name="Picture"/>
            <a:graphic>
              <a:graphicData uri="http://schemas.openxmlformats.org/drawingml/2006/picture">
                <pic:pic>
                  <pic:nvPicPr>
                    <pic:cNvPr descr="figures/final/Figure7_pH_comparison.png" id="50" name="Picture"/>
                    <pic:cNvPicPr>
                      <a:picLocks noChangeArrowheads="1" noChangeAspect="1"/>
                    </pic:cNvPicPr>
                  </pic:nvPicPr>
                  <pic:blipFill>
                    <a:blip r:embed="rId48"/>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frente L; verde-azulado: frente M; em destaque: NGGRPDAP, GGKPGEP, GQNDS e GGHSE.</w:t>
      </w:r>
    </w:p>
    <w:bookmarkEnd w:id="51"/>
    <w:bookmarkStart w:id="55"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a frente M e, na frente L,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3" name="Picture"/>
            <a:graphic>
              <a:graphicData uri="http://schemas.openxmlformats.org/drawingml/2006/picture">
                <pic:pic>
                  <pic:nvPicPr>
                    <pic:cNvPr descr="figures/final/Figure8_candidate_poses.png" id="54" name="Picture"/>
                    <pic:cNvPicPr>
                      <a:picLocks noChangeArrowheads="1" noChangeAspect="1"/>
                    </pic:cNvPicPr>
                  </pic:nvPicPr>
                  <pic:blipFill>
                    <a:blip r:embed="rId52"/>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5"/>
    <w:bookmarkEnd w:id="56"/>
    <w:bookmarkStart w:id="62" w:name="discussão"/>
    <w:p>
      <w:pPr>
        <w:pStyle w:val="Heading2"/>
      </w:pPr>
      <w:r>
        <w:t xml:space="preserve">4 Discussão</w:t>
      </w:r>
    </w:p>
    <w:bookmarkStart w:id="57"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não como limiar absoluto.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fechamento cabeça-cauda é a única restrição mantida, e só na frente M.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7"/>
    <w:bookmarkStart w:id="58"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sem entropia e o PRODIGY, treinado em complexos proteína–proteína (Vangone e Bonvin, 2015), são sensíveis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58"/>
    <w:bookmarkStart w:id="59"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os nove resíduos que as três especificidades primárias documentadas assumem em P1, ele deixa peptídeos com quase metade de glicina e só nove resíduos básicos, cada um protegido por uma prolina seguinte, uma exceção tirada da especificidade geral das enzimas e aproximada para cada espécie. O critério não proíbe todo P1 concebível: glicina e serina, que regras amplas de elastase também listam, foram mantidas, porque a enzima de Lepidoptera caracterizada até aqui é do tipo elastase-2, com P1 = Leu, e porque excluí-las deixa 13 dos 527 candidatos (Seções 2.4 e 3.3). A seleção troca, assim, um risco por outro — remove os sítios das enzimas que foram medidas nesses intestinos e enriquece peptídeos cujas posições P1 são resíduos pequenos que não foram — e o enriquecimento é consequência da regra, não evidência de estabilidade.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esqueleto fechado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Fechar o esqueleto remove as extremidades expostas, mas não os sítios internos (a frente M ganhou só 16 sequências sobre a frente L), e a aminopeptidase N, que precisa de um N-terminal livre, não é tratada na frente L.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59"/>
    <w:bookmarkStart w:id="60"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e só oito dos 15 resíduos de ponto quente chegaram ao RFdiffusion. A difusão foi feita com as extremidades do esqueleto unidas, de modo que a frente L toma o mesmo conjunto de sequências com extremidades livres e o redobra com o Boltz-2, em vez de se apoiar numa campanha difundida para a forma aberta; um esqueleto difundido como peptídeo linear poderia dar sequências diferentes, e nenhuma comparação feita aqui separa o efeito da forma do dessa assimetria. (v) O critério de não clivabilidade é uma previsão em nível de motivo: cobre os resíduos P1 das atividades tipo tripsina e tipo quimotripsina/elastase-2 medidas em intestino médio de Lepidoptera, acrescenta Ala e Val por uma especificidade tipo elastase-1 não caracterizada nessas espécies e deixa glicina e serina sem exclusão, de modo que atividade de P1 pequeno e de oligopeptidases não é tratada; a exceção K/R–Pro é estatística e a aminopeptidase N não é excluída na frente L.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0"/>
    <w:bookmarkStart w:id="61"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1"/>
    <w:bookmarkEnd w:id="62"/>
    <w:bookmarkStart w:id="63"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apenas ordenam candidatos contra o mesmo receptor;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3"/>
    <w:bookmarkStart w:id="64"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4"/>
    <w:bookmarkStart w:id="65"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5"/>
    <w:bookmarkStart w:id="66"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6"/>
    <w:bookmarkStart w:id="67" w:name="financiamento"/>
    <w:p>
      <w:pPr>
        <w:pStyle w:val="Heading2"/>
      </w:pPr>
      <w:r>
        <w:t xml:space="preserve">Financiamento</w:t>
      </w:r>
    </w:p>
    <w:p>
      <w:pPr>
        <w:pStyle w:val="FirstParagraph"/>
      </w:pPr>
      <w:r>
        <w:rPr>
          <w:rStyle w:val="Pendente"/>
        </w:rPr>
        <w:t xml:space="preserve">PENDENTE: a completar pelos autores.</w:t>
      </w:r>
    </w:p>
    <w:bookmarkEnd w:id="67"/>
    <w:bookmarkStart w:id="68" w:name="agradecimentos"/>
    <w:p>
      <w:pPr>
        <w:pStyle w:val="Heading2"/>
      </w:pPr>
      <w:r>
        <w:t xml:space="preserve">Agradecimentos</w:t>
      </w:r>
    </w:p>
    <w:p>
      <w:pPr>
        <w:pStyle w:val="FirstParagraph"/>
      </w:pPr>
      <w:r>
        <w:rPr>
          <w:rStyle w:val="Pendente"/>
        </w:rPr>
        <w:t xml:space="preserve">PENDENTE: a completar pelos autores.</w:t>
      </w:r>
    </w:p>
    <w:bookmarkEnd w:id="68"/>
    <w:bookmarkStart w:id="69"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9"/>
    <w:bookmarkStart w:id="70"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0"/>
    <w:bookmarkStart w:id="71" w:name="material-suplementar"/>
    <w:p>
      <w:pPr>
        <w:pStyle w:val="Heading2"/>
      </w:pPr>
      <w:r>
        <w:t xml:space="preserve">Material suplementar</w:t>
      </w:r>
    </w:p>
    <w:p>
      <w:pPr>
        <w:pStyle w:val="FirstParagraph"/>
      </w:pPr>
      <w:r>
        <w:t xml:space="preserve">As Figuras S1–S11 e as Tabelas S1–S3 (legendas e tabelas abaixo) são fornecidas como material suplementar.</w:t>
      </w:r>
    </w:p>
    <w:bookmarkEnd w:id="71"/>
    <w:bookmarkStart w:id="102"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3" name="Picture"/>
            <a:graphic>
              <a:graphicData uri="http://schemas.openxmlformats.org/drawingml/2006/picture">
                <pic:pic>
                  <pic:nvPicPr>
                    <pic:cNvPr descr="figures/pt/fig2_regra_dura.png" id="74" name="Picture"/>
                    <pic:cNvPicPr>
                      <a:picLocks noChangeArrowheads="1" noChangeAspect="1"/>
                    </pic:cNvPicPr>
                  </pic:nvPicPr>
                  <pic:blipFill>
                    <a:blip r:embed="rId72"/>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6" name="Picture"/>
            <a:graphic>
              <a:graphicData uri="http://schemas.openxmlformats.org/drawingml/2006/picture">
                <pic:pic>
                  <pic:nvPicPr>
                    <pic:cNvPr descr="figures/final/FigureS2_motif_screen.png" id="77" name="Picture"/>
                    <pic:cNvPicPr>
                      <a:picLocks noChangeArrowheads="1" noChangeAspect="1"/>
                    </pic:cNvPicPr>
                  </pic:nvPicPr>
                  <pic:blipFill>
                    <a:blip r:embed="rId75"/>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79" name="Picture"/>
            <a:graphic>
              <a:graphicData uri="http://schemas.openxmlformats.org/drawingml/2006/picture">
                <pic:pic>
                  <pic:nvPicPr>
                    <pic:cNvPr descr="figures/pt/fig6_composicao.png" id="80" name="Picture"/>
                    <pic:cNvPicPr>
                      <a:picLocks noChangeArrowheads="1" noChangeAspect="1"/>
                    </pic:cNvPicPr>
                  </pic:nvPicPr>
                  <pic:blipFill>
                    <a:blip r:embed="rId78"/>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2" name="Picture"/>
            <a:graphic>
              <a:graphicData uri="http://schemas.openxmlformats.org/drawingml/2006/picture">
                <pic:pic>
                  <pic:nvPicPr>
                    <pic:cNvPr descr="figures/pt/fig9_reescore_e2.png" id="83" name="Picture"/>
                    <pic:cNvPicPr>
                      <a:picLocks noChangeArrowheads="1" noChangeAspect="1"/>
                    </pic:cNvPicPr>
                  </pic:nvPicPr>
                  <pic:blipFill>
                    <a:blip r:embed="rId81"/>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5" name="Picture"/>
            <a:graphic>
              <a:graphicData uri="http://schemas.openxmlformats.org/drawingml/2006/picture">
                <pic:pic>
                  <pic:nvPicPr>
                    <pic:cNvPr descr="figures/pt/fig10_top3_pose.png" id="86" name="Picture"/>
                    <pic:cNvPicPr>
                      <a:picLocks noChangeArrowheads="1" noChangeAspect="1"/>
                    </pic:cNvPicPr>
                  </pic:nvPicPr>
                  <pic:blipFill>
                    <a:blip r:embed="rId84"/>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a ligação de fechamento nas simulações da frente M de A. gemmatalis (10 ns, pH 10,0): distância C–N de fechamento, ângulo ω de fechamento em valor absoluto ao longo do tempo e distribuição de ω. Linhas tracejadas: os limites declarados de antemão (C–N ≤ 1,5 Å, ω ≥ 150°)." title="" id="88" name="Picture"/>
            <a:graphic>
              <a:graphicData uri="http://schemas.openxmlformats.org/drawingml/2006/picture">
                <pic:pic>
                  <pic:nvPicPr>
                    <pic:cNvPr descr="figures/pt/figS2_anel_ciclico_charmm36.png" id="89" name="Picture"/>
                    <pic:cNvPicPr>
                      <a:picLocks noChangeArrowheads="1" noChangeAspect="1"/>
                    </pic:cNvPicPr>
                  </pic:nvPicPr>
                  <pic:blipFill>
                    <a:blip r:embed="rId87"/>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da ligação de fechamento nas simulações da frente M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1" name="Picture"/>
            <a:graphic>
              <a:graphicData uri="http://schemas.openxmlformats.org/drawingml/2006/picture">
                <pic:pic>
                  <pic:nvPicPr>
                    <pic:cNvPr descr="figures/pt/fig12_candidatos_finais.png" id="92" name="Picture"/>
                    <pic:cNvPicPr>
                      <a:picLocks noChangeArrowheads="1" noChangeAspect="1"/>
                    </pic:cNvPicPr>
                  </pic:nvPicPr>
                  <pic:blipFill>
                    <a:blip r:embed="rId90"/>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as 1.829 sequências resistentes da primeira rodada: ipTM e pLDDT do complexo por espécie e ipTM médio por comprimento." title="" id="94" name="Picture"/>
            <a:graphic>
              <a:graphicData uri="http://schemas.openxmlformats.org/drawingml/2006/picture">
                <pic:pic>
                  <pic:nvPicPr>
                    <pic:cNvPr descr="figures/pt/fig7_boltz2_1a_rodada.png" id="95" name="Picture"/>
                    <pic:cNvPicPr>
                      <a:picLocks noChangeArrowheads="1" noChangeAspect="1"/>
                    </pic:cNvPicPr>
                  </pic:nvPicPr>
                  <pic:blipFill>
                    <a:blip r:embed="rId93"/>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das 1.829 sequências resistentes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7" name="Picture"/>
            <a:graphic>
              <a:graphicData uri="http://schemas.openxmlformats.org/drawingml/2006/picture">
                <pic:pic>
                  <pic:nvPicPr>
                    <pic:cNvPr descr="figures/pt/figS1_regras_motivo.png" id="98" name="Picture"/>
                    <pic:cNvPicPr>
                      <a:picLocks noChangeArrowheads="1" noChangeAspect="1"/>
                    </pic:cNvPicPr>
                  </pic:nvPicPr>
                  <pic:blipFill>
                    <a:blip r:embed="rId96"/>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0" name="Picture"/>
            <a:graphic>
              <a:graphicData uri="http://schemas.openxmlformats.org/drawingml/2006/picture">
                <pic:pic>
                  <pic:nvPicPr>
                    <pic:cNvPr descr="figures/final/FigureS10_energy_trajectories.png" id="101" name="Picture"/>
                    <pic:cNvPicPr>
                      <a:picLocks noChangeArrowheads="1" noChangeAspect="1"/>
                    </pic:cNvPicPr>
                  </pic:nvPicPr>
                  <pic:blipFill>
                    <a:blip r:embed="rId99"/>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2"/>
    <w:bookmarkStart w:id="103" w:name="tabelas-suplementares"/>
    <w:p>
      <w:pPr>
        <w:pStyle w:val="Heading2"/>
      </w:pPr>
      <w:r>
        <w:t xml:space="preserve">Tabelas suplementares</w:t>
      </w:r>
    </w:p>
    <w:p>
      <w:pPr>
        <w:pStyle w:val="FirstParagraph"/>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p>
      <w:pPr>
        <w:pStyle w:val="BodyText"/>
      </w:pPr>
      <w:r>
        <w:rPr>
          <w:b/>
          <w:bCs/>
        </w:rPr>
        <w:t xml:space="preserve">Tabela S2.</w:t>
      </w:r>
      <w:r>
        <w:t xml:space="preserve"> </w:t>
      </w:r>
      <w:r>
        <w:t xml:space="preserve">Tríade catalítica e bolsão S1 dos dez receptores (modelos do AlphaFold). As posições estão na numeração do modelo; a coluna da tripsina bovina (P00760) dá a numeração de referência. Negrito: resíduo diferente do da tripsina bovina. O bolsão S1 é o conjunto dos 14 resíduos da tripsina em contato com o P1 em 2PTC e 1SFI (Tabela S1); a His57 e a Ser195 pertencem a ele e aparecem uma só vez, na tríade. O Asp189 é o resíduo de especificidade. Distâncias: NE2 da His à OG da Ser e ND1 da His ao oxigênio do carboxilato do Asp102 mais próximo, no modelo. Dados:</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Grupo</w:t>
            </w:r>
          </w:p>
        </w:tc>
        <w:tc>
          <w:tcPr/>
          <w:p>
            <w:pPr>
              <w:pStyle w:val="Compact"/>
              <w:spacing w:line="240" w:lineRule="auto"/>
            </w:pPr>
            <w:r>
              <w:rPr>
                <w:b/>
                <w:sz w:val="18"/>
              </w:rPr>
              <w:t xml:space="preserve">Posição</w:t>
            </w:r>
          </w:p>
        </w:tc>
        <w:tc>
          <w:tcPr/>
          <w:p>
            <w:pPr>
              <w:pStyle w:val="Compact"/>
              <w:spacing w:line="240" w:lineRule="auto"/>
            </w:pPr>
            <w:r>
              <w:rPr>
                <w:b/>
                <w:sz w:val="18"/>
              </w:rPr>
              <w:t xml:space="preserve">Tripsina bovina</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Tríade catalítica</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Bolsão S1</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p>
      <w:pPr>
        <w:pStyle w:val="BodyText"/>
      </w:pPr>
      <w:r>
        <w:rPr>
          <w:b/>
          <w:bCs/>
        </w:rPr>
        <w:t xml:space="preserve">Tabela S3.</w:t>
      </w:r>
      <w:r>
        <w:t xml:space="preserve"> </w:t>
      </w:r>
      <w:r>
        <w:t xml:space="preserve">Cada filtro e limiar do fluxo, com sua base.</w:t>
      </w:r>
      <w:r>
        <w:t xml:space="preserve"> </w:t>
      </w:r>
      <w:r>
        <w:t xml:space="preserve">“Operacional”</w:t>
      </w:r>
      <w:r>
        <w:t xml:space="preserve"> </w:t>
      </w:r>
      <w:r>
        <w:t xml:space="preserve">quer dizer que o valor foi fixado antes de a etapa ser executada e não tem base na literatura; ele é informado para que o efeito da escolha possa ser julgado.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Decisão</w:t>
            </w:r>
          </w:p>
        </w:tc>
        <w:tc>
          <w:tcPr/>
          <w:p>
            <w:pPr>
              <w:pStyle w:val="Compact"/>
              <w:spacing w:line="240" w:lineRule="auto"/>
            </w:pPr>
            <w:r>
              <w:rPr>
                <w:b/>
                <w:sz w:val="18"/>
              </w:rPr>
              <w:t xml:space="preserve">Base</w:t>
            </w:r>
          </w:p>
        </w:tc>
      </w:tr>
      <w:tr>
        <w:tc>
          <w:tcPr/>
          <w:p>
            <w:pPr>
              <w:pStyle w:val="Compact"/>
              <w:spacing w:line="240" w:lineRule="auto"/>
            </w:pPr>
            <w:r>
              <w:rPr>
                <w:sz w:val="18"/>
              </w:rPr>
              <w:t xml:space="preserve">Receptores (2.1)</w:t>
            </w:r>
          </w:p>
        </w:tc>
        <w:tc>
          <w:tcPr/>
          <w:p>
            <w:pPr>
              <w:pStyle w:val="Compact"/>
              <w:spacing w:line="240" w:lineRule="auto"/>
            </w:pPr>
            <w:r>
              <w:rPr>
                <w:sz w:val="18"/>
              </w:rPr>
              <w:t xml:space="preserve">Resíduo de especificidade seis posições antes da serina catalítica, motivo G[DN]SGG[PT]</w:t>
            </w:r>
          </w:p>
        </w:tc>
        <w:tc>
          <w:tcPr/>
          <w:p>
            <w:pPr>
              <w:pStyle w:val="Compact"/>
              <w:spacing w:line="240" w:lineRule="auto"/>
            </w:pPr>
            <w:r>
              <w:rPr>
                <w:sz w:val="18"/>
              </w:rPr>
              <w:t xml:space="preserve">Deslocamento calibrado na tripsina bovina (UniProt Consortium, 2025); S1 definido pelo Asp189 (Perona e Craik, 1995; Hedstrom, 2002)</w:t>
            </w:r>
          </w:p>
        </w:tc>
      </w:tr>
      <w:tr>
        <w:tc>
          <w:tcPr/>
          <w:p>
            <w:pPr>
              <w:pStyle w:val="Compact"/>
              <w:spacing w:line="240" w:lineRule="auto"/>
            </w:pPr>
            <w:r>
              <w:rPr>
                <w:sz w:val="18"/>
              </w:rPr>
              <w:t xml:space="preserve">Transferência de subsítios (2.1)</w:t>
            </w:r>
          </w:p>
        </w:tc>
        <w:tc>
          <w:tcPr/>
          <w:p>
            <w:pPr>
              <w:pStyle w:val="Compact"/>
              <w:spacing w:line="240" w:lineRule="auto"/>
            </w:pPr>
            <w:r>
              <w:rPr>
                <w:sz w:val="18"/>
              </w:rPr>
              <w:t xml:space="preserve">Contato a 4,5 Å; TM-score ≥ 0,5; RMSD ≤ 3,0 Å</w:t>
            </w:r>
          </w:p>
        </w:tc>
        <w:tc>
          <w:tcPr/>
          <w:p>
            <w:pPr>
              <w:pStyle w:val="Compact"/>
              <w:spacing w:line="240" w:lineRule="auto"/>
            </w:pPr>
            <w:r>
              <w:rPr>
                <w:sz w:val="18"/>
              </w:rPr>
              <w:t xml:space="preserve">Nomenclatura dos subsítios (Schechter e Berger, 1967); TM-score 0,5 como fronteira de enovelamento (Xu e Zhang, 2010); distância de contato e limite de RMSD operacionais</w:t>
            </w:r>
          </w:p>
        </w:tc>
      </w:tr>
      <w:tr>
        <w:tc>
          <w:tcPr/>
          <w:p>
            <w:pPr>
              <w:pStyle w:val="Compact"/>
              <w:spacing w:line="240" w:lineRule="auto"/>
            </w:pPr>
            <w:r>
              <w:rPr>
                <w:sz w:val="18"/>
              </w:rPr>
              <w:t xml:space="preserve">Calibração (2.2)</w:t>
            </w:r>
          </w:p>
        </w:tc>
        <w:tc>
          <w:tcPr/>
          <w:p>
            <w:pPr>
              <w:pStyle w:val="Compact"/>
              <w:spacing w:line="240" w:lineRule="auto"/>
            </w:pPr>
            <w:r>
              <w:rPr>
                <w:sz w:val="18"/>
              </w:rPr>
              <w:t xml:space="preserve">O inibidor real tem de pontuar acima de sua isca embaralhada, com direção fixada de antemão; seis inibidores, dois receptores</w:t>
            </w:r>
          </w:p>
        </w:tc>
        <w:tc>
          <w:tcPr/>
          <w:p>
            <w:pPr>
              <w:pStyle w:val="Compact"/>
              <w:spacing w:line="240" w:lineRule="auto"/>
            </w:pPr>
            <w:r>
              <w:rPr>
                <w:sz w:val="18"/>
              </w:rPr>
              <w:t xml:space="preserve">Só comparação pareada, porque a confiança de modelos de aprendizado profundo é medida absoluta fraca de afinidade (Wan et al., 2026; Li et al., 2026)</w:t>
            </w:r>
          </w:p>
        </w:tc>
      </w:tr>
      <w:tr>
        <w:tc>
          <w:tcPr/>
          <w:p>
            <w:pPr>
              <w:pStyle w:val="Compact"/>
              <w:spacing w:line="240" w:lineRule="auto"/>
            </w:pPr>
            <w:r>
              <w:rPr>
                <w:sz w:val="18"/>
              </w:rPr>
              <w:t xml:space="preserve">Esqueleto (2.3)</w:t>
            </w:r>
          </w:p>
        </w:tc>
        <w:tc>
          <w:tcPr/>
          <w:p>
            <w:pPr>
              <w:pStyle w:val="Compact"/>
              <w:spacing w:line="240" w:lineRule="auto"/>
            </w:pPr>
            <w:r>
              <w:rPr>
                <w:sz w:val="18"/>
              </w:rPr>
              <w:t xml:space="preserve">Difusão com as extremidades unidas (fechamento cabeça-cauda) nos 880 esqueletos; as duas formas químicas são então avaliadas como frentes L e M</w:t>
            </w:r>
          </w:p>
        </w:tc>
        <w:tc>
          <w:tcPr/>
          <w:p>
            <w:pPr>
              <w:pStyle w:val="Compact"/>
              <w:spacing w:line="240" w:lineRule="auto"/>
            </w:pPr>
            <w:r>
              <w:rPr>
                <w:sz w:val="18"/>
              </w:rPr>
              <w:t xml:space="preserve">A SFTI-1 é um macrociclo cabeça-cauda natural (Luckett et al., 1999); a rigidez da alça aumenta afinidade e resistência à proteólise (Kelly et al., 2005); peptídeos bicíclicos de alças de inibidores foram dez vezes mais potentes que os lineares (Saikhedkar et al., 2019)</w:t>
            </w:r>
          </w:p>
        </w:tc>
      </w:tr>
      <w:tr>
        <w:tc>
          <w:tcPr/>
          <w:p>
            <w:pPr>
              <w:pStyle w:val="Compact"/>
              <w:spacing w:line="240" w:lineRule="auto"/>
            </w:pPr>
            <w:r>
              <w:rPr>
                <w:sz w:val="18"/>
              </w:rPr>
              <w:t xml:space="preserve">Desenho de sequências (2.3)</w:t>
            </w:r>
          </w:p>
        </w:tc>
        <w:tc>
          <w:tcPr/>
          <w:p>
            <w:pPr>
              <w:pStyle w:val="Compact"/>
              <w:spacing w:line="240" w:lineRule="auto"/>
            </w:pPr>
            <w:r>
              <w:rPr>
                <w:sz w:val="18"/>
              </w:rPr>
              <w:t xml:space="preserve">Cisteína excluída</w:t>
            </w:r>
          </w:p>
        </w:tc>
        <w:tc>
          <w:tcPr/>
          <w:p>
            <w:pPr>
              <w:pStyle w:val="Compact"/>
              <w:spacing w:line="240" w:lineRule="auto"/>
            </w:pPr>
            <w:r>
              <w:rPr>
                <w:sz w:val="18"/>
              </w:rPr>
              <w:t xml:space="preserve">O potencial redox do intestino médio varia entre lagartas, redutor em algumas espécies e oxidante em outras (Appel e Martin, 1990; Johnson e Felton, 1996), de modo que uma ponte dissulfeto não é restrição transferível</w:t>
            </w:r>
          </w:p>
        </w:tc>
      </w:tr>
      <w:tr>
        <w:tc>
          <w:tcPr/>
          <w:p>
            <w:pPr>
              <w:pStyle w:val="Compact"/>
              <w:spacing w:line="240" w:lineRule="auto"/>
            </w:pPr>
            <w:r>
              <w:rPr>
                <w:sz w:val="18"/>
              </w:rPr>
              <w:t xml:space="preserve">Desenho de sequências (2.3)</w:t>
            </w:r>
          </w:p>
        </w:tc>
        <w:tc>
          <w:tcPr/>
          <w:p>
            <w:pPr>
              <w:pStyle w:val="Compact"/>
              <w:spacing w:line="240" w:lineRule="auto"/>
            </w:pPr>
            <w:r>
              <w:rPr>
                <w:sz w:val="18"/>
              </w:rPr>
              <w:t xml:space="preserve">Comprimentos de 5 a 20 resíduos</w:t>
            </w:r>
          </w:p>
        </w:tc>
        <w:tc>
          <w:tcPr/>
          <w:p>
            <w:pPr>
              <w:pStyle w:val="Compact"/>
              <w:spacing w:line="240" w:lineRule="auto"/>
            </w:pPr>
            <w:r>
              <w:rPr>
                <w:sz w:val="18"/>
              </w:rPr>
              <w:t xml:space="preserve">Abrange os peptídeos ensaiados contra tripsinas de Lepidoptera, dos tripeptídeos (de Almeida Barros et al., 2021) à SFTI-1, de 14 resíduos (Luckett et al., 1999)</w:t>
            </w:r>
          </w:p>
        </w:tc>
      </w:tr>
      <w:tr>
        <w:tc>
          <w:tcPr/>
          <w:p>
            <w:pPr>
              <w:pStyle w:val="Compact"/>
              <w:spacing w:line="240" w:lineRule="auto"/>
            </w:pPr>
            <w:r>
              <w:rPr>
                <w:sz w:val="18"/>
              </w:rPr>
              <w:t xml:space="preserve">Triagem por motivos (2.4)</w:t>
            </w:r>
          </w:p>
        </w:tc>
        <w:tc>
          <w:tcPr/>
          <w:p>
            <w:pPr>
              <w:pStyle w:val="Compact"/>
              <w:spacing w:line="240" w:lineRule="auto"/>
            </w:pPr>
            <w:r>
              <w:rPr>
                <w:sz w:val="18"/>
              </w:rPr>
              <w:t xml:space="preserve">Sete regras de motivo P1, varredura circular; RESISTENTE abaixo de 0,3, MARGINAL abaixo de 0,5</w:t>
            </w:r>
          </w:p>
        </w:tc>
        <w:tc>
          <w:tcPr/>
          <w:p>
            <w:pPr>
              <w:pStyle w:val="Compact"/>
              <w:spacing w:line="240" w:lineRule="auto"/>
            </w:pPr>
            <w:r>
              <w:rPr>
                <w:sz w:val="18"/>
              </w:rPr>
              <w:t xml:space="preserve">Conjunto de regras do PeptideCutter (Gasteiger et al., 2005); os dois cortes são operacionais</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K e R proibidos</w:t>
            </w:r>
          </w:p>
        </w:tc>
        <w:tc>
          <w:tcPr/>
          <w:p>
            <w:pPr>
              <w:pStyle w:val="Compact"/>
              <w:spacing w:line="240" w:lineRule="auto"/>
            </w:pPr>
            <w:r>
              <w:rPr>
                <w:sz w:val="18"/>
              </w:rPr>
              <w:t xml:space="preserve">As enzimas tipo tripsina são as principais proteases digestivas (da Silva Júnior et al., 2020; de Almeida Barros et al., 2021; Valaitis, 1995) e exigem K/R em P1 (Perona e Craik, 1995; Patarroyo-Vargas et al., 2017)</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F, Y, W, L e M proibidos</w:t>
            </w:r>
          </w:p>
        </w:tc>
        <w:tc>
          <w:tcPr/>
          <w:p>
            <w:pPr>
              <w:pStyle w:val="Compact"/>
              <w:spacing w:line="240" w:lineRule="auto"/>
            </w:pPr>
            <w:r>
              <w:rPr>
                <w:sz w:val="18"/>
              </w:rPr>
              <w:t xml:space="preserve">Enzima tipo elastase-2 com P1 = Leu (Valaitis, 1995); quimotripsina que hidrolisa os substratos com Phe e com Leu (Valaitis et al., 1999); enzimas tipo quimotripsina das espécies-praga (Yang et al., 2013; Zhan et al., 2011; Nakonieczny et al., 2007)</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A e V proibidos</w:t>
            </w:r>
          </w:p>
        </w:tc>
        <w:tc>
          <w:tcPr/>
          <w:p>
            <w:pPr>
              <w:pStyle w:val="Compact"/>
              <w:spacing w:line="240" w:lineRule="auto"/>
            </w:pPr>
            <w:r>
              <w:rPr>
                <w:sz w:val="18"/>
              </w:rPr>
              <w:t xml:space="preserve">P1 alifático pequeno das enzimas tipo elastase-1 (Gasteiger et al., 2005; Rawlings et al., 2018); conservador, não caracterizado nessas espécies</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G e S permitidos</w:t>
            </w:r>
          </w:p>
        </w:tc>
        <w:tc>
          <w:tcPr/>
          <w:p>
            <w:pPr>
              <w:pStyle w:val="Compact"/>
              <w:spacing w:line="240" w:lineRule="auto"/>
            </w:pPr>
            <w:r>
              <w:rPr>
                <w:sz w:val="18"/>
              </w:rPr>
              <w:t xml:space="preserve">A atividade caracterizada em Lepidoptera é do tipo elastase-2; excluí-los deixa 13 dos 527 candidatos (3.3). Risco residual declarado</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Exceção quando P1′ = prolina</w:t>
            </w:r>
          </w:p>
        </w:tc>
        <w:tc>
          <w:tcPr/>
          <w:p>
            <w:pPr>
              <w:pStyle w:val="Compact"/>
              <w:spacing w:line="240" w:lineRule="auto"/>
            </w:pPr>
            <w:r>
              <w:rPr>
                <w:sz w:val="18"/>
              </w:rPr>
              <w:t xml:space="preserve">A prolina bloqueia ou retarda a clivagem nas regras compiladas (Gasteiger et al., 2005; Rawlings et al., 2018); estatística, não absoluta (Rodriguez et al., 2008; Pan et al., 2014)</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C-terminal livre também triado, isoleucina incluída</w:t>
            </w:r>
          </w:p>
        </w:tc>
        <w:tc>
          <w:tcPr/>
          <w:p>
            <w:pPr>
              <w:pStyle w:val="Compact"/>
              <w:spacing w:line="240" w:lineRule="auto"/>
            </w:pPr>
            <w:r>
              <w:rPr>
                <w:sz w:val="18"/>
              </w:rPr>
              <w:t xml:space="preserve">A carboxipeptidase A predomina no intestino médio de Lepidoptera, com carboxipeptidase B em nível mais baixo (Bown et al., 1998; Valaitis et al., 1999); especificidades por resíduos C-terminais hidrofóbicos e básicos (Rawlings et al., 2018)</w:t>
            </w:r>
          </w:p>
        </w:tc>
      </w:tr>
      <w:tr>
        <w:tc>
          <w:tcPr/>
          <w:p>
            <w:pPr>
              <w:pStyle w:val="Compact"/>
              <w:spacing w:line="240" w:lineRule="auto"/>
            </w:pPr>
            <w:r>
              <w:rPr>
                <w:sz w:val="18"/>
              </w:rPr>
              <w:t xml:space="preserve">Co-dobramento (2.5)</w:t>
            </w:r>
          </w:p>
        </w:tc>
        <w:tc>
          <w:tcPr/>
          <w:p>
            <w:pPr>
              <w:pStyle w:val="Compact"/>
              <w:spacing w:line="240" w:lineRule="auto"/>
            </w:pPr>
            <w:r>
              <w:rPr>
                <w:sz w:val="18"/>
              </w:rPr>
              <w:t xml:space="preserve">Usada a confiança do Boltz-2; a saída de afinidade não foi usada</w:t>
            </w:r>
          </w:p>
        </w:tc>
        <w:tc>
          <w:tcPr/>
          <w:p>
            <w:pPr>
              <w:pStyle w:val="Compact"/>
              <w:spacing w:line="240" w:lineRule="auto"/>
            </w:pPr>
            <w:r>
              <w:rPr>
                <w:sz w:val="18"/>
              </w:rPr>
              <w:t xml:space="preserve">As predições de afinidade não têm resolução energética para este uso (Wan et al., 2026)</w:t>
            </w:r>
          </w:p>
        </w:tc>
      </w:tr>
      <w:tr>
        <w:tc>
          <w:tcPr/>
          <w:p>
            <w:pPr>
              <w:pStyle w:val="Compact"/>
              <w:spacing w:line="240" w:lineRule="auto"/>
            </w:pPr>
            <w:r>
              <w:rPr>
                <w:sz w:val="18"/>
              </w:rPr>
              <w:t xml:space="preserve">Qualidade de pose, E4 (2.5)</w:t>
            </w:r>
          </w:p>
        </w:tc>
        <w:tc>
          <w:tcPr/>
          <w:p>
            <w:pPr>
              <w:pStyle w:val="Compact"/>
              <w:spacing w:line="240" w:lineRule="auto"/>
            </w:pPr>
            <w:r>
              <w:rPr>
                <w:sz w:val="18"/>
              </w:rPr>
              <w:t xml:space="preserve">Contato ≥ 2,2 Å; |ω| ≥ 150°; quiralidade L; His57–Ser195 ≤ 3,8 Å; C–N de fechamento ≤ 1,5 Å</w:t>
            </w:r>
          </w:p>
        </w:tc>
        <w:tc>
          <w:tcPr/>
          <w:p>
            <w:pPr>
              <w:pStyle w:val="Compact"/>
              <w:spacing w:line="240" w:lineRule="auto"/>
            </w:pPr>
            <w:r>
              <w:rPr>
                <w:sz w:val="18"/>
              </w:rPr>
              <w:t xml:space="preserve">Operacional, fixado antes da etapa; a distância da tríade confere se o sítio catalítico está montado, como no painel de receptores (3.1)</w:t>
            </w:r>
          </w:p>
        </w:tc>
      </w:tr>
      <w:tr>
        <w:tc>
          <w:tcPr/>
          <w:p>
            <w:pPr>
              <w:pStyle w:val="Compact"/>
              <w:spacing w:line="240" w:lineRule="auto"/>
            </w:pPr>
            <w:r>
              <w:rPr>
                <w:sz w:val="18"/>
              </w:rPr>
              <w:t xml:space="preserve">Seleção para a DM (2.5)</w:t>
            </w:r>
          </w:p>
        </w:tc>
        <w:tc>
          <w:tcPr/>
          <w:p>
            <w:pPr>
              <w:pStyle w:val="Compact"/>
              <w:spacing w:line="240" w:lineRule="auto"/>
            </w:pPr>
            <w:r>
              <w:rPr>
                <w:sz w:val="18"/>
              </w:rPr>
              <w:t xml:space="preserve">Três candidatos por espécie e frente pela confiança média do E2; Δ não usado</w:t>
            </w:r>
          </w:p>
        </w:tc>
        <w:tc>
          <w:tcPr/>
          <w:p>
            <w:pPr>
              <w:pStyle w:val="Compact"/>
              <w:spacing w:line="240" w:lineRule="auto"/>
            </w:pPr>
            <w:r>
              <w:rPr>
                <w:sz w:val="18"/>
              </w:rPr>
              <w:t xml:space="preserve">Operacional; o Δ se apoia em três controles e é da ordem do ruído de predição (3.4)</w:t>
            </w:r>
          </w:p>
        </w:tc>
      </w:tr>
      <w:tr>
        <w:tc>
          <w:tcPr/>
          <w:p>
            <w:pPr>
              <w:pStyle w:val="Compact"/>
              <w:spacing w:line="240" w:lineRule="auto"/>
            </w:pPr>
            <w:r>
              <w:rPr>
                <w:sz w:val="18"/>
              </w:rPr>
              <w:t xml:space="preserve">Simulação (2.6)</w:t>
            </w:r>
          </w:p>
        </w:tc>
        <w:tc>
          <w:tcPr/>
          <w:p>
            <w:pPr>
              <w:pStyle w:val="Compact"/>
              <w:spacing w:line="240" w:lineRule="auto"/>
            </w:pPr>
            <w:r>
              <w:rPr>
                <w:sz w:val="18"/>
              </w:rPr>
              <w:t xml:space="preserve">pH 10,0 e pH 8,2</w:t>
            </w:r>
          </w:p>
        </w:tc>
        <w:tc>
          <w:tcPr/>
          <w:p>
            <w:pPr>
              <w:pStyle w:val="Compact"/>
              <w:spacing w:line="240" w:lineRule="auto"/>
            </w:pPr>
            <w:r>
              <w:rPr>
                <w:sz w:val="18"/>
              </w:rPr>
              <w:t xml:space="preserve">Intestino médio fortemente alcalino (Dow, 1992), extratos intestinais em pH 9,56–10,0 (Karumbaiah et al., 2007); o pH 8,2 é o do ensaio em que um</w:t>
            </w:r>
            <w:r>
              <w:rPr>
                <w:sz w:val="18"/>
              </w:rPr>
              <w:t xml:space="preserve"> </w:t>
            </w:r>
            <w:r>
              <w:rPr>
                <w:i/>
                <w:iCs/>
                <w:sz w:val="18"/>
              </w:rPr>
              <w:t xml:space="preserve">K</w:t>
            </w:r>
            <w:r>
              <w:rPr>
                <w:sz w:val="18"/>
                <w:vertAlign w:val="subscript"/>
              </w:rPr>
              <w:t xml:space="preserve">i</w:t>
            </w:r>
            <w:r>
              <w:rPr>
                <w:sz w:val="18"/>
              </w:rPr>
              <w:t xml:space="preserve"> </w:t>
            </w:r>
            <w:r>
              <w:rPr>
                <w:sz w:val="18"/>
              </w:rPr>
              <w:t xml:space="preserve">seria medido (Schultz et al., 2026)</w:t>
            </w:r>
          </w:p>
        </w:tc>
      </w:tr>
      <w:tr>
        <w:tc>
          <w:tcPr/>
          <w:p>
            <w:pPr>
              <w:pStyle w:val="Compact"/>
              <w:spacing w:line="240" w:lineRule="auto"/>
            </w:pPr>
            <w:r>
              <w:rPr>
                <w:sz w:val="18"/>
              </w:rPr>
              <w:t xml:space="preserve">Análise (2.7)</w:t>
            </w:r>
          </w:p>
        </w:tc>
        <w:tc>
          <w:tcPr/>
          <w:p>
            <w:pPr>
              <w:pStyle w:val="Compact"/>
              <w:spacing w:line="240" w:lineRule="auto"/>
            </w:pPr>
            <w:r>
              <w:rPr>
                <w:sz w:val="18"/>
              </w:rPr>
              <w:t xml:space="preserve">Ocupância de S1 a 5 Å; ocupância da segunda metade ≥ 70% (rebaixada a descrição em 2 de outubro de 2026)</w:t>
            </w:r>
          </w:p>
        </w:tc>
        <w:tc>
          <w:tcPr/>
          <w:p>
            <w:pPr>
              <w:pStyle w:val="Compact"/>
              <w:spacing w:line="240" w:lineRule="auto"/>
            </w:pPr>
            <w:r>
              <w:rPr>
                <w:sz w:val="18"/>
              </w:rPr>
              <w:t xml:space="preserve">Operacional; rebaixada porque o desfecho segue a pose inicial e toda isca a satisfaz (3.5)</w:t>
            </w:r>
          </w:p>
        </w:tc>
      </w:tr>
      <w:tr>
        <w:tc>
          <w:tcPr/>
          <w:p>
            <w:pPr>
              <w:pStyle w:val="Compact"/>
              <w:spacing w:line="240" w:lineRule="auto"/>
            </w:pPr>
            <w:r>
              <w:rPr>
                <w:sz w:val="18"/>
              </w:rPr>
              <w:t xml:space="preserve">Geometria de ataque (2.7)</w:t>
            </w:r>
          </w:p>
        </w:tc>
        <w:tc>
          <w:tcPr/>
          <w:p>
            <w:pPr>
              <w:pStyle w:val="Compact"/>
              <w:spacing w:line="240" w:lineRule="auto"/>
            </w:pPr>
            <w:r>
              <w:rPr>
                <w:sz w:val="18"/>
              </w:rPr>
              <w:t xml:space="preserve">Oγ–C &lt; 3,5 Å, ângulo 90–125°, oxiânion 3,5 Å</w:t>
            </w:r>
          </w:p>
        </w:tc>
        <w:tc>
          <w:tcPr/>
          <w:p>
            <w:pPr>
              <w:pStyle w:val="Compact"/>
              <w:spacing w:line="240" w:lineRule="auto"/>
            </w:pPr>
            <w:r>
              <w:rPr>
                <w:sz w:val="18"/>
              </w:rPr>
              <w:t xml:space="preserve">Descrição da catálise por confôrmeros quase de ataque (Hur e Bruice, 2003); trajetória de Bürgi–Dunitz para o ângulo (Bürgi et al., 1973); cortes operacionais e referidos a um controle interno (3.8)</w:t>
            </w:r>
          </w:p>
        </w:tc>
      </w:tr>
      <w:tr>
        <w:tc>
          <w:tcPr/>
          <w:p>
            <w:pPr>
              <w:pStyle w:val="Compact"/>
              <w:spacing w:line="240" w:lineRule="auto"/>
            </w:pPr>
            <w:r>
              <w:rPr>
                <w:sz w:val="18"/>
              </w:rPr>
              <w:t xml:space="preserve">Energia (2.8)</w:t>
            </w:r>
          </w:p>
        </w:tc>
        <w:tc>
          <w:tcPr/>
          <w:p>
            <w:pPr>
              <w:pStyle w:val="Compact"/>
              <w:spacing w:line="240" w:lineRule="auto"/>
            </w:pPr>
            <w:r>
              <w:rPr>
                <w:sz w:val="18"/>
              </w:rPr>
              <w:t xml:space="preserve">MM-GBSA de trajetória única, sem entropia; PRODIGY; classificação só dentro de uma frente</w:t>
            </w:r>
          </w:p>
        </w:tc>
        <w:tc>
          <w:tcPr/>
          <w:p>
            <w:pPr>
              <w:pStyle w:val="Compact"/>
              <w:spacing w:line="240" w:lineRule="auto"/>
            </w:pPr>
            <w:r>
              <w:rPr>
                <w:sz w:val="18"/>
              </w:rPr>
              <w:t xml:space="preserve">Os dois escores dependem da amostragem e do tipo de sistema (Hou et al., 2011; Genheden e Ryde, 2015; Xu et al., 2025); o PRODIGY foi treinado em interfaces proteína–proteína (Vangone e Bonvin, 2015)</w:t>
            </w:r>
          </w:p>
        </w:tc>
      </w:tr>
    </w:tbl>
    <w:bookmarkEnd w:id="103"/>
    <w:bookmarkStart w:id="10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Appel HM, Martin MM (1990). Gut redox conditions in herbivorous lepidopteran larvae. Journal of Chemical Ecology 16, 3277-3290. doi: 10.1007/BF00982098</w:t>
      </w:r>
    </w:p>
    <w:p>
      <w:pPr>
        <w:pStyle w:val="BodyText"/>
      </w:pPr>
      <w:r>
        <w:t xml:space="preserve">Berman HM, Westbrook J, Feng Z, Gilliland G, Bhat TN, Weissig H, et al. (2000). The Protein Data Bank. Nucleic Acids Research 28, 235-242. doi: 10.1093/nar/28.1.235</w:t>
      </w:r>
    </w:p>
    <w:p>
      <w:pPr>
        <w:pStyle w:val="BodyText"/>
      </w:pPr>
      <w:r>
        <w:t xml:space="preserve">Bown DP, Wilkinson HS, Gatehouse JA (1998). Midgut carboxypeptidase from Helicoverpa armigera (Lepidoptera: Noctuidae) larvae: enzyme characterisation, cDNA cloning and expression. Insect Biochemistry and Molecular Biology 28, 739-749. doi: 10.1016/S0965-1748(98)00067-8</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Bürgi HB, Dunitz JD, Shefter E (1973). Geometrical reaction coordinates. II. Nucleophilic addition to a carbonyl group. Journal of the American Chemical Society 95, 5065-5067. doi: 10.1021/ja00796a058</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Hur S, Bruice TC (2003). The near attack conformation approach to the study of the chorismate to prephenate reaction. Proceedings of the National Academy of Sciences 100, 12015-12020. doi: 10.1073/pnas.1534873100</w:t>
      </w:r>
    </w:p>
    <w:p>
      <w:pPr>
        <w:pStyle w:val="BodyText"/>
      </w:pPr>
      <w:r>
        <w:t xml:space="preserve">Johnson KS, Felton GW (1996). Physiological and dietary influences on midgut redox conditions in generalist lepidopteran larvae. Journal of Insect Physiology 42, 191-198. doi: 10.1016/0022-1910(95)00096-8</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Rawlings ND, Barrett AJ, Thomas PD, Huang X, Bateman A, Finn RD (2018). The MEROPS database of proteolytic enzymes, their substrates and inhibitors in 2017 and a comparison with peptidases in the PANTHER database. Nucleic Acids Research 46, D624-D632. doi: 10.1093/nar/gkx1134</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J, Zhang Y (2010). How significant is a protein structure similarity with TM-score = 0.5? Bioinformatics 26, 889-895. doi: 10.1093/bioinformatics/btq066</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4"/>
    <w:bookmarkEnd w:id="10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99" Type="http://schemas.openxmlformats.org/officeDocument/2006/relationships/image" Target="media/rId99.png"/><Relationship Id="rId75" Type="http://schemas.openxmlformats.org/officeDocument/2006/relationships/image" Target="media/rId75.png"/><Relationship Id="rId84" Type="http://schemas.openxmlformats.org/officeDocument/2006/relationships/image" Target="media/rId84.png"/><Relationship Id="rId40" Type="http://schemas.openxmlformats.org/officeDocument/2006/relationships/image" Target="media/rId40.png"/><Relationship Id="rId90" Type="http://schemas.openxmlformats.org/officeDocument/2006/relationships/image" Target="media/rId90.png"/><Relationship Id="rId72" Type="http://schemas.openxmlformats.org/officeDocument/2006/relationships/image" Target="media/rId72.png"/><Relationship Id="rId32" Type="http://schemas.openxmlformats.org/officeDocument/2006/relationships/image" Target="media/rId32.png"/><Relationship Id="rId78" Type="http://schemas.openxmlformats.org/officeDocument/2006/relationships/image" Target="media/rId78.png"/><Relationship Id="rId93" Type="http://schemas.openxmlformats.org/officeDocument/2006/relationships/image" Target="media/rId93.png"/><Relationship Id="rId36" Type="http://schemas.openxmlformats.org/officeDocument/2006/relationships/image" Target="media/rId36.png"/><Relationship Id="rId81" Type="http://schemas.openxmlformats.org/officeDocument/2006/relationships/image" Target="media/rId81.png"/><Relationship Id="rId96" Type="http://schemas.openxmlformats.org/officeDocument/2006/relationships/image" Target="media/rId96.png"/><Relationship Id="rId87" Type="http://schemas.openxmlformats.org/officeDocument/2006/relationships/image" Target="media/rId8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2026-10-20T00:25:41Z</dcterms:created>
  <dcterms:modified xsi:type="dcterms:W3CDTF">2026-10-20T00:25:41Z</dcterms:modified>
</cp:coreProperties>
</file>

<file path=docProps/custom.xml><?xml version="1.0" encoding="utf-8"?>
<Properties xmlns="http://schemas.openxmlformats.org/officeDocument/2006/custom-properties" xmlns:vt="http://schemas.openxmlformats.org/officeDocument/2006/docPropsVTypes"/>
</file>