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Computational design and triage of macrocyclic peptide candidates targeting digestive trypsins of lepidopteran soybean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de dinâmica molecular (Seção 3.7)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w:t>
            </w:r>
          </w:p>
        </w:tc>
        <w:tc>
          <w:tcPr/>
          <w:p>
            <w:pPr>
              <w:pStyle w:val="Compact"/>
              <w:spacing w:line="240" w:lineRule="auto"/>
            </w:pPr>
            <w:r>
              <w:rPr>
                <w:sz w:val="18"/>
              </w:rPr>
              <w:t xml:space="preserve">4,883 palavras no original em inglês (corpo sem tabelas, títulos e legendas; cada citação contada como uma palavra); tradução: 5,440</w:t>
            </w:r>
          </w:p>
        </w:tc>
        <w:tc>
          <w:tcPr/>
          <w:p>
            <w:pPr>
              <w:pStyle w:val="Compact"/>
              <w:spacing w:line="240" w:lineRule="auto"/>
            </w:pPr>
            <w:r>
              <w:rPr>
                <w:sz w:val="18"/>
              </w:rPr>
              <w:t xml:space="preserve">OK (há margem para a Seção 3.7)</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w:t>
            </w:r>
          </w:p>
        </w:tc>
        <w:tc>
          <w:tcPr/>
          <w:p>
            <w:pPr>
              <w:pStyle w:val="Compact"/>
              <w:spacing w:line="240" w:lineRule="auto"/>
            </w:pPr>
            <w:r>
              <w:rPr>
                <w:sz w:val="18"/>
              </w:rPr>
              <w:t xml:space="preserve">291 palavras no original em inglês (sem o trecho pendente); tradução: 335</w:t>
            </w:r>
          </w:p>
        </w:tc>
        <w:tc>
          <w:tcPr/>
          <w:p>
            <w:pPr>
              <w:pStyle w:val="Compact"/>
              <w:spacing w:line="240" w:lineRule="auto"/>
            </w:pPr>
            <w:r>
              <w:rPr>
                <w:sz w:val="18"/>
              </w:rPr>
              <w:t xml:space="preserve">OK (a frase de MD acrescentará cerca de 30 palavras)</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w:t>
            </w:r>
          </w:p>
        </w:tc>
        <w:tc>
          <w:tcPr/>
          <w:p>
            <w:pPr>
              <w:pStyle w:val="Compact"/>
              <w:spacing w:line="240" w:lineRule="auto"/>
            </w:pPr>
            <w:r>
              <w:rPr>
                <w:sz w:val="18"/>
              </w:rPr>
              <w:t xml:space="preserve">124 caracteres</w:t>
            </w:r>
          </w:p>
        </w:tc>
        <w:tc>
          <w:tcPr/>
          <w:p>
            <w:pPr>
              <w:pStyle w:val="Compact"/>
              <w:spacing w:line="240" w:lineRule="auto"/>
            </w:pPr>
            <w:r>
              <w:rPr>
                <w:sz w:val="18"/>
              </w:rPr>
              <w:t xml:space="preserve">conferir limite no site</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w:t>
            </w:r>
          </w:p>
        </w:tc>
        <w:tc>
          <w:tcPr/>
          <w:p>
            <w:pPr>
              <w:pStyle w:val="Compact"/>
              <w:spacing w:line="240" w:lineRule="auto"/>
            </w:pPr>
            <w:r>
              <w:rPr>
                <w:sz w:val="18"/>
              </w:rPr>
              <w:t xml:space="preserve">50 caracteres</w:t>
            </w:r>
          </w:p>
        </w:tc>
        <w:tc>
          <w:tcPr/>
          <w:p>
            <w:pPr>
              <w:pStyle w:val="Compact"/>
              <w:spacing w:line="240" w:lineRule="auto"/>
            </w:pPr>
            <w:r>
              <w:rPr>
                <w:sz w:val="18"/>
              </w:rPr>
              <w:t xml:space="preserve">conferir no site</w:t>
            </w:r>
          </w:p>
        </w:tc>
      </w:tr>
      <w:tr>
        <w:tc>
          <w:tcPr/>
          <w:p>
            <w:pPr>
              <w:pStyle w:val="Compact"/>
              <w:spacing w:line="240" w:lineRule="auto"/>
            </w:pPr>
            <w:r>
              <w:rPr>
                <w:sz w:val="18"/>
              </w:rPr>
              <w:t xml:space="preserve">Figuras</w:t>
            </w:r>
          </w:p>
        </w:tc>
        <w:tc>
          <w:tcPr/>
          <w:p>
            <w:pPr>
              <w:pStyle w:val="Compact"/>
              <w:spacing w:line="240" w:lineRule="auto"/>
            </w:pPr>
            <w:r>
              <w:rPr>
                <w:sz w:val="18"/>
              </w:rPr>
              <w:t xml:space="preserve">resolução mínima de 300 dpi, arquivos separados</w:t>
            </w:r>
          </w:p>
        </w:tc>
        <w:tc>
          <w:tcPr/>
          <w:p>
            <w:pPr>
              <w:pStyle w:val="Compact"/>
              <w:spacing w:line="240" w:lineRule="auto"/>
            </w:pPr>
            <w:r>
              <w:rPr>
                <w:sz w:val="18"/>
              </w:rPr>
              <w:t xml:space="preserve">3 figuras (PNG 300 dpi e PDF vetorial, largura 180 mm); a Figura 4 (MD) depende da Seção 3.7</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estilo Frontiers (autor-ano), com DOI</w:t>
            </w:r>
          </w:p>
        </w:tc>
        <w:tc>
          <w:tcPr/>
          <w:p>
            <w:pPr>
              <w:pStyle w:val="Compact"/>
              <w:spacing w:line="240" w:lineRule="auto"/>
            </w:pPr>
            <w:r>
              <w:rPr>
                <w:sz w:val="18"/>
              </w:rPr>
              <w:t xml:space="preserve">60 referências, todas resolvidas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código no repositório; falta confirmar visibilidade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não redigidos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exigida pela Frontiers</w:t>
            </w:r>
          </w:p>
        </w:tc>
        <w:tc>
          <w:tcPr/>
          <w:p>
            <w:pPr>
              <w:pStyle w:val="Compact"/>
              <w:spacing w:line="240" w:lineRule="auto"/>
            </w:pPr>
            <w:r>
              <w:rPr>
                <w:sz w:val="18"/>
              </w:rPr>
              <w:t xml:space="preserve">não redigida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quando aplicável</w:t>
            </w:r>
          </w:p>
        </w:tc>
        <w:tc>
          <w:tcPr/>
          <w:p>
            <w:pPr>
              <w:pStyle w:val="Compact"/>
              <w:spacing w:line="240" w:lineRule="auto"/>
            </w:pPr>
            <w:r>
              <w:rPr>
                <w:sz w:val="18"/>
              </w:rPr>
              <w:t xml:space="preserve">não se aplica (sem animais, humanos ou dados pessoais)</w:t>
            </w:r>
          </w:p>
        </w:tc>
        <w:tc>
          <w:tcPr/>
          <w:p>
            <w:pPr>
              <w:pStyle w:val="Compact"/>
              <w:spacing w:line="240" w:lineRule="auto"/>
            </w:pPr>
            <w:r>
              <w:rPr>
                <w:sz w:val="18"/>
              </w:rPr>
              <w:t xml:space="preserve">a declarar</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trabalho computacional sobre inibidores de origem natural como controles</w:t>
            </w:r>
          </w:p>
        </w:tc>
        <w:tc>
          <w:tcPr/>
          <w:p>
            <w:pPr>
              <w:pStyle w:val="Compact"/>
              <w:spacing w:line="240" w:lineRule="auto"/>
            </w:pPr>
            <w:r>
              <w:rPr>
                <w:sz w:val="18"/>
              </w:rPr>
              <w:t xml:space="preserve">risco a verificar</w:t>
            </w:r>
          </w:p>
        </w:tc>
      </w:tr>
    </w:tbl>
    <w:p>
      <w:pPr>
        <w:pStyle w:val="BodyText"/>
      </w:pPr>
      <w:r>
        <w:rPr>
          <w:b/>
          <w:bCs/>
        </w:rPr>
        <w:t xml:space="preserve">Fonte e certeza dos limites.</w:t>
      </w:r>
      <w:r>
        <w:t xml:space="preserve"> </w:t>
      </w:r>
      <w:r>
        <w:t xml:space="preserve">Os limites acima vêm de páginas de tipos de artigo de outras revistas Frontiers e de resultados de busca sobre a</w:t>
      </w:r>
      <w:r>
        <w:t xml:space="preserve"> </w:t>
      </w:r>
      <w:r>
        <w:rPr>
          <w:i/>
          <w:iCs/>
        </w:rPr>
        <w:t xml:space="preserve">Frontiers in Natural Products</w:t>
      </w:r>
      <w:r>
        <w:t xml:space="preserve"> </w:t>
      </w:r>
      <w:r>
        <w:t xml:space="preserve">(existência da seção</w:t>
      </w:r>
      <w:r>
        <w:t xml:space="preserve"> </w:t>
      </w:r>
      <w:r>
        <w:rPr>
          <w:i/>
          <w:iCs/>
        </w:rPr>
        <w:t xml:space="preserve">Informatics and Computational Methods</w:t>
      </w:r>
      <w:r>
        <w:t xml:space="preserve">, extensão de 12.000 palavras para Original Research). A página oficial de tipos de artigo da própria revista não pôde ser aberta nesta sessão; confira os limites de título, resumo e palavras-chave diretamente no site antes de submeter.</w:t>
      </w:r>
      <w:r>
        <w:t xml:space="preserve"> </w:t>
      </w:r>
      <w:r>
        <w:rPr>
          <w:b/>
          <w:bCs/>
        </w:rPr>
        <w:t xml:space="preserve">Risco de escopo:</w:t>
      </w:r>
      <w:r>
        <w:t xml:space="preserve"> </w:t>
      </w:r>
      <w:r>
        <w:t xml:space="preserve">a revista descreve a seção de atividades biológicas com</w:t>
      </w:r>
      <w:r>
        <w:t xml:space="preserve"> </w:t>
      </w:r>
      <w:r>
        <w:t xml:space="preserve">“análise</w:t>
      </w:r>
      <w:r>
        <w:t xml:space="preserve"> </w:t>
      </w:r>
      <w:r>
        <w:rPr>
          <w:i/>
          <w:iCs/>
        </w:rPr>
        <w:t xml:space="preserve">in silico</w:t>
      </w:r>
      <w:r>
        <w:t xml:space="preserve"> </w:t>
      </w:r>
      <w:r>
        <w:t xml:space="preserve">acompanhada de validação experimental”</w:t>
      </w:r>
      <w:r>
        <w:t xml:space="preserve">; este trabalho é puramente computacional e não afirma atividade. Vale confirmar com a revista se um estudo puramente computacional é aceito nessa seção.</w:t>
      </w:r>
    </w:p>
    <w:bookmarkEnd w:id="10"/>
    <w:bookmarkStart w:id="11" w:name="pendências-antes-da-submissão"/>
    <w:p>
      <w:pPr>
        <w:pStyle w:val="Heading2"/>
      </w:pPr>
      <w:r>
        <w:t xml:space="preserve">Pendências antes da submissão</w:t>
      </w:r>
    </w:p>
    <w:p>
      <w:pPr>
        <w:pStyle w:val="Compact"/>
        <w:numPr>
          <w:ilvl w:val="0"/>
          <w:numId w:val="1002"/>
        </w:numPr>
      </w:pPr>
      <w:r>
        <w:t xml:space="preserve">Seção 3.7 (dinâmica molecular de 50 ns dos melhores candidatos), frase de MD no Resumo e frase de MD na Seção 4.1: dependem de simulações em andamento no servidor.</w:t>
      </w:r>
    </w:p>
    <w:p>
      <w:pPr>
        <w:pStyle w:val="Compact"/>
        <w:numPr>
          <w:ilvl w:val="0"/>
          <w:numId w:val="1002"/>
        </w:numPr>
      </w:pPr>
      <w:r>
        <w:t xml:space="preserve">Figura 4 (ocupância de S1 por espécie), a gerar quando as simulações terminarem.</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1"/>
    <w:bookmarkEnd w:id="12"/>
    <w:bookmarkStart w:id="50" w:name="X92259beb692cc17d9694f515a0b6001115b3c8c"/>
    <w:p>
      <w:pPr>
        <w:pStyle w:val="Heading1"/>
        <w:pageBreakBefore/>
      </w:pPr>
      <w:r>
        <w:t xml:space="preserve">Desenho computacional e triagem de candidatos peptídicos macrocíclicos dirigidos às tripsinas digestivas de lepidópteros-praga da soja</w:t>
      </w:r>
    </w:p>
    <w:p>
      <w:pPr>
        <w:pStyle w:val="FirstParagraph"/>
      </w:pPr>
      <w:r>
        <w:rPr>
          <w:b/>
          <w:bCs/>
        </w:rPr>
        <w:t xml:space="preserve">Título curto:</w:t>
      </w:r>
      <w:r>
        <w:t xml:space="preserve"> </w:t>
      </w:r>
      <w:r>
        <w:t xml:space="preserve">Peptídeos macrocíclicos contra tripsinas de lepidópteros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 de protease, tripsina digestiva, Lepidoptera,</w:t>
      </w:r>
      <w:r>
        <w:t xml:space="preserve"> </w:t>
      </w:r>
      <w:r>
        <w:rPr>
          <w:i/>
          <w:iCs/>
        </w:rPr>
        <w:t xml:space="preserve">Anticarsia gemmatalis</w:t>
      </w:r>
      <w:r>
        <w:t xml:space="preserve">, peptídeo macrocíclico, RFdiffusion, Boltz-2, dinâmica molecular</w:t>
      </w:r>
    </w:p>
    <w:p>
      <w:r>
        <w:pict>
          <v:rect style="width:0;height:1.5pt" o:hralign="center" o:hrstd="t" o:hr="t"/>
        </w:pict>
      </w:r>
    </w:p>
    <w:bookmarkStart w:id="13" w:name="resumo"/>
    <w:p>
      <w:pPr>
        <w:pStyle w:val="Heading2"/>
      </w:pPr>
      <w:r>
        <w:t xml:space="preserve">Resumo</w:t>
      </w:r>
    </w:p>
    <w:p>
      <w:pPr>
        <w:pStyle w:val="FirstParagraph"/>
      </w:pPr>
      <w:r>
        <w:rPr>
          <w:b/>
          <w:bCs/>
        </w:rPr>
        <w:t xml:space="preserve">Introdução:</w:t>
      </w:r>
      <w:r>
        <w:t xml:space="preserve"> </w:t>
      </w:r>
      <w:r>
        <w:t xml:space="preserve">Peptídeos que imitam inibidores de proteases são candidatos ao controle de lepidópteros-praga da soja, mas os tripeptídeos descritos até agora inibem as tripsinas digestivas apenas em concentrações submilimolares a milimolares, e não se sabe se os escores atuais de aprendizado profundo conseguem ordenar peptídeos curtos desenhados.</w:t>
      </w:r>
      <w:r>
        <w:t xml:space="preserve"> </w:t>
      </w:r>
      <w:r>
        <w:rPr>
          <w:b/>
          <w:bCs/>
        </w:rPr>
        <w:t xml:space="preserve">Métodos:</w:t>
      </w:r>
      <w:r>
        <w:t xml:space="preserve"> </w:t>
      </w:r>
      <w:r>
        <w:t xml:space="preserve">Construímos um pipeline computacional para oito lepidópteros-praga, entre eles</w:t>
      </w:r>
      <w:r>
        <w:t xml:space="preserve"> </w:t>
      </w:r>
      <w:r>
        <w:rPr>
          <w:i/>
          <w:iCs/>
        </w:rPr>
        <w:t xml:space="preserve">Anticarsia gemmatalis</w:t>
      </w:r>
      <w:r>
        <w:t xml:space="preserve">. Os subsítios catalíticos foram transferidos de complexos cristalográficos para modelos AlphaFold com o Foldseek; uma escada de escores (co-dobramento com Boltz-2, dinâmica molecular, MM-GBSA) foi calibrada com seis inibidores naturais e iscas embaralhadas (</w:t>
      </w:r>
      <w:r>
        <w:rPr>
          <w:i/>
          <w:iCs/>
        </w:rPr>
        <w:t xml:space="preserve">decoys</w:t>
      </w:r>
      <w:r>
        <w:t xml:space="preserve">); macrociclos cabeça-cauda de 5–20 resíduos foram gerados com RFdiffusion e ProteinMPNN (880 esqueletos, 22.066 sequências únicas), triados quanto a motivos de clivagem por proteases e co-dobrados com o Boltz-2, e o melhor candidato de cada espécie foi simulado por 50 ns.</w:t>
      </w:r>
      <w:r>
        <w:t xml:space="preserve"> </w:t>
      </w:r>
      <w:r>
        <w:rPr>
          <w:b/>
          <w:bCs/>
        </w:rPr>
        <w:t xml:space="preserve">Resultados:</w:t>
      </w:r>
      <w:r>
        <w:t xml:space="preserve"> </w:t>
      </w:r>
      <w:r>
        <w:t xml:space="preserve">Os subsítios foram transferidos nos 20 pares receptor–molde (TM-score 0,946–0,957). O Boltz-2 atribuiu escore melhor ao inibidor natural do que à sua isca embaralhada em 10 de 10 pares, e o RMSD do ligante o fez em 9 de 10, ao passo que o MM-GBSA o fez em 4 de 10 e acompanhou o tamanho da interface (ρ de Spearman = −0,93). A triagem de motivos de clivagem reteve 1.829 sequências (8,3%); elas eram curtas (média de 7,05 resíduos) e apenas 4,3% continham lisina ou arginina, os resíduos preferidos em P1 pelo S1 da tripsina. A confiança do Boltz-2 dos candidatos retidos foi em média 0,862, faixa que uma isca embaralhada de SFTI-1 com 14 resíduos (0,944) também alcança.</w:t>
      </w:r>
      <w:r>
        <w:t xml:space="preserve"> </w:t>
      </w:r>
      <w:r>
        <w:rPr>
          <w:rStyle w:val="Pendente"/>
        </w:rPr>
        <w:t xml:space="preserve">RESULTADOS DE MD: quantos dos oito melhores candidatos atendem ao critério de ocupância de S1 e qual resíduo os ancora</w:t>
      </w:r>
      <w:r>
        <w:t xml:space="preserve">.</w:t>
      </w:r>
      <w:r>
        <w:t xml:space="preserve"> </w:t>
      </w:r>
      <w:r>
        <w:rPr>
          <w:b/>
          <w:bCs/>
        </w:rPr>
        <w:t xml:space="preserve">Conclusões:</w:t>
      </w:r>
      <w:r>
        <w:t xml:space="preserve"> </w:t>
      </w:r>
      <w:r>
        <w:t xml:space="preserve">A calibração sustenta o uso pareado, mas não absoluto, da confiança do Boltz-2 e mostra que o MM-GBSA de ponto final a partir de uma única trajetória de 2 ns não deve ser usado para ordenar complexos deste tipo. Uma triagem que elimina lisina e arginina seleciona contra a interação canônica P1–S1, e macrociclos rígidos podem tolerar um único P1 básico. Todos os resultados são computacionais; a seletividade frente a proteases não-alvo e a atividade inibitória não foram testadas.</w:t>
      </w:r>
    </w:p>
    <w:p>
      <w:r>
        <w:pict>
          <v:rect style="width:0;height:1.5pt" o:hralign="center" o:hrstd="t" o:hr="t"/>
        </w:pict>
      </w:r>
    </w:p>
    <w:bookmarkEnd w:id="13"/>
    <w:bookmarkStart w:id="17"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maior estabilidade.</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Apresentamos aqui um pipeline computacional que (i) define os subsítios catalíticos das tripsinas digestivas de oito lepidópteros-praga por transferência estrutural a partir de complexos cristalográficos, (ii) calibra uma escada de escores contra seis inibidores naturais e iscas embaralhadas, (iii) gera peptídeos macrocíclicos cabeça-cauda de 5–20 resíduos com RFdiffusion e ProteinMPNN, (iv) os tria quanto a motivos de clivagem por proteases e (v) tria os sobreviventes por co-dobramento com Boltz-2 e dinâmica molecular. Uma visão geral é dada na Figura 1. O trabalho é inteiramente computacional. Ele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915420"/>
            <wp:effectExtent b="0" l="0" r="0" t="0"/>
            <wp:docPr descr="Figura 1. Visão geral do pipeline e do número de itens em cada etapa. Azul: definição de alvos e subsítios; laranja: calibração da escada de escores; verde: geração e triagem de candidatos. A seletividade frente a proteases não-alvo, a atividade enzimática e o fechamento do macrociclo na topologia de MD não foram abordados." title="" id="15" name="Picture"/>
            <a:graphic>
              <a:graphicData uri="http://schemas.openxmlformats.org/drawingml/2006/picture">
                <pic:pic>
                  <pic:nvPicPr>
                    <pic:cNvPr descr="figures/Figure1_pipeline.png" id="16" name="Picture"/>
                    <pic:cNvPicPr>
                      <a:picLocks noChangeArrowheads="1" noChangeAspect="1"/>
                    </pic:cNvPicPr>
                  </pic:nvPicPr>
                  <pic:blipFill>
                    <a:blip r:embed="rId14"/>
                    <a:stretch>
                      <a:fillRect/>
                    </a:stretch>
                  </pic:blipFill>
                  <pic:spPr bwMode="auto">
                    <a:xfrm>
                      <a:off x="0" y="0"/>
                      <a:ext cx="5334000" cy="2915420"/>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e do número de itens em cada etapa. Azul: definição de alvos e subsítios; laranja: calibração da escada de escores; verde: geração e triagem de candidatos. A seletividade frente a proteases não-alvo, a atividade enzimática e o fechamento do macrociclo na topologia de MD não foram abordados.</w:t>
      </w:r>
    </w:p>
    <w:p>
      <w:r>
        <w:pict>
          <v:rect style="width:0;height:1.5pt" o:hralign="center" o:hrstd="t" o:hr="t"/>
        </w:pict>
      </w:r>
    </w:p>
    <w:bookmarkEnd w:id="17"/>
    <w:bookmarkStart w:id="28" w:name="material-e-métodos"/>
    <w:p>
      <w:pPr>
        <w:pStyle w:val="Heading2"/>
      </w:pPr>
      <w:r>
        <w:t xml:space="preserve">2 Material e métodos</w:t>
      </w:r>
    </w:p>
    <w:bookmarkStart w:id="18"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8"/>
    <w:bookmarkStart w:id="19"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19"/>
    <w:bookmarkStart w:id="20"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0"/>
    <w:bookmarkStart w:id="21"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1"/>
    <w:bookmarkStart w:id="22"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2"/>
    <w:bookmarkStart w:id="23" w:name="triagem-de-motivos-de-clivagem"/>
    <w:p>
      <w:pPr>
        <w:pStyle w:val="Heading3"/>
      </w:pPr>
      <w:r>
        <w:t xml:space="preserve">2.6 Triagem de motivos de clivagem</w:t>
      </w:r>
    </w:p>
    <w:p>
      <w:pPr>
        <w:pStyle w:val="FirstParagraph"/>
      </w:pP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bookmarkEnd w:id="23"/>
    <w:bookmarkStart w:id="24" w:name="co-dobramento-dos-candidatos-com-boltz-2"/>
    <w:p>
      <w:pPr>
        <w:pStyle w:val="Heading3"/>
      </w:pPr>
      <w:r>
        <w:t xml:space="preserve">2.7 Co-dobramento dos candidatos com Boltz-2</w:t>
      </w:r>
    </w:p>
    <w:p>
      <w:pPr>
        <w:pStyle w:val="FirstParagraph"/>
      </w:pP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bookmarkEnd w:id="24"/>
    <w:bookmarkStart w:id="25" w:name="X9995d9d7f5bc3f2b7b28d57a5adadb82d6564d6"/>
    <w:p>
      <w:pPr>
        <w:pStyle w:val="Heading3"/>
      </w:pPr>
      <w:r>
        <w:t xml:space="preserve">2.8 Dinâmica molecular dos melhores candidatos</w:t>
      </w:r>
    </w:p>
    <w:p>
      <w:pPr>
        <w:pStyle w:val="FirstParagraph"/>
      </w:pPr>
      <w:r>
        <w:t xml:space="preserve">Para cada espécie, foi simulado o candidato RESISTENTE com o maior</w:t>
      </w:r>
      <w:r>
        <w:t xml:space="preserve"> </w:t>
      </w:r>
      <w:r>
        <w:rPr>
          <w:rStyle w:val="VerbatimChar"/>
        </w:rPr>
        <w:t xml:space="preserve">confidence_score</w:t>
      </w:r>
      <w:r>
        <w:t xml:space="preserve">. A partir do complexo do Boltz-2, a protonação em pH 10,0 (um valor alcalino dentro da faixa gerada pelo intestino médio de lepidópteros; Dow, 1992) foi atribuída com o PROPKA 3 (Olsson et al., 2011) por meio do PDB2PQR 3.6.2 (Dolinsky et al., 2007). As simulações usaram o GROMACS 2025.4 (Abraham et al., 2015) com o campo de força AMBER99SB-ILDN (Lindorff-Larsen et al., 2010) e água TIP3P (Jorgensen et al., 1983), caixa dodecaédrica com 1,2 nm entre o soluto e a borda da caixa, NaCl neutralizante a 0,15 M, minimização por descida mais íngreme (no máximo 50.000 passos), 200 ps de equilíbrio NVT e 500 ps de equilíbrio NPT com restrições de posição nos átomos pesados da proteína (constante de força padrão do GROMACS, 1.000 kJ mol</w:t>
      </w:r>
      <w:r>
        <w:rPr>
          <w:vertAlign w:val="superscript"/>
        </w:rPr>
        <w:t xml:space="preserve">−1</w:t>
      </w:r>
      <w:r>
        <w:t xml:space="preserve"> </w:t>
      </w:r>
      <w:r>
        <w:t xml:space="preserve">nm</w:t>
      </w:r>
      <w:r>
        <w:rPr>
          <w:vertAlign w:val="superscript"/>
        </w:rPr>
        <w:t xml:space="preserve">−2</w:t>
      </w:r>
      <w:r>
        <w:t xml:space="preserve">) e uma produção de 50 ns a 300 K e 1 bar. A temperatura foi controlada com o termostato de reescalonamento de velocidades (τ = 0,1 ps, acoplamento separado de proteína e não proteína; Bussi et al., 2007), a pressão com o barostato de Parrinello–Rahman (τ = 2 ps; Parrinello e Rahman, 1981), a eletrostática com</w:t>
      </w:r>
      <w:r>
        <w:t xml:space="preserve"> </w:t>
      </w:r>
      <w:r>
        <w:rPr>
          <w:i/>
          <w:iCs/>
        </w:rPr>
        <w:t xml:space="preserve">particle-mesh Ewald</w:t>
      </w:r>
      <w:r>
        <w:t xml:space="preserve"> </w:t>
      </w:r>
      <w:r>
        <w:t xml:space="preserve">(Essmann et al., 1995) e corte de 1,0 nm para as interações de Coulomb e de van der Waals, com ligações a hidrogênio restritas (LINCS) e passo de 2 fs; as coordenadas foram gravadas a cada 5 ps. As velocidades iniciais foram geradas com semente aleatória. Cada candidato foi simulado uma vez. O peptídeo foi construído como cadeia linear com terminais carregados: a ligação cabeça-cauda do macrociclo não foi imposta na topologia.</w:t>
      </w:r>
    </w:p>
    <w:bookmarkEnd w:id="25"/>
    <w:bookmarkStart w:id="26"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em intervalos de 100 ps (501 quadros). Essa etapa é necessária porque o peptídeo é uma molécula separada: na trajetória não corrigida de um dos sistemas,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Seguindo o critério declarado em nosso plano de projeto, uma ocupância de pelo menos 70% a 5 Å é usada como limiar descritivo para</w:t>
      </w:r>
      <w:r>
        <w:t xml:space="preserve"> </w:t>
      </w:r>
      <w:r>
        <w:t xml:space="preserve">“ancorado em S1”</w:t>
      </w:r>
      <w:r>
        <w:t xml:space="preserve">; como cada candidato foi simulado uma vez, não se faz inferência estatística.</w:t>
      </w:r>
    </w:p>
    <w:bookmarkEnd w:id="26"/>
    <w:bookmarkStart w:id="27"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27"/>
    <w:bookmarkEnd w:id="28"/>
    <w:bookmarkStart w:id="42" w:name="resultados"/>
    <w:p>
      <w:pPr>
        <w:pStyle w:val="Heading2"/>
      </w:pPr>
      <w:r>
        <w:t xml:space="preserve">3 Resultados</w:t>
      </w:r>
    </w:p>
    <w:bookmarkStart w:id="29"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0"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0"/>
    <w:bookmarkStart w:id="34"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2A).</w:t>
      </w:r>
    </w:p>
    <w:p>
      <w:pPr>
        <w:pStyle w:val="BodyText"/>
      </w:pPr>
      <w:r>
        <w:t xml:space="preserve">O RMSD do ligante após superposição no receptor (2 ns, último terço) foi menor para o inibidor real do que para sua isca em 9 de 10 pares (Figura 2B);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2C,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2.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2" name="Picture"/>
            <a:graphic>
              <a:graphicData uri="http://schemas.openxmlformats.org/drawingml/2006/picture">
                <pic:pic>
                  <pic:nvPicPr>
                    <pic:cNvPr descr="figures/Figure2_calibration.png" id="33" name="Picture"/>
                    <pic:cNvPicPr>
                      <a:picLocks noChangeArrowheads="1" noChangeAspect="1"/>
                    </pic:cNvPicPr>
                  </pic:nvPicPr>
                  <pic:blipFill>
                    <a:blip r:embed="rId31"/>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4"/>
    <w:bookmarkStart w:id="35"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5"/>
    <w:bookmarkStart w:id="39" w:name="X9c6466b2dd30e6664c37029c6305242d5dc4208"/>
    <w:p>
      <w:pPr>
        <w:pStyle w:val="Heading3"/>
      </w:pPr>
      <w:r>
        <w:t xml:space="preserve">3.5 A triagem de motivos seleciona peptídeos curtos sem resíduos básicos</w:t>
      </w:r>
    </w:p>
    <w:p>
      <w:pPr>
        <w:pStyle w:val="FirstParagraph"/>
      </w:pPr>
      <w:r>
        <w:t xml:space="preserve">Com a varredura circular, 1.829 das 22.066 sequências (8,3%) foram rotuladas RESISTENTE, 4.987 (22,6%) MARGINAL e 15.250 (69,1%) SUSCEPTIVEL (Tabela 4 e Figura 3). A triagem removeu sobretudo sequências longas: o conjunto RESISTENTE teve comprimento médio de 7,05 resíduos e 95,6% de seus membros tinham 10 resíduos ou menos, contra média de 15,74 resíduos e 12,7% no conjunto SUSCEPTIVEL (Figura 3A).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3.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37" name="Picture"/>
            <a:graphic>
              <a:graphicData uri="http://schemas.openxmlformats.org/drawingml/2006/picture">
                <pic:pic>
                  <pic:nvPicPr>
                    <pic:cNvPr descr="figures/Figure3_motif_screen.png" id="38" name="Picture"/>
                    <pic:cNvPicPr>
                      <a:picLocks noChangeArrowheads="1" noChangeAspect="1"/>
                    </pic:cNvPicPr>
                  </pic:nvPicPr>
                  <pic:blipFill>
                    <a:blip r:embed="rId36"/>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39"/>
    <w:bookmarkStart w:id="40" w:name="Xa8416bb6741fb106b5fa3a135ad52cae6b6b341"/>
    <w:p>
      <w:pPr>
        <w:pStyle w:val="Heading3"/>
      </w:pPr>
      <w:r>
        <w:t xml:space="preserve">3.6 Confiança do Boltz-2 dos candidatos semelhantes a resistentes</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w:t>
      </w:r>
    </w:p>
    <w:bookmarkEnd w:id="40"/>
    <w:bookmarkStart w:id="41" w:name="X94b4eab24c11a6e12c1d357848295706a60ae06"/>
    <w:p>
      <w:pPr>
        <w:pStyle w:val="Heading3"/>
      </w:pPr>
      <w:r>
        <w:t xml:space="preserve">3.7 Dinâmica molecular dos melhores candidatos</w:t>
      </w:r>
    </w:p>
    <w:p>
      <w:pPr>
        <w:pStyle w:val="FirstParagraph"/>
      </w:pPr>
      <w:r>
        <w:rPr>
          <w:rStyle w:val="Pendente"/>
        </w:rPr>
        <w:t xml:space="preserve">PENDENTE: simulações de 50 ns do candidato RESISTENTE de maior escore de cada uma das oito espécies (regra de seleção na Seção 2.8), com a análise da Seção 2.9: resíduo âncora, ocupância de S1 a 4, 5 e 6 Å (total e por metades), contato com a serina e a histidina catalíticas e RMSD local do peptídeo.</w:t>
      </w:r>
    </w:p>
    <w:p>
      <w:r>
        <w:pict>
          <v:rect style="width:0;height:1.5pt" o:hralign="center" o:hrstd="t" o:hr="t"/>
        </w:pict>
      </w:r>
    </w:p>
    <w:bookmarkEnd w:id="41"/>
    <w:bookmarkEnd w:id="42"/>
    <w:bookmarkStart w:id="48" w:name="discussão"/>
    <w:p>
      <w:pPr>
        <w:pStyle w:val="Heading2"/>
      </w:pPr>
      <w:r>
        <w:t xml:space="preserve">4 Discussão</w:t>
      </w:r>
    </w:p>
    <w:bookmarkStart w:id="43"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macrocíclicos triados.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por uma triagem de clivagem baseada em motivos e foram co-dobradas com o Boltz-2.</w:t>
      </w:r>
      <w:r>
        <w:t xml:space="preserve"> </w:t>
      </w:r>
      <w:r>
        <w:rPr>
          <w:rStyle w:val="Pendente"/>
        </w:rPr>
        <w:t xml:space="preserve">SENTENÇA DEPENDENTE DE MD: resultado das simulações de 50 ns, a escrever quando a Seção 3.7 estiver completa</w:t>
      </w:r>
      <w:r>
        <w:t xml:space="preserve">. Nenhum resultado aqui trata de atividade inibitória ou de seletividade, porque não foi feito ensaio algum nem contrasseleção frente a proteases não-alvo.</w:t>
      </w:r>
    </w:p>
    <w:bookmarkEnd w:id="43"/>
    <w:bookmarkStart w:id="44"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bookmarkEnd w:id="44"/>
    <w:bookmarkStart w:id="45"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45"/>
    <w:bookmarkStart w:id="46"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a contrasseleção frente a um painel de proteases não-alvo é um módulo separado planejado. (iii) Os receptores são modelos AlphaFold, e para nenhuma das oito espécies-praga há evidência curada de expressão no intestino médio. (iv) O ProteinMPNN foi executado com todas as cadeias desenhadas, de modo que a sequência do receptor não foi mantida fixa enquanto o peptídeo era desenhado, o que pode reduzir a complementaridade das sequências desenhadas com o receptor nativo; apenas o peptídeo foi mantido e ele foi avaliado depois contra o receptor nativo. (v) Apenas oito dos 15 resíduos de</w:t>
      </w:r>
      <w:r>
        <w:t xml:space="preserve"> </w:t>
      </w:r>
      <w:r>
        <w:rPr>
          <w:i/>
          <w:iCs/>
        </w:rPr>
        <w:t xml:space="preserve">hotspot</w:t>
      </w:r>
      <w:r>
        <w:t xml:space="preserve"> </w:t>
      </w:r>
      <w:r>
        <w:t xml:space="preserve">de S1/S2 chegaram ao RFdiffusion, e a serina catalítica e as paredes de S1 não estavam entre eles. (vi) O fechamento do anel foi cumprido dentro da tolerância do modelo de esqueleto (0,76–1,40 Å) e não foi validado com geometria atômica completa. (vii) As simulações são réplicas únicas de 50 ns, com campo de força antigo, protonação atribuída em pH 10,0 e topologia linear para o peptídeo, de modo que nada dizem sobre o comportamento conformacional do próprio macrociclo. (viii) Os 22 sistemas de calibração foram simulados por 2 ns a partir de uma única estrutura inicial predita cada.</w:t>
      </w:r>
    </w:p>
    <w:bookmarkEnd w:id="46"/>
    <w:bookmarkStart w:id="47"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já no desenho, em vez de remover resíduos básicos depois; fechar o anel na topologia da simulação; réplicas de simulação com um campo de força moderno; e acrescentar o painel de contrasseleção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usando os candidatos que atendam aos critérios acima.</w:t>
      </w:r>
    </w:p>
    <w:bookmarkEnd w:id="47"/>
    <w:bookmarkEnd w:id="48"/>
    <w:bookmarkStart w:id="49"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Lindorff-Larsen K, Piana S, Palmo K, Maragakis P, Klepeis JL, Dror RO, et al. (2010). Improved side-chain torsion potentials for the Amber ff99SB protein force field. Proteins: Structure, Function, and Bioinformatics 78, 1950-1958. doi: 10.1002/prot.22711</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49"/>
    <w:bookmarkEnd w:id="50"/>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1" Type="http://schemas.openxmlformats.org/officeDocument/2006/relationships/image" Target="media/rId31.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2026-09-30T14:57:36Z</dcterms:created>
  <dcterms:modified xsi:type="dcterms:W3CDTF">2026-09-30T14:57:36Z</dcterms:modified>
</cp:coreProperties>
</file>

<file path=docProps/custom.xml><?xml version="1.0" encoding="utf-8"?>
<Properties xmlns="http://schemas.openxmlformats.org/officeDocument/2006/custom-properties" xmlns:vt="http://schemas.openxmlformats.org/officeDocument/2006/docPropsVTypes"/>
</file>