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7,627 palavras no original em inglês (corpo sem tabelas, títulos e legendas; cada citação contada como uma palavra); tradução: 8,317</w:t>
            </w:r>
          </w:p>
        </w:tc>
        <w:tc>
          <w:tcPr/>
          <w:p>
            <w:pPr>
              <w:pStyle w:val="Compact"/>
              <w:spacing w:line="240" w:lineRule="auto"/>
            </w:pPr>
            <w:r>
              <w:rPr>
                <w:sz w:val="18"/>
              </w:rPr>
              <w:t xml:space="preserve">OK (margem de 4,373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(a ligação de fechamento incluída nos macrociclos; o carboxilato C-terminal dos peptídeos lineares excluído), medimos a distância do Oγ da Ser195 ao carbono da carbonila, o ângulo Oγ···C=O e a distância do oxigênio da carbonila aos nitrogênios do esqueleto da Gly193 e da Ser195 (buraco do oxiânion). Um quadro contou como conformação quase de ataque quando a primeira ficou abaixo de 3,5 Å, o ângulo entre 90° e 125° e a terceira abaixo de 3,5 Å; os limiares foram escolhidos para esta análise e não foram calibrados com um substrato conhecido (</w:t>
      </w:r>
      <w:r>
        <w:rPr>
          <w:rStyle w:val="VerbatimChar"/>
        </w:rPr>
        <w:t xml:space="preserve">scripts/scissile_geometry.py</w:t>
      </w:r>
      <w:r>
        <w:t xml:space="preserve">).</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de pH 8,2, PRODIGY na pose e PRODIGY e MM-GBSA na trajetória de pH 8,2.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não mede catálise e não tem linha de base de um substrato conhecido, de modo que não estabelece resistência, e um ensaio de estabilidade com tripsina e extrato do intestino médio das lagartas é o teste que a estabeleceria.</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2026-10-09T01:09:08Z</dcterms:created>
  <dcterms:modified xsi:type="dcterms:W3CDTF">2026-10-09T01:09:08Z</dcterms:modified>
</cp:coreProperties>
</file>

<file path=docProps/custom.xml><?xml version="1.0" encoding="utf-8"?>
<Properties xmlns="http://schemas.openxmlformats.org/officeDocument/2006/custom-properties" xmlns:vt="http://schemas.openxmlformats.org/officeDocument/2006/docPropsVTypes"/>
</file>